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245F" w14:textId="77777777" w:rsidR="000648A2" w:rsidRPr="00B07832" w:rsidRDefault="000648A2" w:rsidP="000648A2">
      <w:pPr>
        <w:jc w:val="both"/>
        <w:rPr>
          <w:rFonts w:cs="Arial"/>
          <w:szCs w:val="24"/>
        </w:rPr>
      </w:pPr>
    </w:p>
    <w:p w14:paraId="76F519DD" w14:textId="77777777" w:rsidR="000648A2" w:rsidRPr="00867E80" w:rsidRDefault="000648A2" w:rsidP="000648A2">
      <w:pPr>
        <w:jc w:val="both"/>
        <w:rPr>
          <w:rFonts w:cs="Arial"/>
          <w:b/>
          <w:szCs w:val="22"/>
        </w:rPr>
      </w:pPr>
    </w:p>
    <w:p w14:paraId="33EE2CD2" w14:textId="77777777" w:rsidR="00867E80" w:rsidRPr="00867E80" w:rsidRDefault="00867E80" w:rsidP="00867E80">
      <w:pPr>
        <w:ind w:right="270"/>
        <w:jc w:val="center"/>
        <w:rPr>
          <w:rFonts w:cs="Arial"/>
          <w:b/>
          <w:szCs w:val="22"/>
          <w:lang w:val="hu-HU"/>
        </w:rPr>
      </w:pPr>
      <w:r w:rsidRPr="00867E80">
        <w:rPr>
          <w:rFonts w:cs="Arial"/>
          <w:b/>
          <w:szCs w:val="22"/>
          <w:lang w:val="hu-HU"/>
        </w:rPr>
        <w:t>Módszertani segédlet</w:t>
      </w:r>
    </w:p>
    <w:p w14:paraId="533A3FBE" w14:textId="77777777" w:rsidR="00867E80" w:rsidRPr="00867E80" w:rsidRDefault="00867E80" w:rsidP="00867E80">
      <w:pPr>
        <w:ind w:right="270"/>
        <w:jc w:val="center"/>
        <w:rPr>
          <w:rFonts w:cs="Arial"/>
          <w:b/>
          <w:szCs w:val="22"/>
          <w:lang w:val="hu-HU"/>
        </w:rPr>
      </w:pPr>
      <w:r w:rsidRPr="00867E80">
        <w:rPr>
          <w:rFonts w:cs="Arial"/>
          <w:b/>
          <w:szCs w:val="22"/>
          <w:lang w:val="hu-HU"/>
        </w:rPr>
        <w:t>az</w:t>
      </w:r>
    </w:p>
    <w:p w14:paraId="7CAC327D" w14:textId="77777777" w:rsidR="000648A2" w:rsidRPr="00867E80" w:rsidRDefault="000648A2" w:rsidP="000648A2">
      <w:pPr>
        <w:jc w:val="both"/>
        <w:rPr>
          <w:rFonts w:cs="Arial"/>
          <w:b/>
          <w:szCs w:val="22"/>
        </w:rPr>
      </w:pPr>
    </w:p>
    <w:p w14:paraId="7519D6C6" w14:textId="77777777" w:rsidR="000648A2" w:rsidRPr="00867E80" w:rsidRDefault="000648A2" w:rsidP="000648A2">
      <w:pPr>
        <w:jc w:val="both"/>
        <w:rPr>
          <w:rFonts w:cs="Arial"/>
          <w:b/>
          <w:szCs w:val="22"/>
        </w:rPr>
      </w:pPr>
    </w:p>
    <w:p w14:paraId="7B516363" w14:textId="77777777" w:rsidR="00D313C3" w:rsidRPr="00867E80" w:rsidRDefault="000648A2" w:rsidP="00867E80">
      <w:pPr>
        <w:pStyle w:val="Szvegtrzs2"/>
        <w:rPr>
          <w:rFonts w:ascii="Arial" w:hAnsi="Arial" w:cs="Arial"/>
          <w:sz w:val="22"/>
          <w:szCs w:val="22"/>
        </w:rPr>
        <w:sectPr w:rsidR="00D313C3" w:rsidRPr="00867E80">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08" w:footer="708" w:gutter="567"/>
          <w:cols w:space="708"/>
        </w:sectPr>
      </w:pPr>
      <w:r w:rsidRPr="00867E80">
        <w:rPr>
          <w:rFonts w:ascii="Arial" w:hAnsi="Arial" w:cs="Arial"/>
          <w:sz w:val="22"/>
          <w:szCs w:val="22"/>
        </w:rPr>
        <w:t>Jegybanki felmérés a devizapiac és a származékos ügyletek piacának aktivitásáról (nyitott kötésállományok</w:t>
      </w:r>
      <w:r w:rsidR="00867E80" w:rsidRPr="00867E80">
        <w:rPr>
          <w:rFonts w:ascii="Arial" w:hAnsi="Arial" w:cs="Arial"/>
          <w:sz w:val="22"/>
          <w:szCs w:val="22"/>
        </w:rPr>
        <w:t>) című D25 adatszolgáltatáshoz</w:t>
      </w:r>
    </w:p>
    <w:p w14:paraId="7C5EB7BC" w14:textId="77777777" w:rsidR="00D313C3" w:rsidRPr="00FE5851" w:rsidRDefault="00D313C3">
      <w:pPr>
        <w:pStyle w:val="TableOfContentsTitle"/>
        <w:rPr>
          <w:szCs w:val="24"/>
          <w:lang w:val="hu-HU"/>
        </w:rPr>
      </w:pPr>
      <w:r w:rsidRPr="00FE5851">
        <w:rPr>
          <w:szCs w:val="24"/>
          <w:lang w:val="hu-HU"/>
        </w:rPr>
        <w:lastRenderedPageBreak/>
        <w:t>Tartalomjegyzék</w:t>
      </w:r>
    </w:p>
    <w:p w14:paraId="58BBA15B" w14:textId="77777777" w:rsidR="00AF20C0" w:rsidRPr="00AF20C0" w:rsidRDefault="00D313C3">
      <w:pPr>
        <w:pStyle w:val="TJ1"/>
        <w:rPr>
          <w:rFonts w:ascii="Calibri" w:hAnsi="Calibri"/>
          <w:snapToGrid/>
          <w:szCs w:val="22"/>
        </w:rPr>
      </w:pPr>
      <w:r w:rsidRPr="00FE5851">
        <w:rPr>
          <w:noProof w:val="0"/>
          <w:szCs w:val="24"/>
        </w:rPr>
        <w:fldChar w:fldCharType="begin"/>
      </w:r>
      <w:r w:rsidRPr="00FE5851">
        <w:rPr>
          <w:noProof w:val="0"/>
          <w:szCs w:val="24"/>
        </w:rPr>
        <w:instrText xml:space="preserve"> TOC \o "1-3" \h \z \u </w:instrText>
      </w:r>
      <w:r w:rsidRPr="00FE5851">
        <w:rPr>
          <w:noProof w:val="0"/>
          <w:szCs w:val="24"/>
        </w:rPr>
        <w:fldChar w:fldCharType="separate"/>
      </w:r>
      <w:hyperlink w:anchor="_Toc89264392" w:history="1">
        <w:r w:rsidR="00AF20C0" w:rsidRPr="00A93FE9">
          <w:rPr>
            <w:rStyle w:val="Hiperhivatkozs"/>
          </w:rPr>
          <w:t>Bevezetés</w:t>
        </w:r>
        <w:r w:rsidR="00AF20C0">
          <w:rPr>
            <w:webHidden/>
          </w:rPr>
          <w:tab/>
        </w:r>
        <w:r w:rsidR="00AF20C0">
          <w:rPr>
            <w:webHidden/>
          </w:rPr>
          <w:fldChar w:fldCharType="begin"/>
        </w:r>
        <w:r w:rsidR="00AF20C0">
          <w:rPr>
            <w:webHidden/>
          </w:rPr>
          <w:instrText xml:space="preserve"> PAGEREF _Toc89264392 \h </w:instrText>
        </w:r>
        <w:r w:rsidR="00AF20C0">
          <w:rPr>
            <w:webHidden/>
          </w:rPr>
        </w:r>
        <w:r w:rsidR="00AF20C0">
          <w:rPr>
            <w:webHidden/>
          </w:rPr>
          <w:fldChar w:fldCharType="separate"/>
        </w:r>
        <w:r w:rsidR="00AF20C0">
          <w:rPr>
            <w:webHidden/>
          </w:rPr>
          <w:t>1</w:t>
        </w:r>
        <w:r w:rsidR="00AF20C0">
          <w:rPr>
            <w:webHidden/>
          </w:rPr>
          <w:fldChar w:fldCharType="end"/>
        </w:r>
      </w:hyperlink>
    </w:p>
    <w:p w14:paraId="3129F5DA" w14:textId="77777777" w:rsidR="00AF20C0" w:rsidRPr="00AF20C0" w:rsidRDefault="00AF20C0">
      <w:pPr>
        <w:pStyle w:val="TJ1"/>
        <w:rPr>
          <w:rFonts w:ascii="Calibri" w:hAnsi="Calibri"/>
          <w:snapToGrid/>
          <w:szCs w:val="22"/>
        </w:rPr>
      </w:pPr>
      <w:hyperlink w:anchor="_Toc89264393" w:history="1">
        <w:r w:rsidRPr="00A93FE9">
          <w:rPr>
            <w:rStyle w:val="Hiperhivatkozs"/>
          </w:rPr>
          <w:t>A beszámolás határideje</w:t>
        </w:r>
        <w:r>
          <w:rPr>
            <w:webHidden/>
          </w:rPr>
          <w:tab/>
        </w:r>
        <w:r>
          <w:rPr>
            <w:webHidden/>
          </w:rPr>
          <w:fldChar w:fldCharType="begin"/>
        </w:r>
        <w:r>
          <w:rPr>
            <w:webHidden/>
          </w:rPr>
          <w:instrText xml:space="preserve"> PAGEREF _Toc89264393 \h </w:instrText>
        </w:r>
        <w:r>
          <w:rPr>
            <w:webHidden/>
          </w:rPr>
        </w:r>
        <w:r>
          <w:rPr>
            <w:webHidden/>
          </w:rPr>
          <w:fldChar w:fldCharType="separate"/>
        </w:r>
        <w:r>
          <w:rPr>
            <w:webHidden/>
          </w:rPr>
          <w:t>1</w:t>
        </w:r>
        <w:r>
          <w:rPr>
            <w:webHidden/>
          </w:rPr>
          <w:fldChar w:fldCharType="end"/>
        </w:r>
      </w:hyperlink>
    </w:p>
    <w:p w14:paraId="31C98536" w14:textId="77777777" w:rsidR="00AF20C0" w:rsidRPr="00AF20C0" w:rsidRDefault="00AF20C0">
      <w:pPr>
        <w:pStyle w:val="TJ1"/>
        <w:rPr>
          <w:rFonts w:ascii="Calibri" w:hAnsi="Calibri"/>
          <w:snapToGrid/>
          <w:szCs w:val="22"/>
        </w:rPr>
      </w:pPr>
      <w:hyperlink w:anchor="_Toc89264394" w:history="1">
        <w:r w:rsidRPr="00A93FE9">
          <w:rPr>
            <w:rStyle w:val="Hiperhivatkozs"/>
          </w:rPr>
          <w:t>A.</w:t>
        </w:r>
        <w:r w:rsidRPr="00AF20C0">
          <w:rPr>
            <w:rFonts w:ascii="Calibri" w:hAnsi="Calibri"/>
            <w:snapToGrid/>
            <w:szCs w:val="22"/>
          </w:rPr>
          <w:tab/>
        </w:r>
        <w:r w:rsidRPr="00A93FE9">
          <w:rPr>
            <w:rStyle w:val="Hiperhivatkozs"/>
          </w:rPr>
          <w:t>A felmérés az alábbi területeket öleli fel:</w:t>
        </w:r>
        <w:r>
          <w:rPr>
            <w:webHidden/>
          </w:rPr>
          <w:tab/>
        </w:r>
        <w:r>
          <w:rPr>
            <w:webHidden/>
          </w:rPr>
          <w:fldChar w:fldCharType="begin"/>
        </w:r>
        <w:r>
          <w:rPr>
            <w:webHidden/>
          </w:rPr>
          <w:instrText xml:space="preserve"> PAGEREF _Toc89264394 \h </w:instrText>
        </w:r>
        <w:r>
          <w:rPr>
            <w:webHidden/>
          </w:rPr>
        </w:r>
        <w:r>
          <w:rPr>
            <w:webHidden/>
          </w:rPr>
          <w:fldChar w:fldCharType="separate"/>
        </w:r>
        <w:r>
          <w:rPr>
            <w:webHidden/>
          </w:rPr>
          <w:t>2</w:t>
        </w:r>
        <w:r>
          <w:rPr>
            <w:webHidden/>
          </w:rPr>
          <w:fldChar w:fldCharType="end"/>
        </w:r>
      </w:hyperlink>
    </w:p>
    <w:p w14:paraId="1B083A5E" w14:textId="77777777" w:rsidR="00AF20C0" w:rsidRPr="00AF20C0" w:rsidRDefault="00AF20C0">
      <w:pPr>
        <w:pStyle w:val="TJ1"/>
        <w:rPr>
          <w:rFonts w:ascii="Calibri" w:hAnsi="Calibri"/>
          <w:snapToGrid/>
          <w:szCs w:val="22"/>
        </w:rPr>
      </w:pPr>
      <w:hyperlink w:anchor="_Toc89264396" w:history="1">
        <w:r w:rsidRPr="00A93FE9">
          <w:rPr>
            <w:rStyle w:val="Hiperhivatkozs"/>
          </w:rPr>
          <w:t>1.</w:t>
        </w:r>
        <w:r w:rsidRPr="00AF20C0">
          <w:rPr>
            <w:rFonts w:ascii="Calibri" w:hAnsi="Calibri"/>
            <w:snapToGrid/>
            <w:szCs w:val="22"/>
          </w:rPr>
          <w:tab/>
        </w:r>
        <w:r w:rsidRPr="00A93FE9">
          <w:rPr>
            <w:rStyle w:val="Hiperhivatkozs"/>
          </w:rPr>
          <w:t>Partnerek</w:t>
        </w:r>
        <w:r>
          <w:rPr>
            <w:webHidden/>
          </w:rPr>
          <w:tab/>
        </w:r>
        <w:r>
          <w:rPr>
            <w:webHidden/>
          </w:rPr>
          <w:fldChar w:fldCharType="begin"/>
        </w:r>
        <w:r>
          <w:rPr>
            <w:webHidden/>
          </w:rPr>
          <w:instrText xml:space="preserve"> PAGEREF _Toc89264396 \h </w:instrText>
        </w:r>
        <w:r>
          <w:rPr>
            <w:webHidden/>
          </w:rPr>
        </w:r>
        <w:r>
          <w:rPr>
            <w:webHidden/>
          </w:rPr>
          <w:fldChar w:fldCharType="separate"/>
        </w:r>
        <w:r>
          <w:rPr>
            <w:webHidden/>
          </w:rPr>
          <w:t>2</w:t>
        </w:r>
        <w:r>
          <w:rPr>
            <w:webHidden/>
          </w:rPr>
          <w:fldChar w:fldCharType="end"/>
        </w:r>
      </w:hyperlink>
    </w:p>
    <w:p w14:paraId="25B3E225" w14:textId="77777777" w:rsidR="00AF20C0" w:rsidRPr="00AF20C0" w:rsidRDefault="00AF20C0">
      <w:pPr>
        <w:pStyle w:val="TJ1"/>
        <w:rPr>
          <w:rFonts w:ascii="Calibri" w:hAnsi="Calibri"/>
          <w:snapToGrid/>
          <w:szCs w:val="22"/>
        </w:rPr>
      </w:pPr>
      <w:hyperlink w:anchor="_Toc89264397" w:history="1">
        <w:r w:rsidRPr="00A93FE9">
          <w:rPr>
            <w:rStyle w:val="Hiperhivatkozs"/>
          </w:rPr>
          <w:t>2.</w:t>
        </w:r>
        <w:r w:rsidRPr="00AF20C0">
          <w:rPr>
            <w:rFonts w:ascii="Calibri" w:hAnsi="Calibri"/>
            <w:snapToGrid/>
            <w:szCs w:val="22"/>
          </w:rPr>
          <w:tab/>
        </w:r>
        <w:r w:rsidRPr="00A93FE9">
          <w:rPr>
            <w:rStyle w:val="Hiperhivatkozs"/>
          </w:rPr>
          <w:t>Definíciók</w:t>
        </w:r>
        <w:r>
          <w:rPr>
            <w:webHidden/>
          </w:rPr>
          <w:tab/>
        </w:r>
        <w:r>
          <w:rPr>
            <w:webHidden/>
          </w:rPr>
          <w:fldChar w:fldCharType="begin"/>
        </w:r>
        <w:r>
          <w:rPr>
            <w:webHidden/>
          </w:rPr>
          <w:instrText xml:space="preserve"> PAGEREF _Toc89264397 \h </w:instrText>
        </w:r>
        <w:r>
          <w:rPr>
            <w:webHidden/>
          </w:rPr>
        </w:r>
        <w:r>
          <w:rPr>
            <w:webHidden/>
          </w:rPr>
          <w:fldChar w:fldCharType="separate"/>
        </w:r>
        <w:r>
          <w:rPr>
            <w:webHidden/>
          </w:rPr>
          <w:t>3</w:t>
        </w:r>
        <w:r>
          <w:rPr>
            <w:webHidden/>
          </w:rPr>
          <w:fldChar w:fldCharType="end"/>
        </w:r>
      </w:hyperlink>
    </w:p>
    <w:p w14:paraId="00F76F8D" w14:textId="77777777" w:rsidR="00AF20C0" w:rsidRPr="00AF20C0" w:rsidRDefault="00AF20C0">
      <w:pPr>
        <w:pStyle w:val="TJ2"/>
        <w:rPr>
          <w:rFonts w:ascii="Calibri" w:hAnsi="Calibri"/>
          <w:snapToGrid/>
          <w:szCs w:val="22"/>
        </w:rPr>
      </w:pPr>
      <w:hyperlink w:anchor="_Toc89264398" w:history="1">
        <w:r w:rsidRPr="00A93FE9">
          <w:rPr>
            <w:rStyle w:val="Hiperhivatkozs"/>
          </w:rPr>
          <w:t xml:space="preserve">2.1. </w:t>
        </w:r>
        <w:r w:rsidRPr="00AF20C0">
          <w:rPr>
            <w:rFonts w:ascii="Calibri" w:hAnsi="Calibri"/>
            <w:snapToGrid/>
            <w:szCs w:val="22"/>
          </w:rPr>
          <w:tab/>
        </w:r>
        <w:r w:rsidRPr="00A93FE9">
          <w:rPr>
            <w:rStyle w:val="Hiperhivatkozs"/>
          </w:rPr>
          <w:t>Kért adattípusok</w:t>
        </w:r>
        <w:r>
          <w:rPr>
            <w:webHidden/>
          </w:rPr>
          <w:tab/>
        </w:r>
        <w:r>
          <w:rPr>
            <w:webHidden/>
          </w:rPr>
          <w:fldChar w:fldCharType="begin"/>
        </w:r>
        <w:r>
          <w:rPr>
            <w:webHidden/>
          </w:rPr>
          <w:instrText xml:space="preserve"> PAGEREF _Toc89264398 \h </w:instrText>
        </w:r>
        <w:r>
          <w:rPr>
            <w:webHidden/>
          </w:rPr>
        </w:r>
        <w:r>
          <w:rPr>
            <w:webHidden/>
          </w:rPr>
          <w:fldChar w:fldCharType="separate"/>
        </w:r>
        <w:r>
          <w:rPr>
            <w:webHidden/>
          </w:rPr>
          <w:t>3</w:t>
        </w:r>
        <w:r>
          <w:rPr>
            <w:webHidden/>
          </w:rPr>
          <w:fldChar w:fldCharType="end"/>
        </w:r>
      </w:hyperlink>
    </w:p>
    <w:p w14:paraId="2F7F19FD" w14:textId="77777777" w:rsidR="00AF20C0" w:rsidRPr="00AF20C0" w:rsidRDefault="00AF20C0">
      <w:pPr>
        <w:pStyle w:val="TJ2"/>
        <w:rPr>
          <w:rFonts w:ascii="Calibri" w:hAnsi="Calibri"/>
          <w:snapToGrid/>
          <w:szCs w:val="22"/>
        </w:rPr>
      </w:pPr>
      <w:hyperlink w:anchor="_Toc89264399" w:history="1">
        <w:r w:rsidRPr="00A93FE9">
          <w:rPr>
            <w:rStyle w:val="Hiperhivatkozs"/>
          </w:rPr>
          <w:t>2.1.</w:t>
        </w:r>
        <w:r w:rsidRPr="00AF20C0">
          <w:rPr>
            <w:rFonts w:ascii="Calibri" w:hAnsi="Calibri"/>
            <w:snapToGrid/>
            <w:szCs w:val="22"/>
          </w:rPr>
          <w:tab/>
        </w:r>
        <w:r w:rsidRPr="00A93FE9">
          <w:rPr>
            <w:rStyle w:val="Hiperhivatkozs"/>
          </w:rPr>
          <w:t>Konszolidált beszámolás</w:t>
        </w:r>
        <w:r>
          <w:rPr>
            <w:webHidden/>
          </w:rPr>
          <w:tab/>
        </w:r>
        <w:r>
          <w:rPr>
            <w:webHidden/>
          </w:rPr>
          <w:fldChar w:fldCharType="begin"/>
        </w:r>
        <w:r>
          <w:rPr>
            <w:webHidden/>
          </w:rPr>
          <w:instrText xml:space="preserve"> PAGEREF _Toc89264399 \h </w:instrText>
        </w:r>
        <w:r>
          <w:rPr>
            <w:webHidden/>
          </w:rPr>
        </w:r>
        <w:r>
          <w:rPr>
            <w:webHidden/>
          </w:rPr>
          <w:fldChar w:fldCharType="separate"/>
        </w:r>
        <w:r>
          <w:rPr>
            <w:webHidden/>
          </w:rPr>
          <w:t>5</w:t>
        </w:r>
        <w:r>
          <w:rPr>
            <w:webHidden/>
          </w:rPr>
          <w:fldChar w:fldCharType="end"/>
        </w:r>
      </w:hyperlink>
    </w:p>
    <w:p w14:paraId="3A14C75E" w14:textId="77777777" w:rsidR="00AF20C0" w:rsidRPr="00AF20C0" w:rsidRDefault="00AF20C0">
      <w:pPr>
        <w:pStyle w:val="TJ2"/>
        <w:rPr>
          <w:rFonts w:ascii="Calibri" w:hAnsi="Calibri"/>
          <w:snapToGrid/>
          <w:szCs w:val="22"/>
        </w:rPr>
      </w:pPr>
      <w:hyperlink w:anchor="_Toc89264400" w:history="1">
        <w:r w:rsidRPr="00A93FE9">
          <w:rPr>
            <w:rStyle w:val="Hiperhivatkozs"/>
          </w:rPr>
          <w:t>2.3.  Központi elszámolás</w:t>
        </w:r>
        <w:r>
          <w:rPr>
            <w:webHidden/>
          </w:rPr>
          <w:tab/>
        </w:r>
        <w:r>
          <w:rPr>
            <w:webHidden/>
          </w:rPr>
          <w:fldChar w:fldCharType="begin"/>
        </w:r>
        <w:r>
          <w:rPr>
            <w:webHidden/>
          </w:rPr>
          <w:instrText xml:space="preserve"> PAGEREF _Toc89264400 \h </w:instrText>
        </w:r>
        <w:r>
          <w:rPr>
            <w:webHidden/>
          </w:rPr>
        </w:r>
        <w:r>
          <w:rPr>
            <w:webHidden/>
          </w:rPr>
          <w:fldChar w:fldCharType="separate"/>
        </w:r>
        <w:r>
          <w:rPr>
            <w:webHidden/>
          </w:rPr>
          <w:t>5</w:t>
        </w:r>
        <w:r>
          <w:rPr>
            <w:webHidden/>
          </w:rPr>
          <w:fldChar w:fldCharType="end"/>
        </w:r>
      </w:hyperlink>
    </w:p>
    <w:p w14:paraId="4A3138ED" w14:textId="77777777" w:rsidR="00AF20C0" w:rsidRPr="00AF20C0" w:rsidRDefault="00AF20C0">
      <w:pPr>
        <w:pStyle w:val="TJ1"/>
        <w:rPr>
          <w:rFonts w:ascii="Calibri" w:hAnsi="Calibri"/>
          <w:snapToGrid/>
          <w:szCs w:val="22"/>
        </w:rPr>
      </w:pPr>
      <w:hyperlink w:anchor="_Toc89264401" w:history="1">
        <w:r w:rsidRPr="00A93FE9">
          <w:rPr>
            <w:rStyle w:val="Hiperhivatkozs"/>
          </w:rPr>
          <w:t>3.</w:t>
        </w:r>
        <w:r w:rsidRPr="00AF20C0">
          <w:rPr>
            <w:rFonts w:ascii="Calibri" w:hAnsi="Calibri"/>
            <w:snapToGrid/>
            <w:szCs w:val="22"/>
          </w:rPr>
          <w:tab/>
        </w:r>
        <w:r w:rsidRPr="00A93FE9">
          <w:rPr>
            <w:rStyle w:val="Hiperhivatkozs"/>
          </w:rPr>
          <w:t>Kockázati kategóriák</w:t>
        </w:r>
        <w:r>
          <w:rPr>
            <w:webHidden/>
          </w:rPr>
          <w:tab/>
        </w:r>
        <w:r>
          <w:rPr>
            <w:webHidden/>
          </w:rPr>
          <w:fldChar w:fldCharType="begin"/>
        </w:r>
        <w:r>
          <w:rPr>
            <w:webHidden/>
          </w:rPr>
          <w:instrText xml:space="preserve"> PAGEREF _Toc89264401 \h </w:instrText>
        </w:r>
        <w:r>
          <w:rPr>
            <w:webHidden/>
          </w:rPr>
        </w:r>
        <w:r>
          <w:rPr>
            <w:webHidden/>
          </w:rPr>
          <w:fldChar w:fldCharType="separate"/>
        </w:r>
        <w:r>
          <w:rPr>
            <w:webHidden/>
          </w:rPr>
          <w:t>6</w:t>
        </w:r>
        <w:r>
          <w:rPr>
            <w:webHidden/>
          </w:rPr>
          <w:fldChar w:fldCharType="end"/>
        </w:r>
      </w:hyperlink>
    </w:p>
    <w:p w14:paraId="5D61C119" w14:textId="77777777" w:rsidR="00AF20C0" w:rsidRPr="00AF20C0" w:rsidRDefault="00AF20C0">
      <w:pPr>
        <w:pStyle w:val="TJ2"/>
        <w:rPr>
          <w:rFonts w:ascii="Calibri" w:hAnsi="Calibri"/>
          <w:snapToGrid/>
          <w:szCs w:val="22"/>
        </w:rPr>
      </w:pPr>
      <w:hyperlink w:anchor="_Toc89264402" w:history="1">
        <w:r w:rsidRPr="00A93FE9">
          <w:rPr>
            <w:rStyle w:val="Hiperhivatkozs"/>
          </w:rPr>
          <w:t xml:space="preserve">3.1 </w:t>
        </w:r>
        <w:r w:rsidRPr="00AF20C0">
          <w:rPr>
            <w:rFonts w:ascii="Calibri" w:hAnsi="Calibri"/>
            <w:snapToGrid/>
            <w:szCs w:val="22"/>
          </w:rPr>
          <w:tab/>
        </w:r>
        <w:r w:rsidRPr="00A93FE9">
          <w:rPr>
            <w:rStyle w:val="Hiperhivatkozs"/>
          </w:rPr>
          <w:t>Az egynél több kockázati kategóriát tartalmazó származékos instrumentumok osztályozása</w:t>
        </w:r>
        <w:r>
          <w:rPr>
            <w:webHidden/>
          </w:rPr>
          <w:tab/>
        </w:r>
        <w:r>
          <w:rPr>
            <w:webHidden/>
          </w:rPr>
          <w:fldChar w:fldCharType="begin"/>
        </w:r>
        <w:r>
          <w:rPr>
            <w:webHidden/>
          </w:rPr>
          <w:instrText xml:space="preserve"> PAGEREF _Toc89264402 \h </w:instrText>
        </w:r>
        <w:r>
          <w:rPr>
            <w:webHidden/>
          </w:rPr>
        </w:r>
        <w:r>
          <w:rPr>
            <w:webHidden/>
          </w:rPr>
          <w:fldChar w:fldCharType="separate"/>
        </w:r>
        <w:r>
          <w:rPr>
            <w:webHidden/>
          </w:rPr>
          <w:t>7</w:t>
        </w:r>
        <w:r>
          <w:rPr>
            <w:webHidden/>
          </w:rPr>
          <w:fldChar w:fldCharType="end"/>
        </w:r>
      </w:hyperlink>
    </w:p>
    <w:p w14:paraId="0A39D698" w14:textId="77777777" w:rsidR="00AF20C0" w:rsidRPr="00AF20C0" w:rsidRDefault="00AF20C0">
      <w:pPr>
        <w:pStyle w:val="TJ1"/>
        <w:rPr>
          <w:rFonts w:ascii="Calibri" w:hAnsi="Calibri"/>
          <w:snapToGrid/>
          <w:szCs w:val="22"/>
        </w:rPr>
      </w:pPr>
      <w:hyperlink w:anchor="_Toc89264403" w:history="1">
        <w:r w:rsidRPr="00A93FE9">
          <w:rPr>
            <w:rStyle w:val="Hiperhivatkozs"/>
          </w:rPr>
          <w:t>4.</w:t>
        </w:r>
        <w:r w:rsidRPr="00AF20C0">
          <w:rPr>
            <w:rFonts w:ascii="Calibri" w:hAnsi="Calibri"/>
            <w:snapToGrid/>
            <w:szCs w:val="22"/>
          </w:rPr>
          <w:tab/>
        </w:r>
        <w:r w:rsidRPr="00A93FE9">
          <w:rPr>
            <w:rStyle w:val="Hiperhivatkozs"/>
          </w:rPr>
          <w:t>Instrumentum típusok</w:t>
        </w:r>
        <w:r>
          <w:rPr>
            <w:webHidden/>
          </w:rPr>
          <w:tab/>
        </w:r>
        <w:r>
          <w:rPr>
            <w:webHidden/>
          </w:rPr>
          <w:fldChar w:fldCharType="begin"/>
        </w:r>
        <w:r>
          <w:rPr>
            <w:webHidden/>
          </w:rPr>
          <w:instrText xml:space="preserve"> PAGEREF _Toc89264403 \h </w:instrText>
        </w:r>
        <w:r>
          <w:rPr>
            <w:webHidden/>
          </w:rPr>
        </w:r>
        <w:r>
          <w:rPr>
            <w:webHidden/>
          </w:rPr>
          <w:fldChar w:fldCharType="separate"/>
        </w:r>
        <w:r>
          <w:rPr>
            <w:webHidden/>
          </w:rPr>
          <w:t>8</w:t>
        </w:r>
        <w:r>
          <w:rPr>
            <w:webHidden/>
          </w:rPr>
          <w:fldChar w:fldCharType="end"/>
        </w:r>
      </w:hyperlink>
    </w:p>
    <w:p w14:paraId="67EA3805" w14:textId="77777777" w:rsidR="00AF20C0" w:rsidRPr="00AF20C0" w:rsidRDefault="00AF20C0">
      <w:pPr>
        <w:pStyle w:val="TJ1"/>
        <w:rPr>
          <w:rFonts w:ascii="Calibri" w:hAnsi="Calibri"/>
          <w:snapToGrid/>
          <w:szCs w:val="22"/>
        </w:rPr>
      </w:pPr>
      <w:hyperlink w:anchor="_Toc89264404" w:history="1">
        <w:r w:rsidRPr="00A93FE9">
          <w:rPr>
            <w:rStyle w:val="Hiperhivatkozs"/>
          </w:rPr>
          <w:t>5.</w:t>
        </w:r>
        <w:r w:rsidRPr="00AF20C0">
          <w:rPr>
            <w:rFonts w:ascii="Calibri" w:hAnsi="Calibri"/>
            <w:snapToGrid/>
            <w:szCs w:val="22"/>
          </w:rPr>
          <w:tab/>
        </w:r>
        <w:r w:rsidRPr="00A93FE9">
          <w:rPr>
            <w:rStyle w:val="Hiperhivatkozs"/>
          </w:rPr>
          <w:t>Részletes instrumentummeghatározás és -besorolás</w:t>
        </w:r>
        <w:r>
          <w:rPr>
            <w:webHidden/>
          </w:rPr>
          <w:tab/>
        </w:r>
        <w:r>
          <w:rPr>
            <w:webHidden/>
          </w:rPr>
          <w:fldChar w:fldCharType="begin"/>
        </w:r>
        <w:r>
          <w:rPr>
            <w:webHidden/>
          </w:rPr>
          <w:instrText xml:space="preserve"> PAGEREF _Toc89264404 \h </w:instrText>
        </w:r>
        <w:r>
          <w:rPr>
            <w:webHidden/>
          </w:rPr>
        </w:r>
        <w:r>
          <w:rPr>
            <w:webHidden/>
          </w:rPr>
          <w:fldChar w:fldCharType="separate"/>
        </w:r>
        <w:r>
          <w:rPr>
            <w:webHidden/>
          </w:rPr>
          <w:t>9</w:t>
        </w:r>
        <w:r>
          <w:rPr>
            <w:webHidden/>
          </w:rPr>
          <w:fldChar w:fldCharType="end"/>
        </w:r>
      </w:hyperlink>
    </w:p>
    <w:p w14:paraId="1F73F781" w14:textId="77777777" w:rsidR="00AF20C0" w:rsidRPr="00AF20C0" w:rsidRDefault="00AF20C0">
      <w:pPr>
        <w:pStyle w:val="TJ2"/>
        <w:rPr>
          <w:rFonts w:ascii="Calibri" w:hAnsi="Calibri"/>
          <w:snapToGrid/>
          <w:szCs w:val="22"/>
        </w:rPr>
      </w:pPr>
      <w:hyperlink w:anchor="_Toc89264405" w:history="1">
        <w:r w:rsidRPr="00A93FE9">
          <w:rPr>
            <w:rStyle w:val="Hiperhivatkozs"/>
          </w:rPr>
          <w:t>5.1</w:t>
        </w:r>
        <w:r w:rsidRPr="00AF20C0">
          <w:rPr>
            <w:rFonts w:ascii="Calibri" w:hAnsi="Calibri"/>
            <w:snapToGrid/>
            <w:szCs w:val="22"/>
          </w:rPr>
          <w:tab/>
        </w:r>
        <w:r w:rsidRPr="00A93FE9">
          <w:rPr>
            <w:rStyle w:val="Hiperhivatkozs"/>
          </w:rPr>
          <w:t>FX-ügyletek</w:t>
        </w:r>
        <w:r>
          <w:rPr>
            <w:webHidden/>
          </w:rPr>
          <w:tab/>
        </w:r>
        <w:r>
          <w:rPr>
            <w:webHidden/>
          </w:rPr>
          <w:fldChar w:fldCharType="begin"/>
        </w:r>
        <w:r>
          <w:rPr>
            <w:webHidden/>
          </w:rPr>
          <w:instrText xml:space="preserve"> PAGEREF _Toc89264405 \h </w:instrText>
        </w:r>
        <w:r>
          <w:rPr>
            <w:webHidden/>
          </w:rPr>
        </w:r>
        <w:r>
          <w:rPr>
            <w:webHidden/>
          </w:rPr>
          <w:fldChar w:fldCharType="separate"/>
        </w:r>
        <w:r>
          <w:rPr>
            <w:webHidden/>
          </w:rPr>
          <w:t>9</w:t>
        </w:r>
        <w:r>
          <w:rPr>
            <w:webHidden/>
          </w:rPr>
          <w:fldChar w:fldCharType="end"/>
        </w:r>
      </w:hyperlink>
    </w:p>
    <w:p w14:paraId="3EEAC19E" w14:textId="77777777" w:rsidR="00AF20C0" w:rsidRPr="00AF20C0" w:rsidRDefault="00AF20C0">
      <w:pPr>
        <w:pStyle w:val="TJ2"/>
        <w:rPr>
          <w:rFonts w:ascii="Calibri" w:hAnsi="Calibri"/>
          <w:snapToGrid/>
          <w:szCs w:val="22"/>
        </w:rPr>
      </w:pPr>
      <w:hyperlink w:anchor="_Toc89264406" w:history="1">
        <w:r w:rsidRPr="00A93FE9">
          <w:rPr>
            <w:rStyle w:val="Hiperhivatkozs"/>
          </w:rPr>
          <w:t>5.2</w:t>
        </w:r>
        <w:r w:rsidRPr="00AF20C0">
          <w:rPr>
            <w:rFonts w:ascii="Calibri" w:hAnsi="Calibri"/>
            <w:snapToGrid/>
            <w:szCs w:val="22"/>
          </w:rPr>
          <w:tab/>
        </w:r>
        <w:r w:rsidRPr="00A93FE9">
          <w:rPr>
            <w:rStyle w:val="Hiperhivatkozs"/>
          </w:rPr>
          <w:t>Egydevizás kamatlábalapú származékos ügyletek</w:t>
        </w:r>
        <w:r>
          <w:rPr>
            <w:webHidden/>
          </w:rPr>
          <w:tab/>
        </w:r>
        <w:r>
          <w:rPr>
            <w:webHidden/>
          </w:rPr>
          <w:fldChar w:fldCharType="begin"/>
        </w:r>
        <w:r>
          <w:rPr>
            <w:webHidden/>
          </w:rPr>
          <w:instrText xml:space="preserve"> PAGEREF _Toc89264406 \h </w:instrText>
        </w:r>
        <w:r>
          <w:rPr>
            <w:webHidden/>
          </w:rPr>
        </w:r>
        <w:r>
          <w:rPr>
            <w:webHidden/>
          </w:rPr>
          <w:fldChar w:fldCharType="separate"/>
        </w:r>
        <w:r>
          <w:rPr>
            <w:webHidden/>
          </w:rPr>
          <w:t>10</w:t>
        </w:r>
        <w:r>
          <w:rPr>
            <w:webHidden/>
          </w:rPr>
          <w:fldChar w:fldCharType="end"/>
        </w:r>
      </w:hyperlink>
    </w:p>
    <w:p w14:paraId="4F129540" w14:textId="77777777" w:rsidR="00AF20C0" w:rsidRPr="00AF20C0" w:rsidRDefault="00AF20C0">
      <w:pPr>
        <w:pStyle w:val="TJ2"/>
        <w:rPr>
          <w:rFonts w:ascii="Calibri" w:hAnsi="Calibri"/>
          <w:snapToGrid/>
          <w:szCs w:val="22"/>
        </w:rPr>
      </w:pPr>
      <w:hyperlink w:anchor="_Toc89264407" w:history="1">
        <w:r w:rsidRPr="00A93FE9">
          <w:rPr>
            <w:rStyle w:val="Hiperhivatkozs"/>
          </w:rPr>
          <w:t>5.3.</w:t>
        </w:r>
        <w:r w:rsidRPr="00AF20C0">
          <w:rPr>
            <w:rFonts w:ascii="Calibri" w:hAnsi="Calibri"/>
            <w:snapToGrid/>
            <w:szCs w:val="22"/>
          </w:rPr>
          <w:tab/>
        </w:r>
        <w:r w:rsidRPr="00A93FE9">
          <w:rPr>
            <w:rStyle w:val="Hiperhivatkozs"/>
          </w:rPr>
          <w:t>Részvény- és tőzsdeindex-alapú származékos termékek</w:t>
        </w:r>
        <w:r>
          <w:rPr>
            <w:webHidden/>
          </w:rPr>
          <w:tab/>
        </w:r>
        <w:r>
          <w:rPr>
            <w:webHidden/>
          </w:rPr>
          <w:fldChar w:fldCharType="begin"/>
        </w:r>
        <w:r>
          <w:rPr>
            <w:webHidden/>
          </w:rPr>
          <w:instrText xml:space="preserve"> PAGEREF _Toc89264407 \h </w:instrText>
        </w:r>
        <w:r>
          <w:rPr>
            <w:webHidden/>
          </w:rPr>
        </w:r>
        <w:r>
          <w:rPr>
            <w:webHidden/>
          </w:rPr>
          <w:fldChar w:fldCharType="separate"/>
        </w:r>
        <w:r>
          <w:rPr>
            <w:webHidden/>
          </w:rPr>
          <w:t>12</w:t>
        </w:r>
        <w:r>
          <w:rPr>
            <w:webHidden/>
          </w:rPr>
          <w:fldChar w:fldCharType="end"/>
        </w:r>
      </w:hyperlink>
    </w:p>
    <w:p w14:paraId="16F4A3B3" w14:textId="77777777" w:rsidR="00AF20C0" w:rsidRPr="00AF20C0" w:rsidRDefault="00AF20C0">
      <w:pPr>
        <w:pStyle w:val="TJ2"/>
        <w:rPr>
          <w:rFonts w:ascii="Calibri" w:hAnsi="Calibri"/>
          <w:snapToGrid/>
          <w:szCs w:val="22"/>
        </w:rPr>
      </w:pPr>
      <w:hyperlink w:anchor="_Toc89264408" w:history="1">
        <w:r w:rsidRPr="00A93FE9">
          <w:rPr>
            <w:rStyle w:val="Hiperhivatkozs"/>
          </w:rPr>
          <w:t>5.4.</w:t>
        </w:r>
        <w:r w:rsidRPr="00AF20C0">
          <w:rPr>
            <w:rFonts w:ascii="Calibri" w:hAnsi="Calibri"/>
            <w:snapToGrid/>
            <w:szCs w:val="22"/>
          </w:rPr>
          <w:tab/>
        </w:r>
        <w:r w:rsidRPr="00A93FE9">
          <w:rPr>
            <w:rStyle w:val="Hiperhivatkozs"/>
          </w:rPr>
          <w:t>Árualapú származékos termékek</w:t>
        </w:r>
        <w:r>
          <w:rPr>
            <w:webHidden/>
          </w:rPr>
          <w:tab/>
        </w:r>
        <w:r>
          <w:rPr>
            <w:webHidden/>
          </w:rPr>
          <w:fldChar w:fldCharType="begin"/>
        </w:r>
        <w:r>
          <w:rPr>
            <w:webHidden/>
          </w:rPr>
          <w:instrText xml:space="preserve"> PAGEREF _Toc89264408 \h </w:instrText>
        </w:r>
        <w:r>
          <w:rPr>
            <w:webHidden/>
          </w:rPr>
        </w:r>
        <w:r>
          <w:rPr>
            <w:webHidden/>
          </w:rPr>
          <w:fldChar w:fldCharType="separate"/>
        </w:r>
        <w:r>
          <w:rPr>
            <w:webHidden/>
          </w:rPr>
          <w:t>12</w:t>
        </w:r>
        <w:r>
          <w:rPr>
            <w:webHidden/>
          </w:rPr>
          <w:fldChar w:fldCharType="end"/>
        </w:r>
      </w:hyperlink>
    </w:p>
    <w:p w14:paraId="4238CFA3" w14:textId="77777777" w:rsidR="00AF20C0" w:rsidRPr="00AF20C0" w:rsidRDefault="00AF20C0">
      <w:pPr>
        <w:pStyle w:val="TJ2"/>
        <w:rPr>
          <w:rFonts w:ascii="Calibri" w:hAnsi="Calibri"/>
          <w:snapToGrid/>
          <w:szCs w:val="22"/>
        </w:rPr>
      </w:pPr>
      <w:hyperlink w:anchor="_Toc89264409" w:history="1">
        <w:r w:rsidRPr="00A93FE9">
          <w:rPr>
            <w:rStyle w:val="Hiperhivatkozs"/>
          </w:rPr>
          <w:t>5.5.</w:t>
        </w:r>
        <w:r w:rsidRPr="00AF20C0">
          <w:rPr>
            <w:rFonts w:ascii="Calibri" w:hAnsi="Calibri"/>
            <w:snapToGrid/>
            <w:szCs w:val="22"/>
          </w:rPr>
          <w:tab/>
        </w:r>
        <w:r w:rsidRPr="00A93FE9">
          <w:rPr>
            <w:rStyle w:val="Hiperhivatkozs"/>
          </w:rPr>
          <w:t>Hitelderivatívák</w:t>
        </w:r>
        <w:r>
          <w:rPr>
            <w:webHidden/>
          </w:rPr>
          <w:tab/>
        </w:r>
        <w:r>
          <w:rPr>
            <w:webHidden/>
          </w:rPr>
          <w:fldChar w:fldCharType="begin"/>
        </w:r>
        <w:r>
          <w:rPr>
            <w:webHidden/>
          </w:rPr>
          <w:instrText xml:space="preserve"> PAGEREF _Toc89264409 \h </w:instrText>
        </w:r>
        <w:r>
          <w:rPr>
            <w:webHidden/>
          </w:rPr>
        </w:r>
        <w:r>
          <w:rPr>
            <w:webHidden/>
          </w:rPr>
          <w:fldChar w:fldCharType="separate"/>
        </w:r>
        <w:r>
          <w:rPr>
            <w:webHidden/>
          </w:rPr>
          <w:t>12</w:t>
        </w:r>
        <w:r>
          <w:rPr>
            <w:webHidden/>
          </w:rPr>
          <w:fldChar w:fldCharType="end"/>
        </w:r>
      </w:hyperlink>
    </w:p>
    <w:p w14:paraId="1882703E" w14:textId="77777777" w:rsidR="00AF20C0" w:rsidRPr="00AF20C0" w:rsidRDefault="00AF20C0">
      <w:pPr>
        <w:pStyle w:val="TJ1"/>
        <w:rPr>
          <w:rFonts w:ascii="Calibri" w:hAnsi="Calibri"/>
          <w:snapToGrid/>
          <w:szCs w:val="22"/>
        </w:rPr>
      </w:pPr>
      <w:hyperlink w:anchor="_Toc89264410" w:history="1">
        <w:r w:rsidRPr="00A93FE9">
          <w:rPr>
            <w:rStyle w:val="Hiperhivatkozs"/>
          </w:rPr>
          <w:t>6.</w:t>
        </w:r>
        <w:r w:rsidRPr="00AF20C0">
          <w:rPr>
            <w:rFonts w:ascii="Calibri" w:hAnsi="Calibri"/>
            <w:snapToGrid/>
            <w:szCs w:val="22"/>
          </w:rPr>
          <w:tab/>
        </w:r>
        <w:r w:rsidRPr="00A93FE9">
          <w:rPr>
            <w:rStyle w:val="Hiperhivatkozs"/>
          </w:rPr>
          <w:t>Devizák és egyéb kockázati tényezők bontása</w:t>
        </w:r>
        <w:r>
          <w:rPr>
            <w:webHidden/>
          </w:rPr>
          <w:tab/>
        </w:r>
        <w:r>
          <w:rPr>
            <w:webHidden/>
          </w:rPr>
          <w:fldChar w:fldCharType="begin"/>
        </w:r>
        <w:r>
          <w:rPr>
            <w:webHidden/>
          </w:rPr>
          <w:instrText xml:space="preserve"> PAGEREF _Toc89264410 \h </w:instrText>
        </w:r>
        <w:r>
          <w:rPr>
            <w:webHidden/>
          </w:rPr>
        </w:r>
        <w:r>
          <w:rPr>
            <w:webHidden/>
          </w:rPr>
          <w:fldChar w:fldCharType="separate"/>
        </w:r>
        <w:r>
          <w:rPr>
            <w:webHidden/>
          </w:rPr>
          <w:t>13</w:t>
        </w:r>
        <w:r>
          <w:rPr>
            <w:webHidden/>
          </w:rPr>
          <w:fldChar w:fldCharType="end"/>
        </w:r>
      </w:hyperlink>
    </w:p>
    <w:p w14:paraId="5F18ADB3" w14:textId="77777777" w:rsidR="00AF20C0" w:rsidRPr="00AF20C0" w:rsidRDefault="00AF20C0">
      <w:pPr>
        <w:pStyle w:val="TJ1"/>
        <w:rPr>
          <w:rFonts w:ascii="Calibri" w:hAnsi="Calibri"/>
          <w:snapToGrid/>
          <w:szCs w:val="22"/>
        </w:rPr>
      </w:pPr>
      <w:hyperlink w:anchor="_Toc89264411" w:history="1">
        <w:r w:rsidRPr="00A93FE9">
          <w:rPr>
            <w:rStyle w:val="Hiperhivatkozs"/>
          </w:rPr>
          <w:t>7.</w:t>
        </w:r>
        <w:r w:rsidRPr="00AF20C0">
          <w:rPr>
            <w:rFonts w:ascii="Calibri" w:hAnsi="Calibri"/>
            <w:snapToGrid/>
            <w:szCs w:val="22"/>
          </w:rPr>
          <w:tab/>
        </w:r>
        <w:r w:rsidRPr="00A93FE9">
          <w:rPr>
            <w:rStyle w:val="Hiperhivatkozs"/>
          </w:rPr>
          <w:t>Lejáratok</w:t>
        </w:r>
        <w:r>
          <w:rPr>
            <w:webHidden/>
          </w:rPr>
          <w:tab/>
        </w:r>
        <w:r>
          <w:rPr>
            <w:webHidden/>
          </w:rPr>
          <w:fldChar w:fldCharType="begin"/>
        </w:r>
        <w:r>
          <w:rPr>
            <w:webHidden/>
          </w:rPr>
          <w:instrText xml:space="preserve"> PAGEREF _Toc89264411 \h </w:instrText>
        </w:r>
        <w:r>
          <w:rPr>
            <w:webHidden/>
          </w:rPr>
        </w:r>
        <w:r>
          <w:rPr>
            <w:webHidden/>
          </w:rPr>
          <w:fldChar w:fldCharType="separate"/>
        </w:r>
        <w:r>
          <w:rPr>
            <w:webHidden/>
          </w:rPr>
          <w:t>13</w:t>
        </w:r>
        <w:r>
          <w:rPr>
            <w:webHidden/>
          </w:rPr>
          <w:fldChar w:fldCharType="end"/>
        </w:r>
      </w:hyperlink>
    </w:p>
    <w:p w14:paraId="50CC8830" w14:textId="77777777" w:rsidR="00AF20C0" w:rsidRPr="00AF20C0" w:rsidRDefault="00AF20C0">
      <w:pPr>
        <w:pStyle w:val="TJ1"/>
        <w:rPr>
          <w:rFonts w:ascii="Calibri" w:hAnsi="Calibri"/>
          <w:snapToGrid/>
          <w:szCs w:val="22"/>
        </w:rPr>
      </w:pPr>
      <w:hyperlink w:anchor="_Toc89264412" w:history="1">
        <w:r w:rsidRPr="00A93FE9">
          <w:rPr>
            <w:rStyle w:val="Hiperhivatkozs"/>
          </w:rPr>
          <w:t>B.</w:t>
        </w:r>
        <w:r w:rsidRPr="00AF20C0">
          <w:rPr>
            <w:rFonts w:ascii="Calibri" w:hAnsi="Calibri"/>
            <w:snapToGrid/>
            <w:szCs w:val="22"/>
          </w:rPr>
          <w:tab/>
        </w:r>
        <w:r w:rsidRPr="00A93FE9">
          <w:rPr>
            <w:rStyle w:val="Hiperhivatkozs"/>
          </w:rPr>
          <w:t>CDS-ek (Hitel-nemteljesítési csereügyletek)</w:t>
        </w:r>
        <w:r>
          <w:rPr>
            <w:webHidden/>
          </w:rPr>
          <w:tab/>
        </w:r>
        <w:r>
          <w:rPr>
            <w:webHidden/>
          </w:rPr>
          <w:fldChar w:fldCharType="begin"/>
        </w:r>
        <w:r>
          <w:rPr>
            <w:webHidden/>
          </w:rPr>
          <w:instrText xml:space="preserve"> PAGEREF _Toc89264412 \h </w:instrText>
        </w:r>
        <w:r>
          <w:rPr>
            <w:webHidden/>
          </w:rPr>
        </w:r>
        <w:r>
          <w:rPr>
            <w:webHidden/>
          </w:rPr>
          <w:fldChar w:fldCharType="separate"/>
        </w:r>
        <w:r>
          <w:rPr>
            <w:webHidden/>
          </w:rPr>
          <w:t>14</w:t>
        </w:r>
        <w:r>
          <w:rPr>
            <w:webHidden/>
          </w:rPr>
          <w:fldChar w:fldCharType="end"/>
        </w:r>
      </w:hyperlink>
    </w:p>
    <w:p w14:paraId="5191834F" w14:textId="77777777" w:rsidR="00AF20C0" w:rsidRPr="00AF20C0" w:rsidRDefault="00AF20C0">
      <w:pPr>
        <w:pStyle w:val="TJ2"/>
        <w:rPr>
          <w:rFonts w:ascii="Calibri" w:hAnsi="Calibri"/>
          <w:snapToGrid/>
          <w:szCs w:val="22"/>
        </w:rPr>
      </w:pPr>
      <w:hyperlink w:anchor="_Toc89264413" w:history="1">
        <w:r w:rsidRPr="00A93FE9">
          <w:rPr>
            <w:rStyle w:val="Hiperhivatkozs"/>
          </w:rPr>
          <w:t>1.</w:t>
        </w:r>
        <w:r w:rsidRPr="00AF20C0">
          <w:rPr>
            <w:rFonts w:ascii="Calibri" w:hAnsi="Calibri"/>
            <w:snapToGrid/>
            <w:szCs w:val="22"/>
          </w:rPr>
          <w:tab/>
        </w:r>
        <w:r w:rsidRPr="00A93FE9">
          <w:rPr>
            <w:rStyle w:val="Hiperhivatkozs"/>
          </w:rPr>
          <w:t>Partnerek</w:t>
        </w:r>
        <w:r>
          <w:rPr>
            <w:webHidden/>
          </w:rPr>
          <w:tab/>
        </w:r>
        <w:r>
          <w:rPr>
            <w:webHidden/>
          </w:rPr>
          <w:fldChar w:fldCharType="begin"/>
        </w:r>
        <w:r>
          <w:rPr>
            <w:webHidden/>
          </w:rPr>
          <w:instrText xml:space="preserve"> PAGEREF _Toc89264413 \h </w:instrText>
        </w:r>
        <w:r>
          <w:rPr>
            <w:webHidden/>
          </w:rPr>
        </w:r>
        <w:r>
          <w:rPr>
            <w:webHidden/>
          </w:rPr>
          <w:fldChar w:fldCharType="separate"/>
        </w:r>
        <w:r>
          <w:rPr>
            <w:webHidden/>
          </w:rPr>
          <w:t>14</w:t>
        </w:r>
        <w:r>
          <w:rPr>
            <w:webHidden/>
          </w:rPr>
          <w:fldChar w:fldCharType="end"/>
        </w:r>
      </w:hyperlink>
    </w:p>
    <w:p w14:paraId="566760CA" w14:textId="77777777" w:rsidR="00AF20C0" w:rsidRPr="00AF20C0" w:rsidRDefault="00AF20C0">
      <w:pPr>
        <w:pStyle w:val="TJ2"/>
        <w:rPr>
          <w:rFonts w:ascii="Calibri" w:hAnsi="Calibri"/>
          <w:snapToGrid/>
          <w:szCs w:val="22"/>
        </w:rPr>
      </w:pPr>
      <w:hyperlink w:anchor="_Toc89264414" w:history="1">
        <w:r w:rsidRPr="00A93FE9">
          <w:rPr>
            <w:rStyle w:val="Hiperhivatkozs"/>
          </w:rPr>
          <w:t>2.</w:t>
        </w:r>
        <w:r w:rsidRPr="00AF20C0">
          <w:rPr>
            <w:rFonts w:ascii="Calibri" w:hAnsi="Calibri"/>
            <w:snapToGrid/>
            <w:szCs w:val="22"/>
          </w:rPr>
          <w:tab/>
        </w:r>
        <w:r w:rsidRPr="00A93FE9">
          <w:rPr>
            <w:rStyle w:val="Hiperhivatkozs"/>
          </w:rPr>
          <w:t>Kért adattípusok</w:t>
        </w:r>
        <w:r>
          <w:rPr>
            <w:webHidden/>
          </w:rPr>
          <w:tab/>
        </w:r>
        <w:r>
          <w:rPr>
            <w:webHidden/>
          </w:rPr>
          <w:fldChar w:fldCharType="begin"/>
        </w:r>
        <w:r>
          <w:rPr>
            <w:webHidden/>
          </w:rPr>
          <w:instrText xml:space="preserve"> PAGEREF _Toc89264414 \h </w:instrText>
        </w:r>
        <w:r>
          <w:rPr>
            <w:webHidden/>
          </w:rPr>
        </w:r>
        <w:r>
          <w:rPr>
            <w:webHidden/>
          </w:rPr>
          <w:fldChar w:fldCharType="separate"/>
        </w:r>
        <w:r>
          <w:rPr>
            <w:webHidden/>
          </w:rPr>
          <w:t>15</w:t>
        </w:r>
        <w:r>
          <w:rPr>
            <w:webHidden/>
          </w:rPr>
          <w:fldChar w:fldCharType="end"/>
        </w:r>
      </w:hyperlink>
    </w:p>
    <w:p w14:paraId="56F8FF39" w14:textId="77777777" w:rsidR="00AF20C0" w:rsidRPr="00AF20C0" w:rsidRDefault="00AF20C0">
      <w:pPr>
        <w:pStyle w:val="TJ3"/>
        <w:rPr>
          <w:rFonts w:ascii="Calibri" w:hAnsi="Calibri"/>
          <w:snapToGrid/>
          <w:szCs w:val="22"/>
        </w:rPr>
      </w:pPr>
      <w:hyperlink w:anchor="_Toc89264415" w:history="1">
        <w:r w:rsidRPr="00A93FE9">
          <w:rPr>
            <w:rStyle w:val="Hiperhivatkozs"/>
          </w:rPr>
          <w:t>2.1</w:t>
        </w:r>
        <w:r w:rsidRPr="00AF20C0">
          <w:rPr>
            <w:rFonts w:ascii="Calibri" w:hAnsi="Calibri"/>
            <w:snapToGrid/>
            <w:szCs w:val="22"/>
          </w:rPr>
          <w:tab/>
        </w:r>
        <w:r w:rsidRPr="00A93FE9">
          <w:rPr>
            <w:rStyle w:val="Hiperhivatkozs"/>
          </w:rPr>
          <w:t xml:space="preserve"> Vásárolt és értékesített névleges nyitott kötésállomány</w:t>
        </w:r>
        <w:r>
          <w:rPr>
            <w:webHidden/>
          </w:rPr>
          <w:tab/>
        </w:r>
        <w:r>
          <w:rPr>
            <w:webHidden/>
          </w:rPr>
          <w:fldChar w:fldCharType="begin"/>
        </w:r>
        <w:r>
          <w:rPr>
            <w:webHidden/>
          </w:rPr>
          <w:instrText xml:space="preserve"> PAGEREF _Toc89264415 \h </w:instrText>
        </w:r>
        <w:r>
          <w:rPr>
            <w:webHidden/>
          </w:rPr>
        </w:r>
        <w:r>
          <w:rPr>
            <w:webHidden/>
          </w:rPr>
          <w:fldChar w:fldCharType="separate"/>
        </w:r>
        <w:r>
          <w:rPr>
            <w:webHidden/>
          </w:rPr>
          <w:t>15</w:t>
        </w:r>
        <w:r>
          <w:rPr>
            <w:webHidden/>
          </w:rPr>
          <w:fldChar w:fldCharType="end"/>
        </w:r>
      </w:hyperlink>
    </w:p>
    <w:p w14:paraId="2963FF61" w14:textId="77777777" w:rsidR="00AF20C0" w:rsidRPr="00AF20C0" w:rsidRDefault="00AF20C0">
      <w:pPr>
        <w:pStyle w:val="TJ3"/>
        <w:rPr>
          <w:rFonts w:ascii="Calibri" w:hAnsi="Calibri"/>
          <w:snapToGrid/>
          <w:szCs w:val="22"/>
        </w:rPr>
      </w:pPr>
      <w:hyperlink w:anchor="_Toc89264416" w:history="1">
        <w:r w:rsidRPr="00A93FE9">
          <w:rPr>
            <w:rStyle w:val="Hiperhivatkozs"/>
          </w:rPr>
          <w:t>2.2</w:t>
        </w:r>
        <w:r w:rsidRPr="00AF20C0">
          <w:rPr>
            <w:rFonts w:ascii="Calibri" w:hAnsi="Calibri"/>
            <w:snapToGrid/>
            <w:szCs w:val="22"/>
          </w:rPr>
          <w:tab/>
        </w:r>
        <w:r w:rsidRPr="00A93FE9">
          <w:rPr>
            <w:rStyle w:val="Hiperhivatkozs"/>
          </w:rPr>
          <w:t xml:space="preserve"> Bruttó piaci érték</w:t>
        </w:r>
        <w:r>
          <w:rPr>
            <w:webHidden/>
          </w:rPr>
          <w:tab/>
        </w:r>
        <w:r>
          <w:rPr>
            <w:webHidden/>
          </w:rPr>
          <w:fldChar w:fldCharType="begin"/>
        </w:r>
        <w:r>
          <w:rPr>
            <w:webHidden/>
          </w:rPr>
          <w:instrText xml:space="preserve"> PAGEREF _Toc89264416 \h </w:instrText>
        </w:r>
        <w:r>
          <w:rPr>
            <w:webHidden/>
          </w:rPr>
        </w:r>
        <w:r>
          <w:rPr>
            <w:webHidden/>
          </w:rPr>
          <w:fldChar w:fldCharType="separate"/>
        </w:r>
        <w:r>
          <w:rPr>
            <w:webHidden/>
          </w:rPr>
          <w:t>16</w:t>
        </w:r>
        <w:r>
          <w:rPr>
            <w:webHidden/>
          </w:rPr>
          <w:fldChar w:fldCharType="end"/>
        </w:r>
      </w:hyperlink>
    </w:p>
    <w:p w14:paraId="7C4905A0" w14:textId="77777777" w:rsidR="00AF20C0" w:rsidRPr="00AF20C0" w:rsidRDefault="00AF20C0">
      <w:pPr>
        <w:pStyle w:val="TJ2"/>
        <w:rPr>
          <w:rFonts w:ascii="Calibri" w:hAnsi="Calibri"/>
          <w:snapToGrid/>
          <w:szCs w:val="22"/>
        </w:rPr>
      </w:pPr>
      <w:hyperlink w:anchor="_Toc89264417" w:history="1">
        <w:r w:rsidRPr="00A93FE9">
          <w:rPr>
            <w:rStyle w:val="Hiperhivatkozs"/>
          </w:rPr>
          <w:t>3.</w:t>
        </w:r>
        <w:r w:rsidRPr="00AF20C0">
          <w:rPr>
            <w:rFonts w:ascii="Calibri" w:hAnsi="Calibri"/>
            <w:snapToGrid/>
            <w:szCs w:val="22"/>
          </w:rPr>
          <w:tab/>
        </w:r>
        <w:r w:rsidRPr="00A93FE9">
          <w:rPr>
            <w:rStyle w:val="Hiperhivatkozs"/>
          </w:rPr>
          <w:t>Eszköz típusok</w:t>
        </w:r>
        <w:r>
          <w:rPr>
            <w:webHidden/>
          </w:rPr>
          <w:tab/>
        </w:r>
        <w:r>
          <w:rPr>
            <w:webHidden/>
          </w:rPr>
          <w:fldChar w:fldCharType="begin"/>
        </w:r>
        <w:r>
          <w:rPr>
            <w:webHidden/>
          </w:rPr>
          <w:instrText xml:space="preserve"> PAGEREF _Toc89264417 \h </w:instrText>
        </w:r>
        <w:r>
          <w:rPr>
            <w:webHidden/>
          </w:rPr>
        </w:r>
        <w:r>
          <w:rPr>
            <w:webHidden/>
          </w:rPr>
          <w:fldChar w:fldCharType="separate"/>
        </w:r>
        <w:r>
          <w:rPr>
            <w:webHidden/>
          </w:rPr>
          <w:t>16</w:t>
        </w:r>
        <w:r>
          <w:rPr>
            <w:webHidden/>
          </w:rPr>
          <w:fldChar w:fldCharType="end"/>
        </w:r>
      </w:hyperlink>
    </w:p>
    <w:p w14:paraId="1869BFB7" w14:textId="77777777" w:rsidR="00AF20C0" w:rsidRPr="00AF20C0" w:rsidRDefault="00AF20C0">
      <w:pPr>
        <w:pStyle w:val="TJ2"/>
        <w:rPr>
          <w:rFonts w:ascii="Calibri" w:hAnsi="Calibri"/>
          <w:snapToGrid/>
          <w:szCs w:val="22"/>
        </w:rPr>
      </w:pPr>
      <w:hyperlink w:anchor="_Toc89264418" w:history="1">
        <w:r w:rsidRPr="00A93FE9">
          <w:rPr>
            <w:rStyle w:val="Hiperhivatkozs"/>
          </w:rPr>
          <w:t>4.</w:t>
        </w:r>
        <w:r w:rsidRPr="00AF20C0">
          <w:rPr>
            <w:rFonts w:ascii="Calibri" w:hAnsi="Calibri"/>
            <w:snapToGrid/>
            <w:szCs w:val="22"/>
          </w:rPr>
          <w:tab/>
        </w:r>
        <w:r w:rsidRPr="00A93FE9">
          <w:rPr>
            <w:rStyle w:val="Hiperhivatkozs"/>
          </w:rPr>
          <w:t>Ágazat</w:t>
        </w:r>
        <w:r>
          <w:rPr>
            <w:webHidden/>
          </w:rPr>
          <w:tab/>
        </w:r>
        <w:r>
          <w:rPr>
            <w:webHidden/>
          </w:rPr>
          <w:fldChar w:fldCharType="begin"/>
        </w:r>
        <w:r>
          <w:rPr>
            <w:webHidden/>
          </w:rPr>
          <w:instrText xml:space="preserve"> PAGEREF _Toc89264418 \h </w:instrText>
        </w:r>
        <w:r>
          <w:rPr>
            <w:webHidden/>
          </w:rPr>
        </w:r>
        <w:r>
          <w:rPr>
            <w:webHidden/>
          </w:rPr>
          <w:fldChar w:fldCharType="separate"/>
        </w:r>
        <w:r>
          <w:rPr>
            <w:webHidden/>
          </w:rPr>
          <w:t>16</w:t>
        </w:r>
        <w:r>
          <w:rPr>
            <w:webHidden/>
          </w:rPr>
          <w:fldChar w:fldCharType="end"/>
        </w:r>
      </w:hyperlink>
    </w:p>
    <w:p w14:paraId="2BEC9B3C" w14:textId="77777777" w:rsidR="00AF20C0" w:rsidRPr="00AF20C0" w:rsidRDefault="00AF20C0">
      <w:pPr>
        <w:pStyle w:val="TJ1"/>
        <w:rPr>
          <w:rFonts w:ascii="Calibri" w:hAnsi="Calibri"/>
          <w:snapToGrid/>
          <w:szCs w:val="22"/>
        </w:rPr>
      </w:pPr>
      <w:hyperlink w:anchor="_Toc89264419" w:history="1">
        <w:r w:rsidRPr="00A93FE9">
          <w:rPr>
            <w:rStyle w:val="Hiperhivatkozs"/>
            <w:bCs/>
            <w:lang w:val="hu"/>
          </w:rPr>
          <w:t xml:space="preserve">C </w:t>
        </w:r>
        <w:r w:rsidRPr="00AF20C0">
          <w:rPr>
            <w:rFonts w:ascii="Calibri" w:hAnsi="Calibri"/>
            <w:snapToGrid/>
            <w:szCs w:val="22"/>
          </w:rPr>
          <w:tab/>
        </w:r>
        <w:r w:rsidRPr="00A93FE9">
          <w:rPr>
            <w:rStyle w:val="Hiperhivatkozs"/>
            <w:bCs/>
            <w:lang w:val="hu"/>
          </w:rPr>
          <w:t>Adatszolgáltatási konvenciók</w:t>
        </w:r>
        <w:r>
          <w:rPr>
            <w:webHidden/>
          </w:rPr>
          <w:tab/>
        </w:r>
        <w:r>
          <w:rPr>
            <w:webHidden/>
          </w:rPr>
          <w:fldChar w:fldCharType="begin"/>
        </w:r>
        <w:r>
          <w:rPr>
            <w:webHidden/>
          </w:rPr>
          <w:instrText xml:space="preserve"> PAGEREF _Toc89264419 \h </w:instrText>
        </w:r>
        <w:r>
          <w:rPr>
            <w:webHidden/>
          </w:rPr>
        </w:r>
        <w:r>
          <w:rPr>
            <w:webHidden/>
          </w:rPr>
          <w:fldChar w:fldCharType="separate"/>
        </w:r>
        <w:r>
          <w:rPr>
            <w:webHidden/>
          </w:rPr>
          <w:t>17</w:t>
        </w:r>
        <w:r>
          <w:rPr>
            <w:webHidden/>
          </w:rPr>
          <w:fldChar w:fldCharType="end"/>
        </w:r>
      </w:hyperlink>
    </w:p>
    <w:p w14:paraId="2F0C18C7" w14:textId="77777777" w:rsidR="00AF20C0" w:rsidRPr="00AF20C0" w:rsidRDefault="00AF20C0">
      <w:pPr>
        <w:pStyle w:val="TJ2"/>
        <w:rPr>
          <w:rFonts w:ascii="Calibri" w:hAnsi="Calibri"/>
          <w:snapToGrid/>
          <w:szCs w:val="22"/>
        </w:rPr>
      </w:pPr>
      <w:hyperlink w:anchor="_Toc89264420" w:history="1">
        <w:r w:rsidRPr="00A93FE9">
          <w:rPr>
            <w:rStyle w:val="Hiperhivatkozs"/>
            <w:bCs/>
          </w:rPr>
          <w:t>1.</w:t>
        </w:r>
        <w:r w:rsidRPr="00AF20C0">
          <w:rPr>
            <w:rFonts w:ascii="Calibri" w:hAnsi="Calibri"/>
            <w:snapToGrid/>
            <w:szCs w:val="22"/>
          </w:rPr>
          <w:tab/>
        </w:r>
        <w:r w:rsidRPr="00A93FE9">
          <w:rPr>
            <w:rStyle w:val="Hiperhivatkozs"/>
            <w:bCs/>
            <w:lang w:val="hu"/>
          </w:rPr>
          <w:t>Adatszolgáltatási sablon</w:t>
        </w:r>
        <w:r>
          <w:rPr>
            <w:webHidden/>
          </w:rPr>
          <w:tab/>
        </w:r>
        <w:r>
          <w:rPr>
            <w:webHidden/>
          </w:rPr>
          <w:fldChar w:fldCharType="begin"/>
        </w:r>
        <w:r>
          <w:rPr>
            <w:webHidden/>
          </w:rPr>
          <w:instrText xml:space="preserve"> PAGEREF _Toc89264420 \h </w:instrText>
        </w:r>
        <w:r>
          <w:rPr>
            <w:webHidden/>
          </w:rPr>
        </w:r>
        <w:r>
          <w:rPr>
            <w:webHidden/>
          </w:rPr>
          <w:fldChar w:fldCharType="separate"/>
        </w:r>
        <w:r>
          <w:rPr>
            <w:webHidden/>
          </w:rPr>
          <w:t>17</w:t>
        </w:r>
        <w:r>
          <w:rPr>
            <w:webHidden/>
          </w:rPr>
          <w:fldChar w:fldCharType="end"/>
        </w:r>
      </w:hyperlink>
    </w:p>
    <w:p w14:paraId="7E1F44CF" w14:textId="77777777" w:rsidR="00AF20C0" w:rsidRPr="00AF20C0" w:rsidRDefault="00AF20C0">
      <w:pPr>
        <w:pStyle w:val="TJ2"/>
        <w:rPr>
          <w:rFonts w:ascii="Calibri" w:hAnsi="Calibri"/>
          <w:snapToGrid/>
          <w:szCs w:val="22"/>
        </w:rPr>
      </w:pPr>
      <w:hyperlink w:anchor="_Toc89264421" w:history="1">
        <w:r w:rsidRPr="00A93FE9">
          <w:rPr>
            <w:rStyle w:val="Hiperhivatkozs"/>
          </w:rPr>
          <w:t>2.</w:t>
        </w:r>
        <w:r w:rsidRPr="00AF20C0">
          <w:rPr>
            <w:rFonts w:ascii="Calibri" w:hAnsi="Calibri"/>
            <w:snapToGrid/>
            <w:szCs w:val="22"/>
          </w:rPr>
          <w:tab/>
        </w:r>
        <w:r w:rsidRPr="00A93FE9">
          <w:rPr>
            <w:rStyle w:val="Hiperhivatkozs"/>
          </w:rPr>
          <w:t>Kerekítés</w:t>
        </w:r>
        <w:r>
          <w:rPr>
            <w:webHidden/>
          </w:rPr>
          <w:tab/>
        </w:r>
        <w:r>
          <w:rPr>
            <w:webHidden/>
          </w:rPr>
          <w:fldChar w:fldCharType="begin"/>
        </w:r>
        <w:r>
          <w:rPr>
            <w:webHidden/>
          </w:rPr>
          <w:instrText xml:space="preserve"> PAGEREF _Toc89264421 \h </w:instrText>
        </w:r>
        <w:r>
          <w:rPr>
            <w:webHidden/>
          </w:rPr>
        </w:r>
        <w:r>
          <w:rPr>
            <w:webHidden/>
          </w:rPr>
          <w:fldChar w:fldCharType="separate"/>
        </w:r>
        <w:r>
          <w:rPr>
            <w:webHidden/>
          </w:rPr>
          <w:t>18</w:t>
        </w:r>
        <w:r>
          <w:rPr>
            <w:webHidden/>
          </w:rPr>
          <w:fldChar w:fldCharType="end"/>
        </w:r>
      </w:hyperlink>
    </w:p>
    <w:p w14:paraId="109FB416" w14:textId="77777777" w:rsidR="00AF20C0" w:rsidRPr="00AF20C0" w:rsidRDefault="00AF20C0">
      <w:pPr>
        <w:pStyle w:val="TJ2"/>
        <w:rPr>
          <w:rFonts w:ascii="Calibri" w:hAnsi="Calibri"/>
          <w:snapToGrid/>
          <w:szCs w:val="22"/>
        </w:rPr>
      </w:pPr>
      <w:hyperlink w:anchor="_Toc89264422" w:history="1">
        <w:r w:rsidRPr="00A93FE9">
          <w:rPr>
            <w:rStyle w:val="Hiperhivatkozs"/>
          </w:rPr>
          <w:t>3.</w:t>
        </w:r>
        <w:r w:rsidRPr="00AF20C0">
          <w:rPr>
            <w:rFonts w:ascii="Calibri" w:hAnsi="Calibri"/>
            <w:snapToGrid/>
            <w:szCs w:val="22"/>
          </w:rPr>
          <w:tab/>
        </w:r>
        <w:r w:rsidRPr="00A93FE9">
          <w:rPr>
            <w:rStyle w:val="Hiperhivatkozs"/>
          </w:rPr>
          <w:t>A beszámoló pénzneme és devizakonverzió</w:t>
        </w:r>
        <w:r>
          <w:rPr>
            <w:webHidden/>
          </w:rPr>
          <w:tab/>
        </w:r>
        <w:r>
          <w:rPr>
            <w:webHidden/>
          </w:rPr>
          <w:fldChar w:fldCharType="begin"/>
        </w:r>
        <w:r>
          <w:rPr>
            <w:webHidden/>
          </w:rPr>
          <w:instrText xml:space="preserve"> PAGEREF _Toc89264422 \h </w:instrText>
        </w:r>
        <w:r>
          <w:rPr>
            <w:webHidden/>
          </w:rPr>
        </w:r>
        <w:r>
          <w:rPr>
            <w:webHidden/>
          </w:rPr>
          <w:fldChar w:fldCharType="separate"/>
        </w:r>
        <w:r>
          <w:rPr>
            <w:webHidden/>
          </w:rPr>
          <w:t>18</w:t>
        </w:r>
        <w:r>
          <w:rPr>
            <w:webHidden/>
          </w:rPr>
          <w:fldChar w:fldCharType="end"/>
        </w:r>
      </w:hyperlink>
    </w:p>
    <w:p w14:paraId="59CC5F45" w14:textId="77777777" w:rsidR="00AF20C0" w:rsidRPr="00AF20C0" w:rsidRDefault="00AF20C0">
      <w:pPr>
        <w:pStyle w:val="TJ1"/>
        <w:rPr>
          <w:rFonts w:ascii="Calibri" w:hAnsi="Calibri"/>
          <w:snapToGrid/>
          <w:szCs w:val="22"/>
        </w:rPr>
      </w:pPr>
      <w:hyperlink w:anchor="_Toc89264423" w:history="1">
        <w:r w:rsidRPr="00A93FE9">
          <w:rPr>
            <w:rStyle w:val="Hiperhivatkozs"/>
            <w:bCs/>
            <w:lang w:val="hu"/>
          </w:rPr>
          <w:t>1. melléklet: Példa a határidős és csereügyletek piaci értékének kiszámítására</w:t>
        </w:r>
        <w:r>
          <w:rPr>
            <w:webHidden/>
          </w:rPr>
          <w:tab/>
        </w:r>
        <w:r>
          <w:rPr>
            <w:webHidden/>
          </w:rPr>
          <w:fldChar w:fldCharType="begin"/>
        </w:r>
        <w:r>
          <w:rPr>
            <w:webHidden/>
          </w:rPr>
          <w:instrText xml:space="preserve"> PAGEREF _Toc89264423 \h </w:instrText>
        </w:r>
        <w:r>
          <w:rPr>
            <w:webHidden/>
          </w:rPr>
        </w:r>
        <w:r>
          <w:rPr>
            <w:webHidden/>
          </w:rPr>
          <w:fldChar w:fldCharType="separate"/>
        </w:r>
        <w:r>
          <w:rPr>
            <w:webHidden/>
          </w:rPr>
          <w:t>18</w:t>
        </w:r>
        <w:r>
          <w:rPr>
            <w:webHidden/>
          </w:rPr>
          <w:fldChar w:fldCharType="end"/>
        </w:r>
      </w:hyperlink>
    </w:p>
    <w:p w14:paraId="106FCB83" w14:textId="77777777" w:rsidR="00AF20C0" w:rsidRPr="00AF20C0" w:rsidRDefault="00AF20C0">
      <w:pPr>
        <w:pStyle w:val="TJ1"/>
        <w:rPr>
          <w:rFonts w:ascii="Calibri" w:hAnsi="Calibri"/>
          <w:snapToGrid/>
          <w:szCs w:val="22"/>
        </w:rPr>
      </w:pPr>
      <w:hyperlink w:anchor="_Toc89264424" w:history="1">
        <w:r w:rsidRPr="00A93FE9">
          <w:rPr>
            <w:rStyle w:val="Hiperhivatkozs"/>
            <w:bCs/>
          </w:rPr>
          <w:t>2</w:t>
        </w:r>
        <w:r>
          <w:rPr>
            <w:rStyle w:val="Hiperhivatkozs"/>
            <w:bCs/>
          </w:rPr>
          <w:t xml:space="preserve">. </w:t>
        </w:r>
        <w:r w:rsidRPr="00A93FE9">
          <w:rPr>
            <w:rStyle w:val="Hiperhivatkozs"/>
            <w:bCs/>
            <w:lang w:val="hu"/>
          </w:rPr>
          <w:t>melléklet: Központi szerződő felek (CCP) jegyzéke</w:t>
        </w:r>
        <w:r>
          <w:rPr>
            <w:webHidden/>
          </w:rPr>
          <w:tab/>
        </w:r>
        <w:r>
          <w:rPr>
            <w:webHidden/>
          </w:rPr>
          <w:fldChar w:fldCharType="begin"/>
        </w:r>
        <w:r>
          <w:rPr>
            <w:webHidden/>
          </w:rPr>
          <w:instrText xml:space="preserve"> PAGEREF _Toc89264424 \h </w:instrText>
        </w:r>
        <w:r>
          <w:rPr>
            <w:webHidden/>
          </w:rPr>
        </w:r>
        <w:r>
          <w:rPr>
            <w:webHidden/>
          </w:rPr>
          <w:fldChar w:fldCharType="separate"/>
        </w:r>
        <w:r>
          <w:rPr>
            <w:webHidden/>
          </w:rPr>
          <w:t>20</w:t>
        </w:r>
        <w:r>
          <w:rPr>
            <w:webHidden/>
          </w:rPr>
          <w:fldChar w:fldCharType="end"/>
        </w:r>
      </w:hyperlink>
    </w:p>
    <w:p w14:paraId="2BDF1438" w14:textId="77777777" w:rsidR="00AF20C0" w:rsidRPr="00AF20C0" w:rsidRDefault="00AF20C0">
      <w:pPr>
        <w:pStyle w:val="TJ1"/>
        <w:rPr>
          <w:rFonts w:ascii="Calibri" w:hAnsi="Calibri"/>
          <w:snapToGrid/>
          <w:szCs w:val="22"/>
        </w:rPr>
      </w:pPr>
      <w:hyperlink w:anchor="_Toc89264425" w:history="1">
        <w:r w:rsidRPr="00A93FE9">
          <w:rPr>
            <w:rStyle w:val="Hiperhivatkozs"/>
            <w:bCs/>
          </w:rPr>
          <w:t>3.</w:t>
        </w:r>
        <w:r w:rsidRPr="00AF20C0">
          <w:rPr>
            <w:rFonts w:ascii="Calibri" w:hAnsi="Calibri"/>
            <w:snapToGrid/>
            <w:szCs w:val="22"/>
          </w:rPr>
          <w:t xml:space="preserve"> </w:t>
        </w:r>
        <w:r w:rsidRPr="00A93FE9">
          <w:rPr>
            <w:rStyle w:val="Hiperhivatkozs"/>
            <w:bCs/>
            <w:lang w:val="hu"/>
          </w:rPr>
          <w:t>melléklet</w:t>
        </w:r>
        <w:r>
          <w:rPr>
            <w:rStyle w:val="Hiperhivatkozs"/>
            <w:bCs/>
            <w:lang w:val="hu"/>
          </w:rPr>
          <w:t>:</w:t>
        </w:r>
        <w:r w:rsidRPr="00A93FE9">
          <w:rPr>
            <w:rStyle w:val="Hiperhivatkozs"/>
            <w:bCs/>
            <w:lang w:val="hu"/>
          </w:rPr>
          <w:t xml:space="preserve"> Definíciók</w:t>
        </w:r>
        <w:r>
          <w:rPr>
            <w:webHidden/>
          </w:rPr>
          <w:tab/>
        </w:r>
        <w:r>
          <w:rPr>
            <w:webHidden/>
          </w:rPr>
          <w:fldChar w:fldCharType="begin"/>
        </w:r>
        <w:r>
          <w:rPr>
            <w:webHidden/>
          </w:rPr>
          <w:instrText xml:space="preserve"> PAGEREF _Toc89264425 \h </w:instrText>
        </w:r>
        <w:r>
          <w:rPr>
            <w:webHidden/>
          </w:rPr>
        </w:r>
        <w:r>
          <w:rPr>
            <w:webHidden/>
          </w:rPr>
          <w:fldChar w:fldCharType="separate"/>
        </w:r>
        <w:r>
          <w:rPr>
            <w:webHidden/>
          </w:rPr>
          <w:t>25</w:t>
        </w:r>
        <w:r>
          <w:rPr>
            <w:webHidden/>
          </w:rPr>
          <w:fldChar w:fldCharType="end"/>
        </w:r>
      </w:hyperlink>
    </w:p>
    <w:p w14:paraId="28176197" w14:textId="77777777" w:rsidR="00D313C3" w:rsidRPr="00FE5851" w:rsidRDefault="00D313C3">
      <w:pPr>
        <w:pStyle w:val="TJ1"/>
        <w:rPr>
          <w:rStyle w:val="Hiperhivatkozs"/>
          <w:noProof w:val="0"/>
          <w:szCs w:val="24"/>
        </w:rPr>
      </w:pPr>
      <w:r w:rsidRPr="00FE5851">
        <w:rPr>
          <w:noProof w:val="0"/>
          <w:szCs w:val="24"/>
        </w:rPr>
        <w:fldChar w:fldCharType="end"/>
      </w:r>
      <w:r w:rsidRPr="00FE5851">
        <w:rPr>
          <w:rStyle w:val="Hiperhivatkozs"/>
          <w:noProof w:val="0"/>
          <w:szCs w:val="24"/>
        </w:rPr>
        <w:t xml:space="preserve"> </w:t>
      </w:r>
    </w:p>
    <w:p w14:paraId="2407AF01" w14:textId="77777777" w:rsidR="00D313C3" w:rsidRPr="00FE5851" w:rsidRDefault="00D313C3">
      <w:pPr>
        <w:pStyle w:val="IndentedHeading1"/>
        <w:spacing w:before="0"/>
        <w:rPr>
          <w:szCs w:val="24"/>
          <w:lang w:val="hu-HU"/>
        </w:rPr>
      </w:pPr>
      <w:bookmarkStart w:id="0" w:name="_Toc89264392"/>
      <w:r w:rsidRPr="00FE5851">
        <w:rPr>
          <w:szCs w:val="24"/>
          <w:lang w:val="hu-HU"/>
        </w:rPr>
        <w:lastRenderedPageBreak/>
        <w:t>Bevezetés</w:t>
      </w:r>
      <w:bookmarkEnd w:id="0"/>
    </w:p>
    <w:p w14:paraId="55D18856" w14:textId="77777777" w:rsidR="00C403CF" w:rsidRDefault="00C92B05">
      <w:pPr>
        <w:pStyle w:val="Paragraph"/>
        <w:rPr>
          <w:szCs w:val="24"/>
          <w:lang w:val="hu-HU"/>
        </w:rPr>
      </w:pPr>
      <w:bookmarkStart w:id="1" w:name="OLE_LINK10"/>
      <w:bookmarkStart w:id="2" w:name="OLE_LINK11"/>
      <w:r w:rsidRPr="00A43950">
        <w:rPr>
          <w:lang w:val="hu-HU"/>
        </w:rPr>
        <w:t>20</w:t>
      </w:r>
      <w:r w:rsidR="00444B86" w:rsidRPr="00A43950">
        <w:rPr>
          <w:lang w:val="hu-HU"/>
        </w:rPr>
        <w:t>2</w:t>
      </w:r>
      <w:r w:rsidR="00A43950" w:rsidRPr="00A43950">
        <w:rPr>
          <w:lang w:val="hu-HU"/>
        </w:rPr>
        <w:t>5</w:t>
      </w:r>
      <w:r w:rsidR="00BC5BBF" w:rsidRPr="00A43950">
        <w:rPr>
          <w:lang w:val="hu-HU"/>
        </w:rPr>
        <w:t>-b</w:t>
      </w:r>
      <w:r w:rsidR="00444B86" w:rsidRPr="00A43950">
        <w:rPr>
          <w:lang w:val="hu-HU"/>
        </w:rPr>
        <w:t>e</w:t>
      </w:r>
      <w:r w:rsidR="00BC5BBF" w:rsidRPr="00A43950">
        <w:rPr>
          <w:lang w:val="hu-HU"/>
        </w:rPr>
        <w:t xml:space="preserve">n </w:t>
      </w:r>
      <w:r w:rsidR="00444B86" w:rsidRPr="00A43950">
        <w:rPr>
          <w:lang w:val="hu-HU"/>
        </w:rPr>
        <w:t>1</w:t>
      </w:r>
      <w:r w:rsidR="00A43950" w:rsidRPr="00A43950">
        <w:rPr>
          <w:lang w:val="hu-HU"/>
        </w:rPr>
        <w:t>4</w:t>
      </w:r>
      <w:r w:rsidR="00444B86" w:rsidRPr="00A43950">
        <w:rPr>
          <w:lang w:val="hu-HU"/>
        </w:rPr>
        <w:t xml:space="preserve">. </w:t>
      </w:r>
      <w:r w:rsidR="00BC5BBF" w:rsidRPr="00A43950">
        <w:rPr>
          <w:lang w:val="hu-HU"/>
        </w:rPr>
        <w:t>alkalommal kerül sor a deviza- és származékos ügyletek piacának nemzetközileg összehangolt felmérésére.</w:t>
      </w:r>
      <w:r w:rsidR="00266365" w:rsidRPr="00A43950">
        <w:rPr>
          <w:lang w:val="hu-HU"/>
        </w:rPr>
        <w:t xml:space="preserve"> </w:t>
      </w:r>
      <w:r w:rsidR="00D313C3" w:rsidRPr="00A43950">
        <w:rPr>
          <w:szCs w:val="24"/>
          <w:lang w:val="hu-HU"/>
        </w:rPr>
        <w:t>A</w:t>
      </w:r>
      <w:r w:rsidR="00D313C3" w:rsidRPr="00FE5851">
        <w:rPr>
          <w:szCs w:val="24"/>
          <w:lang w:val="hu-HU"/>
        </w:rPr>
        <w:t xml:space="preserve"> </w:t>
      </w:r>
      <w:r w:rsidR="00317F2F">
        <w:rPr>
          <w:szCs w:val="24"/>
          <w:lang w:val="hu-HU"/>
        </w:rPr>
        <w:t>felmérés</w:t>
      </w:r>
      <w:r w:rsidR="00D313C3" w:rsidRPr="00FE5851">
        <w:rPr>
          <w:szCs w:val="24"/>
          <w:lang w:val="hu-HU"/>
        </w:rPr>
        <w:t xml:space="preserve"> célja, hogy kellően átfogó és nemzetközileg egységes információt szerezzen a deviza- és a tőzsdén kívüli (OTC) származékos piacok méretéről</w:t>
      </w:r>
      <w:r w:rsidR="00317F2F">
        <w:rPr>
          <w:szCs w:val="24"/>
          <w:lang w:val="hu-HU"/>
        </w:rPr>
        <w:t>,</w:t>
      </w:r>
      <w:r w:rsidR="00D313C3" w:rsidRPr="00FE5851">
        <w:rPr>
          <w:szCs w:val="24"/>
          <w:lang w:val="hu-HU"/>
        </w:rPr>
        <w:t xml:space="preserve"> szerkezetéről és az e piacokon folytatott tevékenységről. Az adatgyűjtés javít</w:t>
      </w:r>
      <w:r w:rsidR="004D7E62">
        <w:rPr>
          <w:szCs w:val="24"/>
          <w:lang w:val="hu-HU"/>
        </w:rPr>
        <w:t>j</w:t>
      </w:r>
      <w:r w:rsidR="00D313C3" w:rsidRPr="00FE5851">
        <w:rPr>
          <w:szCs w:val="24"/>
          <w:lang w:val="hu-HU"/>
        </w:rPr>
        <w:t>a a piac átláthatóságát, amivel segítséget nyújt a jegybankoknak és egyéb hatóságoknak, továbbá a piaci szereplőknek, hogy hatékonyabban követhessék nyomon a nemzetközi pénzügyi rendszer</w:t>
      </w:r>
      <w:r w:rsidR="00317F2F">
        <w:rPr>
          <w:szCs w:val="24"/>
          <w:lang w:val="hu-HU"/>
        </w:rPr>
        <w:t xml:space="preserve"> működését</w:t>
      </w:r>
      <w:r w:rsidR="00D313C3" w:rsidRPr="00FE5851">
        <w:rPr>
          <w:szCs w:val="24"/>
          <w:lang w:val="hu-HU"/>
        </w:rPr>
        <w:t>.</w:t>
      </w:r>
      <w:bookmarkEnd w:id="1"/>
      <w:bookmarkEnd w:id="2"/>
    </w:p>
    <w:p w14:paraId="62683650" w14:textId="77777777" w:rsidR="00D313C3" w:rsidRPr="00FE5851" w:rsidRDefault="004D7E62">
      <w:pPr>
        <w:pStyle w:val="Paragraph"/>
        <w:rPr>
          <w:szCs w:val="24"/>
          <w:lang w:val="hu-HU"/>
        </w:rPr>
      </w:pPr>
      <w:r>
        <w:rPr>
          <w:szCs w:val="24"/>
          <w:lang w:val="hu-HU"/>
        </w:rPr>
        <w:t>A</w:t>
      </w:r>
      <w:r w:rsidR="00D313C3" w:rsidRPr="00FE5851">
        <w:rPr>
          <w:szCs w:val="24"/>
          <w:lang w:val="hu-HU"/>
        </w:rPr>
        <w:t xml:space="preserve"> nyitott származékos kötésállományra vonatkozó adatok gyűjtésére </w:t>
      </w:r>
      <w:r w:rsidR="00D313C3" w:rsidRPr="00FE5851">
        <w:rPr>
          <w:i/>
          <w:szCs w:val="24"/>
          <w:lang w:val="hu-HU"/>
        </w:rPr>
        <w:t>konszolidált</w:t>
      </w:r>
      <w:r w:rsidR="00D313C3" w:rsidRPr="00FE5851">
        <w:rPr>
          <w:szCs w:val="24"/>
          <w:lang w:val="hu-HU"/>
        </w:rPr>
        <w:t xml:space="preserve"> alapon kerül sor </w:t>
      </w:r>
      <w:r w:rsidR="00C92B05">
        <w:rPr>
          <w:szCs w:val="24"/>
          <w:lang w:val="hu-HU"/>
        </w:rPr>
        <w:t>20</w:t>
      </w:r>
      <w:r w:rsidR="00444B86">
        <w:rPr>
          <w:szCs w:val="24"/>
          <w:lang w:val="hu-HU"/>
        </w:rPr>
        <w:t>2</w:t>
      </w:r>
      <w:r w:rsidR="00A43950">
        <w:rPr>
          <w:szCs w:val="24"/>
          <w:lang w:val="hu-HU"/>
        </w:rPr>
        <w:t>5</w:t>
      </w:r>
      <w:r w:rsidR="00D313C3" w:rsidRPr="00FE5851">
        <w:rPr>
          <w:szCs w:val="24"/>
          <w:lang w:val="hu-HU"/>
        </w:rPr>
        <w:t>. június végén. Korlátozandó a beszámoló</w:t>
      </w:r>
      <w:r w:rsidR="00266365">
        <w:rPr>
          <w:szCs w:val="24"/>
          <w:lang w:val="hu-HU"/>
        </w:rPr>
        <w:t xml:space="preserve"> </w:t>
      </w:r>
      <w:r w:rsidR="00D313C3" w:rsidRPr="00FE5851">
        <w:rPr>
          <w:szCs w:val="24"/>
          <w:lang w:val="hu-HU"/>
        </w:rPr>
        <w:t xml:space="preserve">készítési </w:t>
      </w:r>
      <w:proofErr w:type="spellStart"/>
      <w:r w:rsidR="00D313C3" w:rsidRPr="00FE5851">
        <w:rPr>
          <w:szCs w:val="24"/>
          <w:lang w:val="hu-HU"/>
        </w:rPr>
        <w:t>terheket</w:t>
      </w:r>
      <w:proofErr w:type="spellEnd"/>
      <w:r w:rsidR="00D313C3" w:rsidRPr="00FE5851">
        <w:rPr>
          <w:szCs w:val="24"/>
          <w:lang w:val="hu-HU"/>
        </w:rPr>
        <w:t xml:space="preserve">, kizárólag aggregált adatokat kérünk a piaci értékekről, nem gyűjtünk adatokat a tőzsdén kereskedett származékos </w:t>
      </w:r>
      <w:r w:rsidR="00FE2181">
        <w:rPr>
          <w:szCs w:val="24"/>
          <w:lang w:val="hu-HU"/>
        </w:rPr>
        <w:t>instrumentumok</w:t>
      </w:r>
      <w:r w:rsidR="00D313C3" w:rsidRPr="00FE5851">
        <w:rPr>
          <w:szCs w:val="24"/>
          <w:lang w:val="hu-HU"/>
        </w:rPr>
        <w:t xml:space="preserve"> nyitott kötésállományáról, mivel ezekről </w:t>
      </w:r>
      <w:r w:rsidR="00D313C3" w:rsidRPr="00FE5851">
        <w:rPr>
          <w:rFonts w:ascii="Times New Roman" w:hAnsi="Times New Roman"/>
          <w:szCs w:val="24"/>
          <w:lang w:val="hu-HU"/>
        </w:rPr>
        <w:t>–</w:t>
      </w:r>
      <w:r w:rsidR="00D313C3" w:rsidRPr="00FE5851">
        <w:rPr>
          <w:szCs w:val="24"/>
          <w:lang w:val="hu-HU"/>
        </w:rPr>
        <w:t xml:space="preserve"> kereskedelmi forrásokból </w:t>
      </w:r>
      <w:r w:rsidR="00D313C3" w:rsidRPr="00FE5851">
        <w:rPr>
          <w:rFonts w:ascii="Times New Roman" w:hAnsi="Times New Roman"/>
          <w:szCs w:val="24"/>
          <w:lang w:val="hu-HU"/>
        </w:rPr>
        <w:t>–</w:t>
      </w:r>
      <w:r w:rsidR="00D313C3" w:rsidRPr="00FE5851">
        <w:rPr>
          <w:szCs w:val="24"/>
          <w:lang w:val="hu-HU"/>
        </w:rPr>
        <w:t xml:space="preserve"> átfogó és pontos időben nyilvánosságra hozott információ áll rendelkezésre.</w:t>
      </w:r>
    </w:p>
    <w:p w14:paraId="52F88A8E" w14:textId="77777777" w:rsidR="00D313C3" w:rsidRPr="00FE5851" w:rsidRDefault="00D313C3">
      <w:pPr>
        <w:pStyle w:val="Paragraph"/>
        <w:rPr>
          <w:szCs w:val="24"/>
          <w:lang w:val="hu-HU"/>
        </w:rPr>
      </w:pPr>
      <w:r w:rsidRPr="00FE5851">
        <w:rPr>
          <w:szCs w:val="24"/>
          <w:lang w:val="hu-HU"/>
        </w:rPr>
        <w:t xml:space="preserve">Deviza-, kamat-, részvény-, áru-, hitel- és „egyéb” alapú származékos </w:t>
      </w:r>
      <w:r w:rsidR="00FE2181">
        <w:rPr>
          <w:szCs w:val="24"/>
          <w:lang w:val="hu-HU"/>
        </w:rPr>
        <w:t>instrumentumok</w:t>
      </w:r>
      <w:r w:rsidRPr="00FE5851">
        <w:rPr>
          <w:szCs w:val="24"/>
          <w:lang w:val="hu-HU"/>
        </w:rPr>
        <w:t xml:space="preserve"> nyitott kötésállományára vonatkozó minden korábban gyűjtött adatsor formátuma változatlan. Módosításra csak a </w:t>
      </w:r>
      <w:proofErr w:type="spellStart"/>
      <w:r w:rsidR="00AA469D">
        <w:rPr>
          <w:szCs w:val="24"/>
          <w:lang w:val="hu-HU"/>
        </w:rPr>
        <w:t>CDS</w:t>
      </w:r>
      <w:proofErr w:type="spellEnd"/>
      <w:r w:rsidR="00AA469D">
        <w:rPr>
          <w:szCs w:val="24"/>
          <w:lang w:val="hu-HU"/>
        </w:rPr>
        <w:t xml:space="preserve"> (credit </w:t>
      </w:r>
      <w:proofErr w:type="spellStart"/>
      <w:r w:rsidR="00AA469D">
        <w:rPr>
          <w:szCs w:val="24"/>
          <w:lang w:val="hu-HU"/>
        </w:rPr>
        <w:t>default</w:t>
      </w:r>
      <w:proofErr w:type="spellEnd"/>
      <w:r w:rsidR="00AA469D">
        <w:rPr>
          <w:szCs w:val="24"/>
          <w:lang w:val="hu-HU"/>
        </w:rPr>
        <w:t xml:space="preserve"> </w:t>
      </w:r>
      <w:proofErr w:type="spellStart"/>
      <w:r w:rsidR="00AA469D">
        <w:rPr>
          <w:szCs w:val="24"/>
          <w:lang w:val="hu-HU"/>
        </w:rPr>
        <w:t>swapok</w:t>
      </w:r>
      <w:proofErr w:type="spellEnd"/>
      <w:r w:rsidR="00AA469D">
        <w:rPr>
          <w:szCs w:val="24"/>
          <w:lang w:val="hu-HU"/>
        </w:rPr>
        <w:t xml:space="preserve">) </w:t>
      </w:r>
      <w:r w:rsidRPr="00FE5851">
        <w:rPr>
          <w:szCs w:val="24"/>
          <w:lang w:val="hu-HU"/>
        </w:rPr>
        <w:t>esetében került sor: itt részletesebb partnerbontást kérünk az „egyéb pénzintézetek” vonatkozásában.</w:t>
      </w:r>
    </w:p>
    <w:p w14:paraId="23E84E37" w14:textId="77777777" w:rsidR="00A856BF" w:rsidRDefault="00266365">
      <w:pPr>
        <w:pStyle w:val="Paragraph"/>
      </w:pPr>
      <w:r>
        <w:t xml:space="preserve">A </w:t>
      </w:r>
      <w:r w:rsidR="00C92B05">
        <w:t>20</w:t>
      </w:r>
      <w:r w:rsidR="00444B86">
        <w:t>2</w:t>
      </w:r>
      <w:r w:rsidR="00A43950">
        <w:t>5</w:t>
      </w:r>
      <w:r w:rsidR="003B1733">
        <w:t xml:space="preserve">. </w:t>
      </w:r>
      <w:r w:rsidRPr="00AA22B7">
        <w:rPr>
          <w:lang w:val="hu-HU"/>
        </w:rPr>
        <w:t>évi felmérés nyitott kötésállományokra vonatkozó része felépítését tekintve változatlan a 20</w:t>
      </w:r>
      <w:r w:rsidR="00A43950">
        <w:rPr>
          <w:lang w:val="hu-HU"/>
        </w:rPr>
        <w:t>22</w:t>
      </w:r>
      <w:r w:rsidRPr="00AA22B7">
        <w:rPr>
          <w:lang w:val="hu-HU"/>
        </w:rPr>
        <w:t xml:space="preserve">. évi felméréshez képest. </w:t>
      </w:r>
    </w:p>
    <w:p w14:paraId="220D6BA6" w14:textId="77777777" w:rsidR="00C403CF" w:rsidRDefault="00C403CF" w:rsidP="000754A9">
      <w:pPr>
        <w:pStyle w:val="IndentedHeading1"/>
        <w:spacing w:before="0"/>
        <w:rPr>
          <w:szCs w:val="24"/>
          <w:lang w:val="hu-HU"/>
        </w:rPr>
      </w:pPr>
      <w:bookmarkStart w:id="3" w:name="_Toc89264393"/>
    </w:p>
    <w:p w14:paraId="77E786B5" w14:textId="77777777" w:rsidR="00C403CF" w:rsidRDefault="00C403CF" w:rsidP="000754A9">
      <w:pPr>
        <w:pStyle w:val="IndentedHeading1"/>
        <w:spacing w:before="0"/>
        <w:rPr>
          <w:szCs w:val="24"/>
          <w:lang w:val="hu-HU"/>
        </w:rPr>
      </w:pPr>
    </w:p>
    <w:p w14:paraId="0827D1EE" w14:textId="77777777" w:rsidR="00A856BF" w:rsidRPr="00FE5851" w:rsidRDefault="00A856BF" w:rsidP="000754A9">
      <w:pPr>
        <w:pStyle w:val="IndentedHeading1"/>
        <w:spacing w:before="0"/>
        <w:rPr>
          <w:szCs w:val="24"/>
          <w:lang w:val="hu-HU"/>
        </w:rPr>
      </w:pPr>
      <w:r w:rsidRPr="00FE5851">
        <w:rPr>
          <w:szCs w:val="24"/>
          <w:lang w:val="hu-HU"/>
        </w:rPr>
        <w:t>A beszámolás határideje</w:t>
      </w:r>
      <w:bookmarkEnd w:id="3"/>
    </w:p>
    <w:p w14:paraId="7AAD5AD1" w14:textId="77777777" w:rsidR="00A856BF" w:rsidRPr="00FE5851" w:rsidRDefault="00A856BF" w:rsidP="00A856BF">
      <w:pPr>
        <w:pStyle w:val="Paragraph"/>
        <w:rPr>
          <w:szCs w:val="24"/>
          <w:lang w:val="hu-HU"/>
        </w:rPr>
      </w:pPr>
      <w:r w:rsidRPr="00FE5851">
        <w:rPr>
          <w:szCs w:val="24"/>
          <w:lang w:val="hu-HU"/>
        </w:rPr>
        <w:t xml:space="preserve">A nemzeti központi bankoknak szolgáltatandó adatok határideje </w:t>
      </w:r>
      <w:r>
        <w:rPr>
          <w:b/>
          <w:szCs w:val="24"/>
          <w:lang w:val="hu-HU"/>
        </w:rPr>
        <w:t>20</w:t>
      </w:r>
      <w:r w:rsidR="00444B86">
        <w:rPr>
          <w:b/>
          <w:szCs w:val="24"/>
          <w:lang w:val="hu-HU"/>
        </w:rPr>
        <w:t>2</w:t>
      </w:r>
      <w:r w:rsidR="00A43950">
        <w:rPr>
          <w:b/>
          <w:szCs w:val="24"/>
          <w:lang w:val="hu-HU"/>
        </w:rPr>
        <w:t>5</w:t>
      </w:r>
      <w:r w:rsidRPr="00FE5851">
        <w:rPr>
          <w:b/>
          <w:szCs w:val="24"/>
          <w:lang w:val="hu-HU"/>
        </w:rPr>
        <w:t xml:space="preserve">. </w:t>
      </w:r>
      <w:r>
        <w:rPr>
          <w:b/>
          <w:szCs w:val="24"/>
          <w:lang w:val="hu-HU"/>
        </w:rPr>
        <w:t xml:space="preserve">július </w:t>
      </w:r>
      <w:r w:rsidR="00A43950">
        <w:rPr>
          <w:b/>
          <w:szCs w:val="24"/>
          <w:lang w:val="hu-HU"/>
        </w:rPr>
        <w:t>31</w:t>
      </w:r>
      <w:r>
        <w:rPr>
          <w:b/>
          <w:szCs w:val="24"/>
          <w:lang w:val="hu-HU"/>
        </w:rPr>
        <w:t>.</w:t>
      </w:r>
      <w:r>
        <w:rPr>
          <w:szCs w:val="24"/>
          <w:lang w:val="hu-HU"/>
        </w:rPr>
        <w:t xml:space="preserve"> </w:t>
      </w:r>
      <w:r w:rsidRPr="00FE5851">
        <w:rPr>
          <w:szCs w:val="24"/>
          <w:lang w:val="hu-HU"/>
        </w:rPr>
        <w:t xml:space="preserve">Megállapodás értelmében, röviddel ezután, a jegybankok továbbítják az adatokat a </w:t>
      </w:r>
      <w:proofErr w:type="spellStart"/>
      <w:r w:rsidRPr="00FE5851">
        <w:rPr>
          <w:szCs w:val="24"/>
          <w:lang w:val="hu-HU"/>
        </w:rPr>
        <w:t>BIS-nek</w:t>
      </w:r>
      <w:proofErr w:type="spellEnd"/>
      <w:r>
        <w:rPr>
          <w:szCs w:val="24"/>
          <w:lang w:val="hu-HU"/>
        </w:rPr>
        <w:t>.</w:t>
      </w:r>
    </w:p>
    <w:p w14:paraId="67820F71" w14:textId="77777777" w:rsidR="00A856BF" w:rsidRDefault="00A856BF">
      <w:pPr>
        <w:pStyle w:val="Paragraph"/>
        <w:rPr>
          <w:szCs w:val="24"/>
          <w:lang w:val="hu-HU"/>
        </w:rPr>
      </w:pPr>
    </w:p>
    <w:p w14:paraId="03974449" w14:textId="77777777" w:rsidR="00A856BF" w:rsidRPr="00FE5851" w:rsidRDefault="00444B86" w:rsidP="00A856BF">
      <w:pPr>
        <w:pStyle w:val="IndentedHeading1"/>
        <w:spacing w:after="0"/>
        <w:rPr>
          <w:szCs w:val="24"/>
          <w:lang w:val="hu-HU"/>
        </w:rPr>
      </w:pPr>
      <w:r>
        <w:rPr>
          <w:szCs w:val="24"/>
          <w:lang w:val="hu-HU"/>
        </w:rPr>
        <w:br w:type="page"/>
      </w:r>
      <w:bookmarkStart w:id="4" w:name="_Toc89264394"/>
      <w:r>
        <w:rPr>
          <w:szCs w:val="24"/>
          <w:lang w:val="hu-HU"/>
        </w:rPr>
        <w:lastRenderedPageBreak/>
        <w:t>A.</w:t>
      </w:r>
      <w:r w:rsidR="00A856BF" w:rsidRPr="00FE5851">
        <w:rPr>
          <w:szCs w:val="24"/>
          <w:lang w:val="hu-HU"/>
        </w:rPr>
        <w:tab/>
        <w:t>A felmérés az alábbi területeket öleli fel:</w:t>
      </w:r>
      <w:bookmarkEnd w:id="4"/>
    </w:p>
    <w:p w14:paraId="5D235D04" w14:textId="77777777" w:rsidR="00A856BF" w:rsidRPr="000754A9" w:rsidRDefault="00444B86" w:rsidP="000754A9">
      <w:pPr>
        <w:pStyle w:val="IndentedHeading1"/>
        <w:numPr>
          <w:ilvl w:val="0"/>
          <w:numId w:val="37"/>
        </w:numPr>
        <w:rPr>
          <w:szCs w:val="24"/>
          <w:lang w:val="hu-HU"/>
        </w:rPr>
      </w:pPr>
      <w:r>
        <w:rPr>
          <w:szCs w:val="24"/>
          <w:lang w:val="hu-HU"/>
        </w:rPr>
        <w:t xml:space="preserve">  </w:t>
      </w:r>
      <w:bookmarkStart w:id="5" w:name="_Toc89264123"/>
      <w:bookmarkStart w:id="6" w:name="_Toc89264395"/>
      <w:bookmarkStart w:id="7" w:name="_Toc89264396"/>
      <w:bookmarkEnd w:id="5"/>
      <w:bookmarkEnd w:id="6"/>
      <w:r w:rsidR="00A856BF" w:rsidRPr="000754A9">
        <w:rPr>
          <w:szCs w:val="24"/>
          <w:lang w:val="hu-HU"/>
        </w:rPr>
        <w:t>Partnerek</w:t>
      </w:r>
      <w:bookmarkEnd w:id="7"/>
    </w:p>
    <w:p w14:paraId="30B43AA5" w14:textId="77777777" w:rsidR="00A856BF" w:rsidRPr="001B4262" w:rsidRDefault="00A856BF" w:rsidP="00A856BF">
      <w:pPr>
        <w:pStyle w:val="Paragraph"/>
        <w:rPr>
          <w:szCs w:val="24"/>
          <w:lang w:val="hu-HU"/>
        </w:rPr>
      </w:pPr>
      <w:r w:rsidRPr="00FE5851">
        <w:rPr>
          <w:szCs w:val="24"/>
          <w:lang w:val="hu-HU"/>
        </w:rPr>
        <w:t xml:space="preserve">Ahogy a korábbi felmérések esetében is történt, a jelentő intézményeknek a deviza-, kamat-, részvény-, hitel- vagy „egyéb” származékos kockázati kategóriába tartozó minden eszközt szerződésenként a következő partnerbontásban kell megadni: jelentő </w:t>
      </w:r>
      <w:proofErr w:type="spellStart"/>
      <w:r w:rsidRPr="00FE5851">
        <w:rPr>
          <w:szCs w:val="24"/>
          <w:lang w:val="hu-HU"/>
        </w:rPr>
        <w:t>dealerek</w:t>
      </w:r>
      <w:proofErr w:type="spellEnd"/>
      <w:r w:rsidRPr="00FE5851">
        <w:rPr>
          <w:szCs w:val="24"/>
          <w:lang w:val="hu-HU"/>
        </w:rPr>
        <w:t>, egyéb pénzintézetek és nem pénzügyi ügyfelek.</w:t>
      </w:r>
      <w:r>
        <w:rPr>
          <w:szCs w:val="24"/>
          <w:lang w:val="hu-HU"/>
        </w:rPr>
        <w:t xml:space="preserve"> Emellett külön meg kell határozni</w:t>
      </w:r>
      <w:r>
        <w:t xml:space="preserve"> </w:t>
      </w:r>
      <w:r w:rsidRPr="001B4262">
        <w:rPr>
          <w:lang w:val="hu-HU"/>
        </w:rPr>
        <w:t>az egyéb pénzügyi intézményekkel megkötött ügyleteken belül a központi szerződő felekkel (</w:t>
      </w:r>
      <w:proofErr w:type="spellStart"/>
      <w:r w:rsidRPr="001B4262">
        <w:rPr>
          <w:lang w:val="hu-HU"/>
        </w:rPr>
        <w:t>CCP</w:t>
      </w:r>
      <w:proofErr w:type="spellEnd"/>
      <w:r w:rsidRPr="001B4262">
        <w:rPr>
          <w:lang w:val="hu-HU"/>
        </w:rPr>
        <w:t>) szemben megkötött ügyleteket.</w:t>
      </w:r>
    </w:p>
    <w:p w14:paraId="0D3A9DC4" w14:textId="77777777" w:rsidR="00A856BF" w:rsidRPr="00FE5851" w:rsidRDefault="00A856BF" w:rsidP="00A856BF">
      <w:pPr>
        <w:pStyle w:val="Paragraph"/>
        <w:rPr>
          <w:szCs w:val="24"/>
          <w:lang w:val="hu-HU"/>
        </w:rPr>
      </w:pPr>
      <w:r w:rsidRPr="00FE5851">
        <w:rPr>
          <w:szCs w:val="24"/>
          <w:lang w:val="hu-HU"/>
        </w:rPr>
        <w:t>Az előírt partnerbontás a következő: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195"/>
      </w:tblGrid>
      <w:tr w:rsidR="00A856BF" w:rsidRPr="00FE5851" w14:paraId="6198582C" w14:textId="77777777" w:rsidTr="00AF7EAE">
        <w:tc>
          <w:tcPr>
            <w:tcW w:w="2093" w:type="dxa"/>
          </w:tcPr>
          <w:p w14:paraId="1CC3292B" w14:textId="77777777" w:rsidR="00A856BF" w:rsidRPr="00FE5851" w:rsidRDefault="00A856BF" w:rsidP="00AF7EAE">
            <w:pPr>
              <w:pStyle w:val="Bulletpoint"/>
              <w:numPr>
                <w:ilvl w:val="0"/>
                <w:numId w:val="0"/>
              </w:numPr>
              <w:rPr>
                <w:sz w:val="20"/>
                <w:szCs w:val="24"/>
                <w:lang w:val="hu-HU"/>
              </w:rPr>
            </w:pPr>
            <w:r w:rsidRPr="00FE5851">
              <w:rPr>
                <w:sz w:val="20"/>
                <w:szCs w:val="24"/>
                <w:lang w:val="hu-HU"/>
              </w:rPr>
              <w:t xml:space="preserve">Jelentő </w:t>
            </w:r>
            <w:proofErr w:type="spellStart"/>
            <w:r w:rsidRPr="00FE5851">
              <w:rPr>
                <w:sz w:val="20"/>
                <w:szCs w:val="24"/>
                <w:lang w:val="hu-HU"/>
              </w:rPr>
              <w:t>dealerek</w:t>
            </w:r>
            <w:proofErr w:type="spellEnd"/>
          </w:p>
          <w:p w14:paraId="060F1C9C" w14:textId="77777777" w:rsidR="00A856BF" w:rsidRPr="00FE5851" w:rsidRDefault="00A856BF" w:rsidP="00AF7EAE">
            <w:pPr>
              <w:pStyle w:val="Paragraph"/>
              <w:spacing w:after="100" w:afterAutospacing="1"/>
              <w:rPr>
                <w:sz w:val="20"/>
                <w:szCs w:val="24"/>
                <w:u w:val="single"/>
                <w:lang w:val="hu-HU"/>
              </w:rPr>
            </w:pPr>
          </w:p>
        </w:tc>
        <w:tc>
          <w:tcPr>
            <w:tcW w:w="7195" w:type="dxa"/>
          </w:tcPr>
          <w:p w14:paraId="0CC932D0" w14:textId="77777777" w:rsidR="00A856BF" w:rsidRPr="00FE5851" w:rsidRDefault="00A856BF" w:rsidP="00AF7EAE">
            <w:pPr>
              <w:pStyle w:val="TableText"/>
              <w:framePr w:wrap="auto" w:yAlign="inline"/>
              <w:rPr>
                <w:szCs w:val="24"/>
                <w:lang w:val="hu-HU"/>
              </w:rPr>
            </w:pPr>
            <w:r w:rsidRPr="00FE5851">
              <w:rPr>
                <w:szCs w:val="24"/>
                <w:lang w:val="hu-HU"/>
              </w:rPr>
              <w:t xml:space="preserve">A „jelentő </w:t>
            </w:r>
            <w:proofErr w:type="spellStart"/>
            <w:r w:rsidRPr="00FE5851">
              <w:rPr>
                <w:szCs w:val="24"/>
                <w:lang w:val="hu-HU"/>
              </w:rPr>
              <w:t>dealerek</w:t>
            </w:r>
            <w:proofErr w:type="spellEnd"/>
            <w:r w:rsidRPr="00FE5851">
              <w:rPr>
                <w:szCs w:val="24"/>
                <w:lang w:val="hu-HU"/>
              </w:rPr>
              <w:t xml:space="preserve">” azok az intézmények, amelyek székhelye részt vesz a </w:t>
            </w:r>
            <w:proofErr w:type="spellStart"/>
            <w:r w:rsidRPr="00FE5851">
              <w:rPr>
                <w:szCs w:val="24"/>
                <w:lang w:val="hu-HU"/>
              </w:rPr>
              <w:t>BIS</w:t>
            </w:r>
            <w:proofErr w:type="spellEnd"/>
            <w:r w:rsidRPr="00FE5851">
              <w:rPr>
                <w:szCs w:val="24"/>
                <w:lang w:val="hu-HU"/>
              </w:rPr>
              <w:t xml:space="preserve"> által </w:t>
            </w:r>
            <w:proofErr w:type="spellStart"/>
            <w:r w:rsidRPr="00FE5851">
              <w:rPr>
                <w:szCs w:val="24"/>
                <w:lang w:val="hu-HU"/>
              </w:rPr>
              <w:t>félévente</w:t>
            </w:r>
            <w:proofErr w:type="spellEnd"/>
            <w:r w:rsidRPr="00FE5851">
              <w:rPr>
                <w:szCs w:val="24"/>
                <w:lang w:val="hu-HU"/>
              </w:rPr>
              <w:t xml:space="preserve"> készített származékos piaci statisztikákban (adatgyűjtésben) és a 13 jelentő ország egyikében található.</w:t>
            </w:r>
            <w:r w:rsidRPr="00FE5851">
              <w:rPr>
                <w:rStyle w:val="Lbjegyzet-hivatkozs"/>
                <w:szCs w:val="24"/>
                <w:lang w:val="hu-HU"/>
              </w:rPr>
              <w:footnoteReference w:id="2"/>
            </w:r>
            <w:r w:rsidRPr="00FE5851">
              <w:rPr>
                <w:szCs w:val="24"/>
                <w:lang w:val="hu-HU"/>
              </w:rPr>
              <w:t xml:space="preserve"> Ezenkívül a jelentő </w:t>
            </w:r>
            <w:proofErr w:type="spellStart"/>
            <w:r w:rsidRPr="00FE5851">
              <w:rPr>
                <w:szCs w:val="24"/>
                <w:lang w:val="hu-HU"/>
              </w:rPr>
              <w:t>dealerek</w:t>
            </w:r>
            <w:proofErr w:type="spellEnd"/>
            <w:r w:rsidRPr="00FE5851">
              <w:rPr>
                <w:szCs w:val="24"/>
                <w:lang w:val="hu-HU"/>
              </w:rPr>
              <w:t xml:space="preserve"> közé tartoznak e szervezetek</w:t>
            </w:r>
            <w:r>
              <w:rPr>
                <w:szCs w:val="24"/>
                <w:lang w:val="hu-HU"/>
              </w:rPr>
              <w:t>nek</w:t>
            </w:r>
            <w:r w:rsidRPr="00FE5851">
              <w:rPr>
                <w:szCs w:val="24"/>
                <w:lang w:val="hu-HU"/>
              </w:rPr>
              <w:t xml:space="preserve"> a világ különböző országaiban található </w:t>
            </w:r>
            <w:proofErr w:type="spellStart"/>
            <w:r w:rsidRPr="00FE5851">
              <w:rPr>
                <w:szCs w:val="24"/>
                <w:lang w:val="hu-HU"/>
              </w:rPr>
              <w:t>fióktelepei</w:t>
            </w:r>
            <w:proofErr w:type="spellEnd"/>
            <w:r w:rsidRPr="00FE5851">
              <w:rPr>
                <w:szCs w:val="24"/>
                <w:lang w:val="hu-HU"/>
              </w:rPr>
              <w:t xml:space="preserve"> és leányvállalatai is</w:t>
            </w:r>
            <w:r w:rsidR="00A75899">
              <w:rPr>
                <w:rStyle w:val="Lbjegyzet-hivatkozs"/>
                <w:szCs w:val="24"/>
                <w:lang w:val="hu-HU"/>
              </w:rPr>
              <w:footnoteReference w:id="3"/>
            </w:r>
            <w:r w:rsidRPr="00FE5851">
              <w:rPr>
                <w:szCs w:val="24"/>
                <w:lang w:val="hu-HU"/>
              </w:rPr>
              <w:t xml:space="preserve">. A felmérésben a „jelentő </w:t>
            </w:r>
            <w:proofErr w:type="spellStart"/>
            <w:r w:rsidRPr="00FE5851">
              <w:rPr>
                <w:szCs w:val="24"/>
                <w:lang w:val="hu-HU"/>
              </w:rPr>
              <w:t>dealerek</w:t>
            </w:r>
            <w:proofErr w:type="spellEnd"/>
            <w:r w:rsidRPr="00FE5851">
              <w:rPr>
                <w:szCs w:val="24"/>
                <w:lang w:val="hu-HU"/>
              </w:rPr>
              <w:t xml:space="preserve">” főként kereskedelmi és befektetési bankok, értékpapír-forgalmazók, ideértve ezek </w:t>
            </w:r>
            <w:proofErr w:type="spellStart"/>
            <w:r w:rsidRPr="00FE5851">
              <w:rPr>
                <w:szCs w:val="24"/>
                <w:lang w:val="hu-HU"/>
              </w:rPr>
              <w:t>fióktelepeit</w:t>
            </w:r>
            <w:proofErr w:type="spellEnd"/>
            <w:r w:rsidRPr="00FE5851">
              <w:rPr>
                <w:szCs w:val="24"/>
                <w:lang w:val="hu-HU"/>
              </w:rPr>
              <w:t xml:space="preserve"> és leányvállalatait és egyéb szervezeteket, amelyek aktív </w:t>
            </w:r>
            <w:proofErr w:type="spellStart"/>
            <w:r w:rsidRPr="00FE5851">
              <w:rPr>
                <w:szCs w:val="24"/>
                <w:lang w:val="hu-HU"/>
              </w:rPr>
              <w:t>dealerek</w:t>
            </w:r>
            <w:proofErr w:type="spellEnd"/>
            <w:r w:rsidRPr="00FE5851">
              <w:rPr>
                <w:szCs w:val="24"/>
                <w:lang w:val="hu-HU"/>
              </w:rPr>
              <w:t>.</w:t>
            </w:r>
          </w:p>
          <w:p w14:paraId="1DAF1A80" w14:textId="77777777" w:rsidR="00A856BF" w:rsidRPr="00FE5851" w:rsidRDefault="00A856BF" w:rsidP="00AF7EAE">
            <w:pPr>
              <w:pStyle w:val="TableText"/>
              <w:framePr w:wrap="auto" w:yAlign="inline"/>
              <w:rPr>
                <w:szCs w:val="24"/>
                <w:lang w:val="hu-HU"/>
              </w:rPr>
            </w:pPr>
            <w:r w:rsidRPr="00FE5851">
              <w:rPr>
                <w:szCs w:val="24"/>
                <w:lang w:val="hu-HU"/>
              </w:rPr>
              <w:t xml:space="preserve">Azért nem tartozik </w:t>
            </w:r>
            <w:r w:rsidRPr="00FE5851">
              <w:rPr>
                <w:i/>
                <w:szCs w:val="24"/>
                <w:lang w:val="hu-HU"/>
              </w:rPr>
              <w:t>minden</w:t>
            </w:r>
            <w:r w:rsidRPr="00FE5851">
              <w:rPr>
                <w:szCs w:val="24"/>
                <w:lang w:val="hu-HU"/>
              </w:rPr>
              <w:t xml:space="preserve"> jelentő intézmény a „jelentő </w:t>
            </w:r>
            <w:proofErr w:type="spellStart"/>
            <w:r w:rsidRPr="00FE5851">
              <w:rPr>
                <w:szCs w:val="24"/>
                <w:lang w:val="hu-HU"/>
              </w:rPr>
              <w:t>dealerek</w:t>
            </w:r>
            <w:proofErr w:type="spellEnd"/>
            <w:r w:rsidRPr="00FE5851">
              <w:rPr>
                <w:szCs w:val="24"/>
                <w:lang w:val="hu-HU"/>
              </w:rPr>
              <w:t xml:space="preserve">” kategóriájába, hogy biztosítani lehessen az egységességet a </w:t>
            </w:r>
            <w:proofErr w:type="spellStart"/>
            <w:r w:rsidRPr="00FE5851">
              <w:rPr>
                <w:szCs w:val="24"/>
                <w:lang w:val="hu-HU"/>
              </w:rPr>
              <w:t>BIS</w:t>
            </w:r>
            <w:proofErr w:type="spellEnd"/>
            <w:r w:rsidRPr="00FE5851">
              <w:rPr>
                <w:szCs w:val="24"/>
                <w:lang w:val="hu-HU"/>
              </w:rPr>
              <w:t xml:space="preserve"> rendszeres származékos piaci statisztikáival és hogy korlátozni lehessen a jelentő </w:t>
            </w:r>
            <w:proofErr w:type="spellStart"/>
            <w:r w:rsidRPr="00FE5851">
              <w:rPr>
                <w:szCs w:val="24"/>
                <w:lang w:val="hu-HU"/>
              </w:rPr>
              <w:t>dealerekre</w:t>
            </w:r>
            <w:proofErr w:type="spellEnd"/>
            <w:r w:rsidRPr="00FE5851">
              <w:rPr>
                <w:szCs w:val="24"/>
                <w:lang w:val="hu-HU"/>
              </w:rPr>
              <w:t xml:space="preserve"> háruló </w:t>
            </w:r>
            <w:proofErr w:type="spellStart"/>
            <w:r w:rsidRPr="00FE5851">
              <w:rPr>
                <w:szCs w:val="24"/>
                <w:lang w:val="hu-HU"/>
              </w:rPr>
              <w:t>terheket</w:t>
            </w:r>
            <w:proofErr w:type="spellEnd"/>
            <w:r w:rsidRPr="00FE5851">
              <w:rPr>
                <w:szCs w:val="24"/>
                <w:lang w:val="hu-HU"/>
              </w:rPr>
              <w:t xml:space="preserve">. Bár ez a módszer megnehezíti majd a nem rendszeresen jelentők (lásd lenn) közötti ügyletek kétszeres számbavételének pontos kiküszöbölését, az érintett összegek valószínűleg </w:t>
            </w:r>
            <w:proofErr w:type="spellStart"/>
            <w:r w:rsidRPr="00FE5851">
              <w:rPr>
                <w:szCs w:val="24"/>
                <w:lang w:val="hu-HU"/>
              </w:rPr>
              <w:t>alacsonyak</w:t>
            </w:r>
            <w:proofErr w:type="spellEnd"/>
            <w:r w:rsidRPr="00FE5851">
              <w:rPr>
                <w:szCs w:val="24"/>
                <w:lang w:val="hu-HU"/>
              </w:rPr>
              <w:t xml:space="preserve"> és becsléssel megállapíthatók.</w:t>
            </w:r>
          </w:p>
        </w:tc>
      </w:tr>
      <w:tr w:rsidR="00A856BF" w:rsidRPr="00FE5851" w14:paraId="4B36EB4D" w14:textId="77777777" w:rsidTr="00AF7EAE">
        <w:tc>
          <w:tcPr>
            <w:tcW w:w="2093" w:type="dxa"/>
          </w:tcPr>
          <w:p w14:paraId="2C7B6840" w14:textId="77777777" w:rsidR="00A856BF" w:rsidRPr="00FE5851" w:rsidRDefault="00A856BF" w:rsidP="00AF7EAE">
            <w:pPr>
              <w:pStyle w:val="Bulletpoint"/>
              <w:numPr>
                <w:ilvl w:val="0"/>
                <w:numId w:val="0"/>
              </w:numPr>
              <w:jc w:val="left"/>
              <w:rPr>
                <w:sz w:val="20"/>
                <w:szCs w:val="24"/>
                <w:lang w:val="hu-HU"/>
              </w:rPr>
            </w:pPr>
            <w:r w:rsidRPr="00FE5851">
              <w:rPr>
                <w:sz w:val="20"/>
                <w:szCs w:val="24"/>
                <w:lang w:val="hu-HU"/>
              </w:rPr>
              <w:t>Más pénzintézetek</w:t>
            </w:r>
          </w:p>
          <w:p w14:paraId="155B380B" w14:textId="77777777" w:rsidR="00A856BF" w:rsidRDefault="00A856BF" w:rsidP="00AF7EAE">
            <w:pPr>
              <w:pStyle w:val="Paragraph"/>
              <w:spacing w:after="100" w:afterAutospacing="1"/>
              <w:rPr>
                <w:sz w:val="20"/>
                <w:szCs w:val="24"/>
                <w:u w:val="single"/>
                <w:lang w:val="hu-HU"/>
              </w:rPr>
            </w:pPr>
          </w:p>
          <w:p w14:paraId="6781BAD6" w14:textId="77777777" w:rsidR="00A856BF" w:rsidRDefault="00A856BF" w:rsidP="00AF7EAE">
            <w:pPr>
              <w:pStyle w:val="Paragraph"/>
              <w:spacing w:after="100" w:afterAutospacing="1"/>
              <w:rPr>
                <w:sz w:val="20"/>
                <w:szCs w:val="24"/>
                <w:u w:val="single"/>
                <w:lang w:val="hu-HU"/>
              </w:rPr>
            </w:pPr>
          </w:p>
          <w:p w14:paraId="76E99076" w14:textId="77777777" w:rsidR="00A856BF" w:rsidRDefault="00A856BF" w:rsidP="00AF7EAE">
            <w:pPr>
              <w:pStyle w:val="Paragraph"/>
              <w:spacing w:after="100" w:afterAutospacing="1"/>
              <w:rPr>
                <w:sz w:val="20"/>
                <w:szCs w:val="24"/>
                <w:u w:val="single"/>
                <w:lang w:val="hu-HU"/>
              </w:rPr>
            </w:pPr>
          </w:p>
          <w:p w14:paraId="7957EE35" w14:textId="77777777" w:rsidR="00A856BF" w:rsidRDefault="00A856BF" w:rsidP="00AF7EAE">
            <w:pPr>
              <w:pStyle w:val="Paragraph"/>
              <w:spacing w:after="100" w:afterAutospacing="1"/>
              <w:rPr>
                <w:sz w:val="20"/>
                <w:szCs w:val="24"/>
                <w:u w:val="single"/>
                <w:lang w:val="hu-HU"/>
              </w:rPr>
            </w:pPr>
          </w:p>
          <w:p w14:paraId="3D5A6476" w14:textId="77777777" w:rsidR="00A856BF" w:rsidRDefault="00A856BF" w:rsidP="00AF7EAE">
            <w:pPr>
              <w:pStyle w:val="Paragraph"/>
              <w:spacing w:after="100" w:afterAutospacing="1"/>
              <w:rPr>
                <w:sz w:val="20"/>
                <w:szCs w:val="24"/>
                <w:u w:val="single"/>
                <w:lang w:val="hu-HU"/>
              </w:rPr>
            </w:pPr>
          </w:p>
          <w:p w14:paraId="4FCCCA6C" w14:textId="77777777" w:rsidR="00A856BF" w:rsidRPr="00CB7D0C" w:rsidRDefault="00A856BF" w:rsidP="00AF7EAE">
            <w:pPr>
              <w:pStyle w:val="Paragraph"/>
              <w:spacing w:after="100" w:afterAutospacing="1"/>
              <w:rPr>
                <w:sz w:val="20"/>
                <w:szCs w:val="24"/>
                <w:lang w:val="hu-HU"/>
              </w:rPr>
            </w:pPr>
            <w:r w:rsidRPr="00CB7D0C">
              <w:rPr>
                <w:sz w:val="20"/>
                <w:szCs w:val="24"/>
                <w:lang w:val="hu-HU"/>
              </w:rPr>
              <w:t>ebből: központi szerződő felek</w:t>
            </w:r>
          </w:p>
        </w:tc>
        <w:tc>
          <w:tcPr>
            <w:tcW w:w="7195" w:type="dxa"/>
          </w:tcPr>
          <w:p w14:paraId="7E7E7CFA" w14:textId="77777777" w:rsidR="00A856BF" w:rsidRDefault="00A856BF" w:rsidP="00AF7EAE">
            <w:pPr>
              <w:pStyle w:val="TableText"/>
              <w:framePr w:wrap="auto" w:yAlign="inline"/>
              <w:rPr>
                <w:szCs w:val="24"/>
                <w:lang w:val="hu-HU"/>
              </w:rPr>
            </w:pPr>
            <w:r w:rsidRPr="00FE5851">
              <w:rPr>
                <w:szCs w:val="24"/>
                <w:lang w:val="hu-HU"/>
              </w:rPr>
              <w:t xml:space="preserve">Ez a kategória lefedi azon intézmények összes kategóriáit, amelyeket </w:t>
            </w:r>
            <w:r w:rsidRPr="00FE5851">
              <w:rPr>
                <w:i/>
                <w:szCs w:val="24"/>
                <w:lang w:val="hu-HU"/>
              </w:rPr>
              <w:t>nem</w:t>
            </w:r>
            <w:r w:rsidRPr="00FE5851">
              <w:rPr>
                <w:szCs w:val="24"/>
                <w:lang w:val="hu-HU"/>
              </w:rPr>
              <w:t xml:space="preserve"> „jelentő </w:t>
            </w:r>
            <w:proofErr w:type="spellStart"/>
            <w:proofErr w:type="gramStart"/>
            <w:r w:rsidRPr="00FE5851">
              <w:rPr>
                <w:szCs w:val="24"/>
                <w:lang w:val="hu-HU"/>
              </w:rPr>
              <w:t>dealer</w:t>
            </w:r>
            <w:proofErr w:type="spellEnd"/>
            <w:r w:rsidRPr="00FE5851">
              <w:rPr>
                <w:szCs w:val="24"/>
                <w:lang w:val="hu-HU"/>
              </w:rPr>
              <w:t>”-</w:t>
            </w:r>
            <w:proofErr w:type="gramEnd"/>
            <w:r w:rsidRPr="00FE5851">
              <w:rPr>
                <w:szCs w:val="24"/>
                <w:lang w:val="hu-HU"/>
              </w:rPr>
              <w:t xml:space="preserve">ként kategorizáltak (bankok, </w:t>
            </w:r>
            <w:r>
              <w:rPr>
                <w:szCs w:val="24"/>
                <w:lang w:val="hu-HU"/>
              </w:rPr>
              <w:t xml:space="preserve">központi szerződő felek, </w:t>
            </w:r>
            <w:r w:rsidRPr="00FE5851">
              <w:rPr>
                <w:szCs w:val="24"/>
                <w:lang w:val="hu-HU"/>
              </w:rPr>
              <w:t xml:space="preserve">alapok és nem pénzügyi intézmények, amelyek pénzügyi végfelhasználóknak tekinthetők: pl. nyíltvégű befektetési alap, nyugdíjpénztár, fedezeti alap, devizaalap, pénzpiaci alap, lakástakarék-pénztár, lízingcég, biztosító és jegybank). </w:t>
            </w:r>
          </w:p>
          <w:p w14:paraId="558D8AAA" w14:textId="77777777" w:rsidR="00A856BF" w:rsidRDefault="00A856BF" w:rsidP="00AF7EAE">
            <w:pPr>
              <w:pStyle w:val="TableText"/>
              <w:framePr w:wrap="around"/>
              <w:rPr>
                <w:szCs w:val="24"/>
                <w:lang w:val="hu-HU"/>
              </w:rPr>
            </w:pPr>
          </w:p>
          <w:p w14:paraId="320D81BD" w14:textId="77777777" w:rsidR="00A856BF" w:rsidRPr="00FE5851" w:rsidRDefault="00A856BF" w:rsidP="00AF7EAE">
            <w:pPr>
              <w:pStyle w:val="TableText"/>
              <w:framePr w:wrap="around"/>
              <w:rPr>
                <w:szCs w:val="24"/>
                <w:lang w:val="hu-HU"/>
              </w:rPr>
            </w:pPr>
            <w:r>
              <w:rPr>
                <w:szCs w:val="24"/>
                <w:lang w:val="hu-HU"/>
              </w:rPr>
              <w:t>A központi szerződő fél egy olyan entitás, amely a szerződő partnerek „között” helyezkedik el egy vagy több pénzügyi piacon kereskedett szerződések esetében, ezzel vevői oldalon jelenik meg az eladókkal szemben és eladói oldalon a vevőkkel szemben (lásd a központi szerződő felekre (</w:t>
            </w:r>
            <w:proofErr w:type="spellStart"/>
            <w:r>
              <w:rPr>
                <w:szCs w:val="24"/>
                <w:lang w:val="hu-HU"/>
              </w:rPr>
              <w:t>CCP</w:t>
            </w:r>
            <w:proofErr w:type="spellEnd"/>
            <w:r>
              <w:rPr>
                <w:szCs w:val="24"/>
                <w:lang w:val="hu-HU"/>
              </w:rPr>
              <w:t xml:space="preserve">) vonatkozó nem teljes körű listát a 2. mellékletben).                                                  </w:t>
            </w:r>
          </w:p>
        </w:tc>
      </w:tr>
      <w:tr w:rsidR="00A856BF" w:rsidRPr="00FE5851" w14:paraId="710A2962" w14:textId="77777777" w:rsidTr="00AF7EAE">
        <w:tc>
          <w:tcPr>
            <w:tcW w:w="2093" w:type="dxa"/>
          </w:tcPr>
          <w:p w14:paraId="14EDD94B" w14:textId="77777777" w:rsidR="00A856BF" w:rsidRPr="00FE5851" w:rsidRDefault="00A856BF" w:rsidP="00AF7EAE">
            <w:pPr>
              <w:pStyle w:val="Bulletpoint"/>
              <w:numPr>
                <w:ilvl w:val="0"/>
                <w:numId w:val="0"/>
              </w:numPr>
              <w:jc w:val="left"/>
              <w:rPr>
                <w:szCs w:val="24"/>
                <w:lang w:val="hu-HU"/>
              </w:rPr>
            </w:pPr>
            <w:r w:rsidRPr="00FE5851">
              <w:rPr>
                <w:sz w:val="20"/>
                <w:szCs w:val="24"/>
                <w:lang w:val="hu-HU"/>
              </w:rPr>
              <w:lastRenderedPageBreak/>
              <w:t>Nem pénzügyi ügyfelek</w:t>
            </w:r>
          </w:p>
        </w:tc>
        <w:tc>
          <w:tcPr>
            <w:tcW w:w="7195" w:type="dxa"/>
          </w:tcPr>
          <w:p w14:paraId="03B5D071" w14:textId="77777777" w:rsidR="00A856BF" w:rsidRPr="00FE5851" w:rsidRDefault="00A856BF" w:rsidP="00AF7EAE">
            <w:pPr>
              <w:pStyle w:val="TableText"/>
              <w:framePr w:wrap="auto" w:yAlign="inline"/>
              <w:rPr>
                <w:szCs w:val="24"/>
                <w:lang w:val="hu-HU"/>
              </w:rPr>
            </w:pPr>
            <w:r w:rsidRPr="00FE5851">
              <w:rPr>
                <w:szCs w:val="24"/>
                <w:lang w:val="hu-HU"/>
              </w:rPr>
              <w:t xml:space="preserve">A fenti kategóriák egyikébe sem tartozó partnerek, azaz főként nem pénzügyi végfelhasználók, pl. vállalatok, tehetős magánbefektetők és nem pénzügyi kormányzati szervek. </w:t>
            </w:r>
          </w:p>
        </w:tc>
      </w:tr>
    </w:tbl>
    <w:p w14:paraId="2DE2867E" w14:textId="77777777" w:rsidR="00A856BF" w:rsidRPr="00FE5851" w:rsidRDefault="00A856BF" w:rsidP="00A856BF">
      <w:pPr>
        <w:pStyle w:val="Paragraph"/>
        <w:spacing w:before="360"/>
        <w:rPr>
          <w:szCs w:val="24"/>
          <w:lang w:val="hu-HU"/>
        </w:rPr>
      </w:pPr>
      <w:r w:rsidRPr="00FE5851">
        <w:rPr>
          <w:i/>
          <w:szCs w:val="24"/>
          <w:lang w:val="hu-HU"/>
        </w:rPr>
        <w:t xml:space="preserve">A kettős számbavétel kiküszöbölése: </w:t>
      </w:r>
      <w:r w:rsidRPr="00FE5851">
        <w:rPr>
          <w:szCs w:val="24"/>
          <w:lang w:val="hu-HU"/>
        </w:rPr>
        <w:t xml:space="preserve">Kettős számbavétel abból adódik, hogy két, jelentő szervezet közötti ügyletet mindkét fél rögzít, vagyis az ügyletet kétszer rögzítik. A piac teljes méretére úgy lehet következtetni, ha elvégezzük a </w:t>
      </w:r>
      <w:proofErr w:type="spellStart"/>
      <w:r w:rsidRPr="00FE5851">
        <w:rPr>
          <w:szCs w:val="24"/>
          <w:lang w:val="hu-HU"/>
        </w:rPr>
        <w:t>dealerek</w:t>
      </w:r>
      <w:proofErr w:type="spellEnd"/>
      <w:r w:rsidRPr="00FE5851">
        <w:rPr>
          <w:szCs w:val="24"/>
          <w:lang w:val="hu-HU"/>
        </w:rPr>
        <w:t xml:space="preserve"> közötti kettős számbavétel miatti kiigazítást. </w:t>
      </w:r>
    </w:p>
    <w:p w14:paraId="664E6D35" w14:textId="77777777" w:rsidR="00A856BF" w:rsidRDefault="00A856BF" w:rsidP="00A856BF">
      <w:pPr>
        <w:pStyle w:val="Paragraph"/>
        <w:rPr>
          <w:szCs w:val="24"/>
          <w:lang w:val="hu-HU"/>
        </w:rPr>
      </w:pPr>
      <w:r w:rsidRPr="00FE5851">
        <w:rPr>
          <w:szCs w:val="24"/>
          <w:lang w:val="hu-HU"/>
        </w:rPr>
        <w:t xml:space="preserve">Annak érdekében, hogy pontosan lehessen kiküszöbölni két jelentő fél tranzakcióinak kétszeres számbavételét, a jelentő intézményeknek legjobb tudásuk szerint kell beazonosítani a „jelentő </w:t>
      </w:r>
      <w:proofErr w:type="spellStart"/>
      <w:proofErr w:type="gramStart"/>
      <w:r w:rsidRPr="00FE5851">
        <w:rPr>
          <w:szCs w:val="24"/>
          <w:lang w:val="hu-HU"/>
        </w:rPr>
        <w:t>dealerek</w:t>
      </w:r>
      <w:proofErr w:type="spellEnd"/>
      <w:r w:rsidRPr="00FE5851">
        <w:rPr>
          <w:szCs w:val="24"/>
          <w:lang w:val="hu-HU"/>
        </w:rPr>
        <w:t>”-</w:t>
      </w:r>
      <w:proofErr w:type="gramEnd"/>
      <w:r w:rsidRPr="00FE5851">
        <w:rPr>
          <w:szCs w:val="24"/>
          <w:lang w:val="hu-HU"/>
        </w:rPr>
        <w:t xml:space="preserve">kel kötött ügyleteket. Két különböző jegyzék áll majd a jelentő intézmények rendelkezésére ebben a felmérésben a „jelentő </w:t>
      </w:r>
      <w:proofErr w:type="spellStart"/>
      <w:proofErr w:type="gramStart"/>
      <w:r w:rsidRPr="00FE5851">
        <w:rPr>
          <w:szCs w:val="24"/>
          <w:lang w:val="hu-HU"/>
        </w:rPr>
        <w:t>delaerek</w:t>
      </w:r>
      <w:proofErr w:type="spellEnd"/>
      <w:r w:rsidRPr="00FE5851">
        <w:rPr>
          <w:szCs w:val="24"/>
          <w:lang w:val="hu-HU"/>
        </w:rPr>
        <w:t>”-</w:t>
      </w:r>
      <w:proofErr w:type="gramEnd"/>
      <w:r w:rsidRPr="00FE5851">
        <w:rPr>
          <w:szCs w:val="24"/>
          <w:lang w:val="hu-HU"/>
        </w:rPr>
        <w:t>re vonatkozóan: egy a forgalmi adatokhoz és egy másik a nyitott kötésállományokhoz</w:t>
      </w:r>
      <w:r>
        <w:rPr>
          <w:szCs w:val="24"/>
          <w:lang w:val="hu-HU"/>
        </w:rPr>
        <w:t>.</w:t>
      </w:r>
      <w:r w:rsidRPr="00FE5851">
        <w:rPr>
          <w:szCs w:val="24"/>
          <w:lang w:val="hu-HU"/>
        </w:rPr>
        <w:t xml:space="preserve"> </w:t>
      </w:r>
    </w:p>
    <w:p w14:paraId="69C0777F" w14:textId="77777777" w:rsidR="00444B86" w:rsidRPr="00FE5851" w:rsidRDefault="00444B86" w:rsidP="000754A9">
      <w:pPr>
        <w:pStyle w:val="IndentedHeading1"/>
        <w:numPr>
          <w:ilvl w:val="0"/>
          <w:numId w:val="37"/>
        </w:numPr>
        <w:rPr>
          <w:szCs w:val="24"/>
          <w:lang w:val="hu-HU"/>
        </w:rPr>
      </w:pPr>
      <w:r>
        <w:rPr>
          <w:szCs w:val="24"/>
          <w:lang w:val="hu-HU"/>
        </w:rPr>
        <w:t xml:space="preserve"> </w:t>
      </w:r>
      <w:r>
        <w:rPr>
          <w:szCs w:val="24"/>
          <w:lang w:val="hu-HU"/>
        </w:rPr>
        <w:tab/>
      </w:r>
      <w:bookmarkStart w:id="8" w:name="_Toc89264397"/>
      <w:r>
        <w:rPr>
          <w:szCs w:val="24"/>
          <w:lang w:val="hu-HU"/>
        </w:rPr>
        <w:t>Definíciók</w:t>
      </w:r>
      <w:bookmarkEnd w:id="8"/>
    </w:p>
    <w:p w14:paraId="17B53CE6" w14:textId="77777777" w:rsidR="00A856BF" w:rsidRPr="00FE5851" w:rsidRDefault="00444B86" w:rsidP="000754A9">
      <w:pPr>
        <w:pStyle w:val="IndentedHeading2"/>
        <w:ind w:left="858" w:hanging="847"/>
        <w:rPr>
          <w:szCs w:val="24"/>
          <w:lang w:val="hu-HU"/>
        </w:rPr>
      </w:pPr>
      <w:bookmarkStart w:id="9" w:name="_Toc89264398"/>
      <w:r>
        <w:rPr>
          <w:szCs w:val="24"/>
          <w:lang w:val="hu-HU"/>
        </w:rPr>
        <w:t xml:space="preserve">2.1. </w:t>
      </w:r>
      <w:r>
        <w:rPr>
          <w:szCs w:val="24"/>
          <w:lang w:val="hu-HU"/>
        </w:rPr>
        <w:tab/>
      </w:r>
      <w:r>
        <w:rPr>
          <w:szCs w:val="24"/>
          <w:lang w:val="hu-HU"/>
        </w:rPr>
        <w:tab/>
      </w:r>
      <w:r>
        <w:rPr>
          <w:szCs w:val="24"/>
          <w:lang w:val="hu-HU"/>
        </w:rPr>
        <w:tab/>
      </w:r>
      <w:r>
        <w:rPr>
          <w:szCs w:val="24"/>
          <w:lang w:val="hu-HU"/>
        </w:rPr>
        <w:tab/>
      </w:r>
      <w:r w:rsidR="00A856BF" w:rsidRPr="00FE5851">
        <w:rPr>
          <w:szCs w:val="24"/>
          <w:lang w:val="hu-HU"/>
        </w:rPr>
        <w:t>Kért adattípusok</w:t>
      </w:r>
      <w:bookmarkEnd w:id="9"/>
    </w:p>
    <w:p w14:paraId="1EEDFD67" w14:textId="77777777" w:rsidR="00A856BF" w:rsidRPr="00FE5851" w:rsidRDefault="00A856BF" w:rsidP="00A856BF">
      <w:pPr>
        <w:pStyle w:val="Paragraph"/>
        <w:rPr>
          <w:szCs w:val="24"/>
          <w:lang w:val="hu-HU"/>
        </w:rPr>
      </w:pPr>
      <w:r w:rsidRPr="00FE5851">
        <w:rPr>
          <w:szCs w:val="24"/>
          <w:lang w:val="hu-HU"/>
        </w:rPr>
        <w:t>A tőzsdén kívüli származékos piac méretének méréséhez a felmérés adatokat gyűjt nominális összegben és bruttó piaci értékben kifejezett nyitott kötésállományokról. Ezek a mérőszámok együttesen pontosabban érzékeltetik a piac méretét, mint külön-külön.</w:t>
      </w:r>
    </w:p>
    <w:p w14:paraId="2B1F1496" w14:textId="77777777" w:rsidR="00444B86" w:rsidRPr="000754A9" w:rsidRDefault="00444B86" w:rsidP="00A856BF">
      <w:pPr>
        <w:pStyle w:val="Paragraph"/>
        <w:rPr>
          <w:i/>
          <w:iCs/>
          <w:szCs w:val="24"/>
          <w:lang w:val="hu-HU"/>
        </w:rPr>
      </w:pPr>
      <w:r w:rsidRPr="000754A9">
        <w:rPr>
          <w:i/>
          <w:iCs/>
          <w:szCs w:val="24"/>
          <w:lang w:val="hu-HU"/>
        </w:rPr>
        <w:t xml:space="preserve">2.1.1. </w:t>
      </w:r>
      <w:r w:rsidRPr="000754A9">
        <w:rPr>
          <w:i/>
          <w:iCs/>
          <w:szCs w:val="24"/>
          <w:lang w:val="hu-HU"/>
        </w:rPr>
        <w:tab/>
      </w:r>
      <w:r w:rsidRPr="000754A9">
        <w:rPr>
          <w:i/>
          <w:iCs/>
          <w:szCs w:val="24"/>
          <w:lang w:val="hu-HU"/>
        </w:rPr>
        <w:tab/>
      </w:r>
      <w:r w:rsidRPr="000754A9">
        <w:rPr>
          <w:i/>
          <w:iCs/>
          <w:szCs w:val="24"/>
          <w:lang w:val="hu-HU"/>
        </w:rPr>
        <w:tab/>
      </w:r>
      <w:r w:rsidRPr="000754A9">
        <w:rPr>
          <w:i/>
          <w:iCs/>
          <w:szCs w:val="24"/>
          <w:lang w:val="hu-HU"/>
        </w:rPr>
        <w:tab/>
        <w:t>Névleges nyitott állomány</w:t>
      </w:r>
    </w:p>
    <w:p w14:paraId="626592DC" w14:textId="77777777" w:rsidR="00A856BF" w:rsidRPr="00FE5851" w:rsidRDefault="00A856BF" w:rsidP="00A856BF">
      <w:pPr>
        <w:pStyle w:val="Paragraph"/>
        <w:rPr>
          <w:szCs w:val="24"/>
          <w:lang w:val="hu-HU"/>
        </w:rPr>
      </w:pPr>
      <w:r w:rsidRPr="00FE5851">
        <w:rPr>
          <w:szCs w:val="24"/>
          <w:lang w:val="hu-HU"/>
        </w:rPr>
        <w:t xml:space="preserve">A </w:t>
      </w:r>
      <w:r w:rsidRPr="00FE5851">
        <w:rPr>
          <w:i/>
          <w:szCs w:val="24"/>
          <w:lang w:val="hu-HU"/>
        </w:rPr>
        <w:t>nominális vagy névleges nyitott kötésállományok</w:t>
      </w:r>
      <w:r w:rsidRPr="00FE5851">
        <w:rPr>
          <w:szCs w:val="24"/>
          <w:lang w:val="hu-HU"/>
        </w:rPr>
        <w:t xml:space="preserve"> nemcsak a piac méretét jelzik, hanem az </w:t>
      </w:r>
      <w:proofErr w:type="spellStart"/>
      <w:r w:rsidRPr="00FE5851">
        <w:rPr>
          <w:szCs w:val="24"/>
          <w:lang w:val="hu-HU"/>
        </w:rPr>
        <w:t>árkockázat</w:t>
      </w:r>
      <w:proofErr w:type="spellEnd"/>
      <w:r w:rsidRPr="00FE5851">
        <w:rPr>
          <w:szCs w:val="24"/>
          <w:lang w:val="hu-HU"/>
        </w:rPr>
        <w:t xml:space="preserve"> lehetséges átadásának durva közelítését is adják a származékos piacon. Segítségükkel mérhető a kapcsolódó mögöttes azonnali piac nagysága, továbbá hasznos bepillantást nyújt az azonnali piac és a származékos piac relatív nagyságára és növekedésére is.</w:t>
      </w:r>
    </w:p>
    <w:p w14:paraId="6DBFEFFD" w14:textId="77777777" w:rsidR="00A856BF" w:rsidRDefault="00A856BF" w:rsidP="00A856BF">
      <w:pPr>
        <w:pStyle w:val="Paragraph"/>
        <w:rPr>
          <w:szCs w:val="24"/>
          <w:lang w:val="hu-HU"/>
        </w:rPr>
      </w:pPr>
      <w:r w:rsidRPr="00FE5851">
        <w:rPr>
          <w:szCs w:val="24"/>
          <w:lang w:val="hu-HU"/>
        </w:rPr>
        <w:t>Nominális vagy névleges nyitott kötésállományok a már megkötött, de a beszámolás időpontjában még pénzügyileg nem teljesített (kiegyenlített) összes ügylet bruttó nominális vagy névleges értéke. Az adatokat</w:t>
      </w:r>
      <w:r>
        <w:rPr>
          <w:szCs w:val="24"/>
          <w:lang w:val="hu-HU"/>
        </w:rPr>
        <w:t xml:space="preserve"> </w:t>
      </w:r>
      <w:r w:rsidRPr="00FE5851">
        <w:rPr>
          <w:szCs w:val="24"/>
          <w:lang w:val="hu-HU"/>
        </w:rPr>
        <w:t>konszolidált alapon kell jelenteni</w:t>
      </w:r>
      <w:r>
        <w:rPr>
          <w:szCs w:val="24"/>
          <w:lang w:val="hu-HU"/>
        </w:rPr>
        <w:t xml:space="preserve">, azaz a konszolidációba bevont vállalatokkal megkötött ügyleteket nem szabad figyelembe venni. A tulajdonosi érdekek alapján a konszolidáció részét ugyan nem képező, de gyakorlatilag a jelentő bank ellenőrzése alá tartozó leányvállalatokkal megkötött ügyleteket sem szabad figyelembe venni. </w:t>
      </w:r>
      <w:r w:rsidRPr="000E435F">
        <w:rPr>
          <w:szCs w:val="24"/>
          <w:lang w:val="hu-HU"/>
        </w:rPr>
        <w:t>A változó névleges v</w:t>
      </w:r>
      <w:r>
        <w:rPr>
          <w:szCs w:val="24"/>
          <w:lang w:val="hu-HU"/>
        </w:rPr>
        <w:t xml:space="preserve">agy elvi tőkeösszegű szerződések esetében az </w:t>
      </w:r>
      <w:r w:rsidRPr="000E435F">
        <w:rPr>
          <w:szCs w:val="24"/>
          <w:lang w:val="hu-HU"/>
        </w:rPr>
        <w:t>adat</w:t>
      </w:r>
      <w:r>
        <w:rPr>
          <w:szCs w:val="24"/>
          <w:lang w:val="hu-HU"/>
        </w:rPr>
        <w:t xml:space="preserve">szolgáltatás alapja a vonatkozási időpontban fennálló </w:t>
      </w:r>
      <w:proofErr w:type="gramStart"/>
      <w:r w:rsidRPr="000E435F">
        <w:rPr>
          <w:szCs w:val="24"/>
          <w:lang w:val="hu-HU"/>
        </w:rPr>
        <w:t>névleges</w:t>
      </w:r>
      <w:proofErr w:type="gramEnd"/>
      <w:r w:rsidRPr="000E435F">
        <w:rPr>
          <w:szCs w:val="24"/>
          <w:lang w:val="hu-HU"/>
        </w:rPr>
        <w:t xml:space="preserve"> vagy elvi tőkeösszeg legyen.</w:t>
      </w:r>
      <w:r>
        <w:rPr>
          <w:szCs w:val="24"/>
          <w:lang w:val="hu-HU"/>
        </w:rPr>
        <w:t xml:space="preserve"> </w:t>
      </w:r>
    </w:p>
    <w:p w14:paraId="7766B697" w14:textId="77777777" w:rsidR="00A856BF" w:rsidRPr="00FE5851" w:rsidRDefault="00A856BF" w:rsidP="00A856BF">
      <w:pPr>
        <w:pStyle w:val="Paragraph"/>
        <w:rPr>
          <w:szCs w:val="24"/>
          <w:lang w:val="hu-HU"/>
        </w:rPr>
      </w:pPr>
      <w:r w:rsidRPr="00FE5851">
        <w:rPr>
          <w:szCs w:val="24"/>
          <w:lang w:val="hu-HU"/>
        </w:rPr>
        <w:t xml:space="preserve">A szorzótényező-összetevőjű származékos kontraktusra vonatkozóan jelentendő nominális vagy névérték a kontraktus tényleges </w:t>
      </w:r>
      <w:proofErr w:type="gramStart"/>
      <w:r w:rsidRPr="00FE5851">
        <w:rPr>
          <w:szCs w:val="24"/>
          <w:lang w:val="hu-HU"/>
        </w:rPr>
        <w:t>nominális</w:t>
      </w:r>
      <w:proofErr w:type="gramEnd"/>
      <w:r w:rsidRPr="00FE5851">
        <w:rPr>
          <w:szCs w:val="24"/>
          <w:lang w:val="hu-HU"/>
        </w:rPr>
        <w:t xml:space="preserve"> vagy névértéke. Tehát, például, olyan csereügylet-szerződés tényleges névértéke, amelynek nyilvántartá</w:t>
      </w:r>
      <w:r>
        <w:rPr>
          <w:szCs w:val="24"/>
          <w:lang w:val="hu-HU"/>
        </w:rPr>
        <w:t>sba vett nominális értéke 1.000.</w:t>
      </w:r>
      <w:r w:rsidRPr="00FE5851">
        <w:rPr>
          <w:szCs w:val="24"/>
          <w:lang w:val="hu-HU"/>
        </w:rPr>
        <w:t>000 USD, s amelynek feltételei 5% és a LIBOR tízszerese közötti különbség negyed</w:t>
      </w:r>
      <w:r>
        <w:rPr>
          <w:szCs w:val="24"/>
          <w:lang w:val="hu-HU"/>
        </w:rPr>
        <w:t>éves elszámolását írják elő, 10.000.</w:t>
      </w:r>
      <w:r w:rsidRPr="00FE5851">
        <w:rPr>
          <w:szCs w:val="24"/>
          <w:lang w:val="hu-HU"/>
        </w:rPr>
        <w:t xml:space="preserve">000 USD. </w:t>
      </w:r>
    </w:p>
    <w:p w14:paraId="3A77BE76" w14:textId="77777777" w:rsidR="00A856BF" w:rsidRPr="00FE5851" w:rsidRDefault="00A856BF" w:rsidP="00A856BF">
      <w:pPr>
        <w:pStyle w:val="Paragraph"/>
        <w:rPr>
          <w:szCs w:val="24"/>
          <w:lang w:val="hu-HU"/>
        </w:rPr>
      </w:pPr>
      <w:r w:rsidRPr="00FE5851">
        <w:rPr>
          <w:szCs w:val="24"/>
          <w:lang w:val="hu-HU"/>
        </w:rPr>
        <w:t xml:space="preserve">A kontraktusok </w:t>
      </w:r>
      <w:proofErr w:type="spellStart"/>
      <w:r w:rsidRPr="00FE5851">
        <w:rPr>
          <w:szCs w:val="24"/>
          <w:lang w:val="hu-HU"/>
        </w:rPr>
        <w:t>nettósítása</w:t>
      </w:r>
      <w:proofErr w:type="spellEnd"/>
      <w:r w:rsidRPr="00FE5851">
        <w:rPr>
          <w:szCs w:val="24"/>
          <w:lang w:val="hu-HU"/>
        </w:rPr>
        <w:t xml:space="preserve"> nem engedélyezett e tétel alkalmazásában. Ezért tehát nem megengedett a nettósítás a következő esetekben: (1) a jelentő bank harmadik féllel szembeni vételi kötelezettsége és harmadik féllel szembeni eladási kötelezettsége; (2) kiírt opció a megvásárolt opcióval szemben; és (3) kétoldalú </w:t>
      </w:r>
      <w:proofErr w:type="spellStart"/>
      <w:r w:rsidRPr="00FE5851">
        <w:rPr>
          <w:szCs w:val="24"/>
          <w:lang w:val="hu-HU"/>
        </w:rPr>
        <w:t>nettósítási</w:t>
      </w:r>
      <w:proofErr w:type="spellEnd"/>
      <w:r w:rsidRPr="00FE5851">
        <w:rPr>
          <w:szCs w:val="24"/>
          <w:lang w:val="hu-HU"/>
        </w:rPr>
        <w:t xml:space="preserve"> megállapodás alá eső kontraktusok.</w:t>
      </w:r>
    </w:p>
    <w:p w14:paraId="1ED2753C" w14:textId="77777777" w:rsidR="00A856BF" w:rsidRPr="00FE5851" w:rsidRDefault="00A856BF" w:rsidP="00A856BF">
      <w:pPr>
        <w:pStyle w:val="Paragraph"/>
        <w:rPr>
          <w:szCs w:val="24"/>
          <w:lang w:val="hu-HU"/>
        </w:rPr>
      </w:pPr>
      <w:r w:rsidRPr="00FE5851">
        <w:rPr>
          <w:i/>
          <w:szCs w:val="24"/>
          <w:lang w:val="hu-HU"/>
        </w:rPr>
        <w:t>Csereügyletek (</w:t>
      </w:r>
      <w:proofErr w:type="spellStart"/>
      <w:r w:rsidRPr="00FE5851">
        <w:rPr>
          <w:i/>
          <w:szCs w:val="24"/>
          <w:lang w:val="hu-HU"/>
        </w:rPr>
        <w:t>swapok</w:t>
      </w:r>
      <w:proofErr w:type="spellEnd"/>
      <w:r w:rsidRPr="00FE5851">
        <w:rPr>
          <w:i/>
          <w:szCs w:val="24"/>
          <w:lang w:val="hu-HU"/>
        </w:rPr>
        <w:t>):</w:t>
      </w:r>
      <w:r w:rsidRPr="00FE5851">
        <w:rPr>
          <w:szCs w:val="24"/>
          <w:lang w:val="hu-HU"/>
        </w:rPr>
        <w:t xml:space="preserve"> A </w:t>
      </w:r>
      <w:proofErr w:type="spellStart"/>
      <w:r w:rsidRPr="00FE5851">
        <w:rPr>
          <w:szCs w:val="24"/>
          <w:lang w:val="hu-HU"/>
        </w:rPr>
        <w:t>swap</w:t>
      </w:r>
      <w:proofErr w:type="spellEnd"/>
      <w:r w:rsidRPr="00FE5851">
        <w:rPr>
          <w:szCs w:val="24"/>
          <w:lang w:val="hu-HU"/>
        </w:rPr>
        <w:t xml:space="preserve"> névleges összege a mögöttes tőkeösszeg, amelytől kamat, deviza vagy más bevétel és ráfordítás cseréje függ. </w:t>
      </w:r>
    </w:p>
    <w:p w14:paraId="0AE83366" w14:textId="77777777" w:rsidR="00A856BF" w:rsidRPr="00FE5851" w:rsidRDefault="00A856BF" w:rsidP="00A856BF">
      <w:pPr>
        <w:pStyle w:val="Paragraph"/>
        <w:rPr>
          <w:szCs w:val="24"/>
          <w:lang w:val="hu-HU"/>
        </w:rPr>
      </w:pPr>
      <w:r w:rsidRPr="00FE5851">
        <w:rPr>
          <w:i/>
          <w:szCs w:val="24"/>
          <w:lang w:val="hu-HU"/>
        </w:rPr>
        <w:lastRenderedPageBreak/>
        <w:t>Részvényhez és árucikkhez kapcsolt kontraktusok:</w:t>
      </w:r>
      <w:r w:rsidRPr="00FE5851">
        <w:rPr>
          <w:szCs w:val="24"/>
          <w:lang w:val="hu-HU"/>
        </w:rPr>
        <w:t xml:space="preserve"> Részvény- vagy árucikk-kontraktusra vonatkozóan jelentendő szerződött összeg a mennyiség (pl. a vételre vagy értékesítésre szerződött áru vagy részvény egységeinek száma szorozva az egység szerződéses árával).</w:t>
      </w:r>
    </w:p>
    <w:p w14:paraId="0908972A" w14:textId="77777777" w:rsidR="00A856BF" w:rsidRPr="00FE5851" w:rsidRDefault="00A856BF" w:rsidP="00A856BF">
      <w:pPr>
        <w:pStyle w:val="Paragraph"/>
        <w:rPr>
          <w:szCs w:val="24"/>
          <w:lang w:val="hu-HU"/>
        </w:rPr>
      </w:pPr>
      <w:r w:rsidRPr="00FE5851">
        <w:rPr>
          <w:szCs w:val="24"/>
          <w:lang w:val="hu-HU"/>
        </w:rPr>
        <w:t xml:space="preserve">A többszörös tőkecseréjű árukontraktusokra vonatkozóan jelentendő nominális összeg a szerződéses összeg szorozva a még hátralévő tőkecserék szerződésben meghatározott számával. </w:t>
      </w:r>
    </w:p>
    <w:p w14:paraId="299BE832" w14:textId="77777777" w:rsidR="00A856BF" w:rsidRDefault="00A856BF" w:rsidP="00A856BF">
      <w:pPr>
        <w:pStyle w:val="Paragraph"/>
        <w:rPr>
          <w:szCs w:val="24"/>
          <w:lang w:val="hu-HU"/>
        </w:rPr>
      </w:pPr>
      <w:proofErr w:type="spellStart"/>
      <w:r w:rsidRPr="00FE5851">
        <w:rPr>
          <w:i/>
          <w:szCs w:val="24"/>
          <w:lang w:val="hu-HU"/>
        </w:rPr>
        <w:t>Hitelderivatívák</w:t>
      </w:r>
      <w:proofErr w:type="spellEnd"/>
      <w:r w:rsidRPr="00FE5851">
        <w:rPr>
          <w:i/>
          <w:szCs w:val="24"/>
          <w:lang w:val="hu-HU"/>
        </w:rPr>
        <w:t>:</w:t>
      </w:r>
      <w:r w:rsidRPr="00FE5851">
        <w:rPr>
          <w:szCs w:val="24"/>
          <w:lang w:val="hu-HU"/>
        </w:rPr>
        <w:t xml:space="preserve"> A </w:t>
      </w:r>
      <w:proofErr w:type="spellStart"/>
      <w:r w:rsidRPr="00FE5851">
        <w:rPr>
          <w:szCs w:val="24"/>
          <w:lang w:val="hu-HU"/>
        </w:rPr>
        <w:t>hitelderivatívákra</w:t>
      </w:r>
      <w:proofErr w:type="spellEnd"/>
      <w:r w:rsidRPr="00FE5851">
        <w:rPr>
          <w:szCs w:val="24"/>
          <w:lang w:val="hu-HU"/>
        </w:rPr>
        <w:t xml:space="preserve"> vonatkozóan jelentendő szerződéses összeg az adott referenciahitel nominális értéke. A hitelkockázathoz kapcsolt értékpapírokra (a </w:t>
      </w:r>
      <w:proofErr w:type="spellStart"/>
      <w:r w:rsidRPr="00FE5851">
        <w:rPr>
          <w:szCs w:val="24"/>
          <w:lang w:val="hu-HU"/>
        </w:rPr>
        <w:t>CLN-ekre</w:t>
      </w:r>
      <w:proofErr w:type="spellEnd"/>
      <w:r w:rsidRPr="00FE5851">
        <w:rPr>
          <w:szCs w:val="24"/>
          <w:lang w:val="hu-HU"/>
        </w:rPr>
        <w:t xml:space="preserve">) e felmérés nem terjed ki, ezért azokat </w:t>
      </w:r>
      <w:r w:rsidRPr="00FE5851">
        <w:rPr>
          <w:i/>
          <w:szCs w:val="24"/>
          <w:lang w:val="hu-HU"/>
        </w:rPr>
        <w:t>nem</w:t>
      </w:r>
      <w:r w:rsidRPr="00FE5851">
        <w:rPr>
          <w:szCs w:val="24"/>
          <w:lang w:val="hu-HU"/>
        </w:rPr>
        <w:t xml:space="preserve"> kell jelenteni. </w:t>
      </w:r>
    </w:p>
    <w:p w14:paraId="5D279A02" w14:textId="77777777" w:rsidR="00444B86" w:rsidRPr="000754A9" w:rsidRDefault="00444B86" w:rsidP="00A856BF">
      <w:pPr>
        <w:pStyle w:val="Paragraph"/>
        <w:rPr>
          <w:i/>
          <w:iCs/>
          <w:szCs w:val="24"/>
          <w:lang w:val="hu-HU"/>
        </w:rPr>
      </w:pPr>
      <w:r w:rsidRPr="000754A9">
        <w:rPr>
          <w:i/>
          <w:iCs/>
          <w:szCs w:val="24"/>
          <w:lang w:val="hu-HU"/>
        </w:rPr>
        <w:t>2.1.2. Bruttó piaci érték</w:t>
      </w:r>
    </w:p>
    <w:p w14:paraId="534C2261" w14:textId="77777777" w:rsidR="00A856BF" w:rsidRPr="00FE5851" w:rsidRDefault="00A856BF" w:rsidP="00A856BF">
      <w:pPr>
        <w:pStyle w:val="Paragraph"/>
        <w:rPr>
          <w:szCs w:val="24"/>
          <w:lang w:val="hu-HU"/>
        </w:rPr>
      </w:pPr>
      <w:r w:rsidRPr="00FE5851">
        <w:rPr>
          <w:szCs w:val="24"/>
          <w:lang w:val="hu-HU"/>
        </w:rPr>
        <w:t xml:space="preserve">A származékos piac nagyságának egy másik mértékegysége </w:t>
      </w:r>
      <w:r w:rsidRPr="00FE5851">
        <w:rPr>
          <w:i/>
          <w:szCs w:val="24"/>
          <w:lang w:val="hu-HU"/>
        </w:rPr>
        <w:t>a nyitott kötésállományok bruttó piaci értéke</w:t>
      </w:r>
      <w:r w:rsidRPr="00FE5851">
        <w:rPr>
          <w:szCs w:val="24"/>
          <w:lang w:val="hu-HU"/>
        </w:rPr>
        <w:t xml:space="preserve">. A bruttó piaci érték a származékos piaci </w:t>
      </w:r>
      <w:proofErr w:type="spellStart"/>
      <w:r w:rsidRPr="00FE5851">
        <w:rPr>
          <w:szCs w:val="24"/>
          <w:lang w:val="hu-HU"/>
        </w:rPr>
        <w:t>árkockázat</w:t>
      </w:r>
      <w:proofErr w:type="spellEnd"/>
      <w:r w:rsidRPr="00FE5851">
        <w:rPr>
          <w:szCs w:val="24"/>
          <w:lang w:val="hu-HU"/>
        </w:rPr>
        <w:t xml:space="preserve"> bruttó transzferének nagyságrendjéről is információval szolgál. Ezen</w:t>
      </w:r>
      <w:r>
        <w:rPr>
          <w:szCs w:val="24"/>
          <w:lang w:val="hu-HU"/>
        </w:rPr>
        <w:t xml:space="preserve"> </w:t>
      </w:r>
      <w:r w:rsidRPr="00FE5851">
        <w:rPr>
          <w:szCs w:val="24"/>
          <w:lang w:val="hu-HU"/>
        </w:rPr>
        <w:t xml:space="preserve">kívül az aktuális piaci </w:t>
      </w:r>
      <w:proofErr w:type="spellStart"/>
      <w:r w:rsidRPr="00FE5851">
        <w:rPr>
          <w:szCs w:val="24"/>
          <w:lang w:val="hu-HU"/>
        </w:rPr>
        <w:t>áras</w:t>
      </w:r>
      <w:proofErr w:type="spellEnd"/>
      <w:r w:rsidRPr="00FE5851">
        <w:rPr>
          <w:szCs w:val="24"/>
          <w:lang w:val="hu-HU"/>
        </w:rPr>
        <w:t xml:space="preserve"> bruttó piaci érték a származékos piac nagyságának és gazdasági jelentőségének is mércéje, könnyen összehasonlítható a piacok és a termékek között. </w:t>
      </w:r>
    </w:p>
    <w:p w14:paraId="2ACFD368" w14:textId="77777777" w:rsidR="00A856BF" w:rsidRPr="00FE5851" w:rsidRDefault="00A856BF" w:rsidP="00A856BF">
      <w:pPr>
        <w:pStyle w:val="Paragraph"/>
        <w:rPr>
          <w:szCs w:val="24"/>
          <w:lang w:val="hu-HU"/>
        </w:rPr>
      </w:pPr>
      <w:r w:rsidRPr="00FE5851">
        <w:rPr>
          <w:spacing w:val="-2"/>
          <w:szCs w:val="24"/>
          <w:lang w:val="hu-HU"/>
        </w:rPr>
        <w:t xml:space="preserve">A bruttó piaci érték minden nyitott – akár pozitív, akár negatív piaci értékű, a </w:t>
      </w:r>
      <w:r>
        <w:rPr>
          <w:spacing w:val="-2"/>
          <w:szCs w:val="24"/>
          <w:lang w:val="hu-HU"/>
        </w:rPr>
        <w:t>20</w:t>
      </w:r>
      <w:r w:rsidR="00A43950">
        <w:rPr>
          <w:spacing w:val="-2"/>
          <w:szCs w:val="24"/>
          <w:lang w:val="hu-HU"/>
        </w:rPr>
        <w:t>25</w:t>
      </w:r>
      <w:r>
        <w:rPr>
          <w:spacing w:val="-2"/>
          <w:szCs w:val="24"/>
          <w:lang w:val="hu-HU"/>
        </w:rPr>
        <w:t xml:space="preserve">. június hónapjának utolsó munkanapján </w:t>
      </w:r>
      <w:r w:rsidRPr="00FE5851">
        <w:rPr>
          <w:spacing w:val="-2"/>
          <w:szCs w:val="24"/>
          <w:lang w:val="hu-HU"/>
        </w:rPr>
        <w:t xml:space="preserve">aktuális piaci árakon értékelt kötésállomány abszolút értékeinek összegeként definiálható. A helyettesítési érték a kapható vagy fizetendő ár abban az esetben, ha az eszközt el kellene adni a piacon a beszámolás időpontjában. A piaci érték az az összeg, amelyért egy szerződés elcserélhető lenne egy aktuális (folyó), nem kényszerértékesítést jelentő ügyletben szerződéskötésre kész felek között. Amennyiben van </w:t>
      </w:r>
      <w:proofErr w:type="spellStart"/>
      <w:r w:rsidRPr="00FE5851">
        <w:rPr>
          <w:spacing w:val="-2"/>
          <w:szCs w:val="24"/>
          <w:lang w:val="hu-HU"/>
        </w:rPr>
        <w:t>árjegyzés</w:t>
      </w:r>
      <w:proofErr w:type="spellEnd"/>
      <w:r w:rsidRPr="00FE5851">
        <w:rPr>
          <w:spacing w:val="-2"/>
          <w:szCs w:val="24"/>
          <w:lang w:val="hu-HU"/>
        </w:rPr>
        <w:t xml:space="preserve"> a kontraktusra, a kereskedett egységek számát meg kell szorozni a piaci árral. Ha nincs piaci</w:t>
      </w:r>
      <w:r>
        <w:rPr>
          <w:spacing w:val="-2"/>
          <w:szCs w:val="24"/>
          <w:lang w:val="hu-HU"/>
        </w:rPr>
        <w:t xml:space="preserve"> </w:t>
      </w:r>
      <w:proofErr w:type="spellStart"/>
      <w:r w:rsidRPr="00FE5851">
        <w:rPr>
          <w:spacing w:val="-2"/>
          <w:szCs w:val="24"/>
          <w:lang w:val="hu-HU"/>
        </w:rPr>
        <w:t>árjegyzés</w:t>
      </w:r>
      <w:proofErr w:type="spellEnd"/>
      <w:r w:rsidRPr="00FE5851">
        <w:rPr>
          <w:spacing w:val="-2"/>
          <w:szCs w:val="24"/>
          <w:lang w:val="hu-HU"/>
        </w:rPr>
        <w:t xml:space="preserve">, a jelentő intézménynek a piaci értéket – a legjobb tudása szerint – becsléssel kell megállapítania egy hasonló kontraktus jegyzett ára alapján vagy a diszkontált cashflow-hoz hasonló értékelési módszerek segítségével. </w:t>
      </w:r>
    </w:p>
    <w:p w14:paraId="01EE1367" w14:textId="77777777" w:rsidR="00A856BF" w:rsidRPr="00FE5851" w:rsidRDefault="00A856BF" w:rsidP="00A856BF">
      <w:pPr>
        <w:pStyle w:val="Paragraph"/>
        <w:rPr>
          <w:szCs w:val="24"/>
          <w:lang w:val="hu-HU"/>
        </w:rPr>
      </w:pPr>
      <w:r w:rsidRPr="00FE5851">
        <w:rPr>
          <w:szCs w:val="24"/>
          <w:lang w:val="hu-HU"/>
        </w:rPr>
        <w:t xml:space="preserve">A bruttó piaci érték az összes nyitott kontraktus partner- vagy egyéb nettósítás előtti értéke. Tehát a bruttó pozitív piaci érték a vállalkozás nyitott kontraktusai összes pozitív helyettesítési értékének összege. Hasonlóképpen: a bruttó negatív piaci érték a vállalkozás kontraktusai teljes negatív helyettesítési értékeinek összege. </w:t>
      </w:r>
    </w:p>
    <w:p w14:paraId="256B08FF" w14:textId="77777777" w:rsidR="00A856BF" w:rsidRPr="00FE5851" w:rsidRDefault="00A856BF" w:rsidP="00A856BF">
      <w:pPr>
        <w:pStyle w:val="Paragraph"/>
        <w:rPr>
          <w:szCs w:val="24"/>
          <w:lang w:val="hu-HU"/>
        </w:rPr>
      </w:pPr>
      <w:r w:rsidRPr="00FE5851">
        <w:rPr>
          <w:szCs w:val="24"/>
          <w:lang w:val="hu-HU"/>
        </w:rPr>
        <w:t xml:space="preserve">A „bruttó” szó azt jelzi, hogy az ugyanazon partnerrel kötött, pozitív és negatív helyettesítési értékű kontraktusok nem </w:t>
      </w:r>
      <w:proofErr w:type="spellStart"/>
      <w:r w:rsidRPr="00FE5851">
        <w:rPr>
          <w:szCs w:val="24"/>
          <w:lang w:val="hu-HU"/>
        </w:rPr>
        <w:t>nettósíthatók</w:t>
      </w:r>
      <w:proofErr w:type="spellEnd"/>
      <w:r w:rsidRPr="00FE5851">
        <w:rPr>
          <w:szCs w:val="24"/>
          <w:lang w:val="hu-HU"/>
        </w:rPr>
        <w:t xml:space="preserve">. Nem </w:t>
      </w:r>
      <w:proofErr w:type="spellStart"/>
      <w:r w:rsidRPr="00FE5851">
        <w:rPr>
          <w:szCs w:val="24"/>
          <w:lang w:val="hu-HU"/>
        </w:rPr>
        <w:t>nettósíthatók</w:t>
      </w:r>
      <w:proofErr w:type="spellEnd"/>
      <w:r w:rsidRPr="00FE5851">
        <w:rPr>
          <w:szCs w:val="24"/>
          <w:lang w:val="hu-HU"/>
        </w:rPr>
        <w:t xml:space="preserve"> a pozitív és negatív kontraktusértékek összegei sem egymással szemben a következő kockázati kategóriákban: devizaárfolyam, kamat, részvény, árucikk, hitel és „egyéb”.</w:t>
      </w:r>
    </w:p>
    <w:p w14:paraId="1644E96C" w14:textId="77777777" w:rsidR="00A856BF" w:rsidRPr="00FE5851" w:rsidRDefault="00A856BF" w:rsidP="00A856BF">
      <w:pPr>
        <w:pStyle w:val="Paragraph"/>
        <w:rPr>
          <w:szCs w:val="24"/>
          <w:lang w:val="hu-HU"/>
        </w:rPr>
      </w:pPr>
      <w:r w:rsidRPr="00FE5851">
        <w:rPr>
          <w:szCs w:val="24"/>
          <w:lang w:val="hu-HU"/>
        </w:rPr>
        <w:t xml:space="preserve">Tőzsdén kívüli (OTC) határidős és csereügyletek esetében azon nyitott kontraktusok piaci (vagy helyettesítési) értéke, amelyekben a jelentő fél szerződő partner, pozitív, nulla vagy negatív, attól függően, hogyan mozdult el a mögöttes </w:t>
      </w:r>
      <w:r>
        <w:rPr>
          <w:szCs w:val="24"/>
          <w:lang w:val="hu-HU"/>
        </w:rPr>
        <w:t>instrumentumok</w:t>
      </w:r>
      <w:r w:rsidRPr="00FE5851">
        <w:rPr>
          <w:szCs w:val="24"/>
          <w:lang w:val="hu-HU"/>
        </w:rPr>
        <w:t xml:space="preserve"> ára a szerződéskötés időpontja óta. Kérjük, tekintsék meg a tőzsdén kívüli (OTC) határidős és csereügyletek piaci értéke kiszámításának a mellékletben ismertetett példáit.</w:t>
      </w:r>
    </w:p>
    <w:p w14:paraId="6CBB82FD" w14:textId="77777777" w:rsidR="00A75899" w:rsidRDefault="00A856BF" w:rsidP="00A856BF">
      <w:pPr>
        <w:pStyle w:val="Paragraph"/>
        <w:rPr>
          <w:szCs w:val="24"/>
          <w:lang w:val="hu-HU"/>
        </w:rPr>
      </w:pPr>
      <w:r w:rsidRPr="00FE5851">
        <w:rPr>
          <w:szCs w:val="24"/>
          <w:lang w:val="hu-HU"/>
        </w:rPr>
        <w:t xml:space="preserve">A tőzsdén kívüli (OTC) határidős és csereügyletektől eltérően a tőzsdén kívüli (OTC) opciós ügyleteknek van piaci értékük a szerződéskötés időpontjában; ez az érték az opció kiírójának fizetett díj. Életciklusuk alatt az opciós szerződéseknek csak pozitív értékük lehet a vevő és negatív az eladó szempontjából. Amennyiben van piaci </w:t>
      </w:r>
      <w:proofErr w:type="spellStart"/>
      <w:r w:rsidRPr="00FE5851">
        <w:rPr>
          <w:szCs w:val="24"/>
          <w:lang w:val="hu-HU"/>
        </w:rPr>
        <w:t>árjegyzés</w:t>
      </w:r>
      <w:proofErr w:type="spellEnd"/>
      <w:r w:rsidRPr="00FE5851">
        <w:rPr>
          <w:szCs w:val="24"/>
          <w:lang w:val="hu-HU"/>
        </w:rPr>
        <w:t xml:space="preserve"> a kontraktusra, e kontraktus jelentendő piaci ára a szerződés kereskedett egységei számának és ennek a jegyzett piaci árnak a szorzata. Ha nincs jegyzett piaci ár, a nyitott opciós szerződésnek a beszámolás időpontjában fennálló piaci értéke meghatározható az ugyanolyan lehívási árú és hátralévő futamidejű opciók másodpiaci ára alapján, mint az értékelt opcióé vagy opciós árazási modellek alkalmazásával. </w:t>
      </w:r>
    </w:p>
    <w:p w14:paraId="709D0AEF" w14:textId="77777777" w:rsidR="00A856BF" w:rsidRPr="00FE5851" w:rsidRDefault="00A856BF" w:rsidP="00A856BF">
      <w:pPr>
        <w:pStyle w:val="Paragraph"/>
        <w:rPr>
          <w:szCs w:val="24"/>
          <w:lang w:val="hu-HU"/>
        </w:rPr>
      </w:pPr>
      <w:r w:rsidRPr="00FE5851">
        <w:rPr>
          <w:szCs w:val="24"/>
          <w:lang w:val="hu-HU"/>
        </w:rPr>
        <w:t xml:space="preserve">Opciós árazási modellek estében rendszerint a mögöttes eszközre adott aktuális határidős </w:t>
      </w:r>
      <w:proofErr w:type="spellStart"/>
      <w:r w:rsidRPr="00FE5851">
        <w:rPr>
          <w:szCs w:val="24"/>
          <w:lang w:val="hu-HU"/>
        </w:rPr>
        <w:t>árjegyzést</w:t>
      </w:r>
      <w:proofErr w:type="spellEnd"/>
      <w:r w:rsidRPr="00FE5851">
        <w:rPr>
          <w:szCs w:val="24"/>
          <w:lang w:val="hu-HU"/>
        </w:rPr>
        <w:t xml:space="preserve"> (az amerikai opciókra az azonnali árat), az implikált volatilitást és az opció lejáratának szempontjából releváns piaci kamatot használják a piaci ár kiszámításához. </w:t>
      </w:r>
    </w:p>
    <w:p w14:paraId="53B969BC" w14:textId="77777777" w:rsidR="00A856BF" w:rsidRPr="00FE5851" w:rsidRDefault="00A856BF" w:rsidP="00A856BF">
      <w:pPr>
        <w:pStyle w:val="Paragraph"/>
        <w:rPr>
          <w:szCs w:val="24"/>
          <w:lang w:val="hu-HU"/>
        </w:rPr>
      </w:pPr>
      <w:r w:rsidRPr="00FE5851">
        <w:rPr>
          <w:szCs w:val="24"/>
          <w:lang w:val="hu-HU"/>
        </w:rPr>
        <w:lastRenderedPageBreak/>
        <w:t xml:space="preserve">A bruttó pozitív piaci érték az összes vásárolt opció aktuális piaci értékének összege, a bruttó negatív piaci érték pedig a kiírt opciók értékének összege. A kiírt és vásárolt opciók ugyanazon partner vonatkozásában nem </w:t>
      </w:r>
      <w:proofErr w:type="spellStart"/>
      <w:r w:rsidRPr="00FE5851">
        <w:rPr>
          <w:szCs w:val="24"/>
          <w:lang w:val="hu-HU"/>
        </w:rPr>
        <w:t>nettósíthatók</w:t>
      </w:r>
      <w:proofErr w:type="spellEnd"/>
      <w:r w:rsidRPr="00FE5851">
        <w:rPr>
          <w:szCs w:val="24"/>
          <w:lang w:val="hu-HU"/>
        </w:rPr>
        <w:t xml:space="preserve"> egymással szemben, és nem megengedett a nettósítás ugyanazon mögöttes eszközre vonatkozó kiírt és vásárolt opciók esetében sem. </w:t>
      </w:r>
    </w:p>
    <w:p w14:paraId="0B1A3554" w14:textId="77777777" w:rsidR="00A856BF" w:rsidRPr="00FE5851" w:rsidRDefault="00A856BF" w:rsidP="00A856BF">
      <w:pPr>
        <w:pStyle w:val="Paragraph"/>
        <w:rPr>
          <w:szCs w:val="24"/>
          <w:lang w:val="hu-HU"/>
        </w:rPr>
      </w:pPr>
      <w:r w:rsidRPr="00FE5851">
        <w:rPr>
          <w:szCs w:val="24"/>
          <w:lang w:val="hu-HU"/>
        </w:rPr>
        <w:t xml:space="preserve">A nyitott kötésállományokra vonatkozó minden adatnak </w:t>
      </w:r>
      <w:r>
        <w:rPr>
          <w:szCs w:val="24"/>
          <w:lang w:val="hu-HU"/>
        </w:rPr>
        <w:t>20</w:t>
      </w:r>
      <w:r w:rsidR="00A43950">
        <w:rPr>
          <w:szCs w:val="24"/>
          <w:lang w:val="hu-HU"/>
        </w:rPr>
        <w:t>25</w:t>
      </w:r>
      <w:r w:rsidRPr="00FE5851">
        <w:rPr>
          <w:szCs w:val="24"/>
          <w:lang w:val="hu-HU"/>
        </w:rPr>
        <w:t>. június végére vonatkozóan jelentett, akkor érvényes adatnak kell lennie.</w:t>
      </w:r>
    </w:p>
    <w:p w14:paraId="077C9DCD" w14:textId="77777777" w:rsidR="00A856BF" w:rsidRPr="00FE5851" w:rsidRDefault="003C3738" w:rsidP="00A856BF">
      <w:pPr>
        <w:pStyle w:val="IndentedHeading2"/>
        <w:rPr>
          <w:szCs w:val="24"/>
          <w:lang w:val="hu-HU"/>
        </w:rPr>
      </w:pPr>
      <w:bookmarkStart w:id="10" w:name="_Toc89264399"/>
      <w:r>
        <w:rPr>
          <w:szCs w:val="24"/>
          <w:lang w:val="hu-HU"/>
        </w:rPr>
        <w:t>2.1.</w:t>
      </w:r>
      <w:r w:rsidR="00A856BF" w:rsidRPr="00FE5851">
        <w:rPr>
          <w:szCs w:val="24"/>
          <w:lang w:val="hu-HU"/>
        </w:rPr>
        <w:tab/>
      </w:r>
      <w:r w:rsidR="00A856BF">
        <w:rPr>
          <w:szCs w:val="24"/>
          <w:lang w:val="hu-HU"/>
        </w:rPr>
        <w:t>Konszolidált beszámolás</w:t>
      </w:r>
      <w:bookmarkEnd w:id="10"/>
    </w:p>
    <w:p w14:paraId="52BE837C" w14:textId="77777777" w:rsidR="00A856BF" w:rsidRPr="00FE5851" w:rsidRDefault="00A856BF" w:rsidP="00A856BF">
      <w:pPr>
        <w:pStyle w:val="Paragraph"/>
        <w:rPr>
          <w:szCs w:val="24"/>
          <w:lang w:val="hu-HU"/>
        </w:rPr>
      </w:pPr>
      <w:r w:rsidRPr="00FE5851">
        <w:rPr>
          <w:szCs w:val="24"/>
          <w:lang w:val="hu-HU"/>
        </w:rPr>
        <w:t xml:space="preserve">A nyitott kötésállományokra vonatkozó adatokat </w:t>
      </w:r>
      <w:r w:rsidRPr="00FE5851">
        <w:rPr>
          <w:i/>
          <w:szCs w:val="24"/>
          <w:lang w:val="hu-HU"/>
        </w:rPr>
        <w:t>konszolidált alapon</w:t>
      </w:r>
      <w:r w:rsidRPr="00FE5851">
        <w:rPr>
          <w:szCs w:val="24"/>
          <w:lang w:val="hu-HU"/>
        </w:rPr>
        <w:t xml:space="preserve"> kell jelenteni.</w:t>
      </w:r>
      <w:r w:rsidR="00BB1F7C">
        <w:rPr>
          <w:szCs w:val="24"/>
          <w:lang w:val="hu-HU"/>
        </w:rPr>
        <w:t xml:space="preserve"> </w:t>
      </w:r>
      <w:r w:rsidRPr="00FE5851">
        <w:rPr>
          <w:szCs w:val="24"/>
          <w:lang w:val="hu-HU"/>
        </w:rPr>
        <w:t xml:space="preserve">Ez azt jelenti, hogy egy adott intézmény összes fióktelepének és (többségi tulajdonban lévő) összes leányvállalatának adatait összesíteni kell, s az anyavállalatnak kizárólag azon ország monetáris hatóságainak kell jelentenie őket, ahol az anyavállalat székhelye található. Ugyanazon intézmény kapcsolt vállalatai (azaz </w:t>
      </w:r>
      <w:proofErr w:type="spellStart"/>
      <w:r w:rsidRPr="00FE5851">
        <w:rPr>
          <w:szCs w:val="24"/>
          <w:lang w:val="hu-HU"/>
        </w:rPr>
        <w:t>fióktelepei</w:t>
      </w:r>
      <w:proofErr w:type="spellEnd"/>
      <w:r w:rsidRPr="00FE5851">
        <w:rPr>
          <w:szCs w:val="24"/>
          <w:lang w:val="hu-HU"/>
        </w:rPr>
        <w:t xml:space="preserve"> és leányvállalatai) közötti ügyleteket tilos jelenteni. </w:t>
      </w:r>
    </w:p>
    <w:p w14:paraId="71C706DB" w14:textId="77777777" w:rsidR="00A856BF" w:rsidRDefault="00A856BF" w:rsidP="00A856BF">
      <w:pPr>
        <w:pStyle w:val="Paragraph"/>
        <w:rPr>
          <w:szCs w:val="24"/>
          <w:lang w:val="hu-HU"/>
        </w:rPr>
      </w:pPr>
      <w:r w:rsidRPr="00FE5851">
        <w:rPr>
          <w:szCs w:val="24"/>
          <w:lang w:val="hu-HU"/>
        </w:rPr>
        <w:t xml:space="preserve">A konszolidáció meghatározásának szabályait minden ország saját belátása szerint alkotja meg. Amennyire lehet, a meghatározásoknak meg kell egyezniük a Bázeli Bankfelügyeleti Bizottság és az </w:t>
      </w:r>
      <w:proofErr w:type="spellStart"/>
      <w:r w:rsidRPr="00FE5851">
        <w:rPr>
          <w:szCs w:val="24"/>
          <w:lang w:val="hu-HU"/>
        </w:rPr>
        <w:t>IOSCO</w:t>
      </w:r>
      <w:proofErr w:type="spellEnd"/>
      <w:r w:rsidRPr="00FE5851">
        <w:rPr>
          <w:szCs w:val="24"/>
          <w:lang w:val="hu-HU"/>
        </w:rPr>
        <w:t xml:space="preserve"> „</w:t>
      </w:r>
      <w:r w:rsidRPr="00FE5851">
        <w:rPr>
          <w:i/>
          <w:szCs w:val="24"/>
          <w:lang w:val="hu-HU"/>
        </w:rPr>
        <w:t>Közös minimálisinformáció-keret</w:t>
      </w:r>
      <w:r w:rsidRPr="00FE5851">
        <w:rPr>
          <w:szCs w:val="24"/>
          <w:lang w:val="hu-HU"/>
        </w:rPr>
        <w:t xml:space="preserve">” című ajánlásában foglaltakkal. </w:t>
      </w:r>
      <w:r w:rsidR="000C62E2" w:rsidRPr="00AA22B7">
        <w:rPr>
          <w:szCs w:val="22"/>
          <w:lang w:val="hu"/>
        </w:rPr>
        <w:t>Ezeknek a meghatározásoknak lehetőség szerint meg kell egyezniük a konszolidált bázeli keretrendszerben használt meghatározásokkal.</w:t>
      </w:r>
      <w:r w:rsidR="000C62E2" w:rsidRPr="00AA22B7">
        <w:rPr>
          <w:rStyle w:val="Lbjegyzet-hivatkozs"/>
          <w:szCs w:val="22"/>
          <w:lang w:val="hu"/>
        </w:rPr>
        <w:footnoteReference w:id="4"/>
      </w:r>
    </w:p>
    <w:p w14:paraId="7B5F0574" w14:textId="77777777" w:rsidR="00A856BF" w:rsidRPr="005A6850" w:rsidRDefault="003C3738" w:rsidP="000754A9">
      <w:pPr>
        <w:pStyle w:val="IndentedHeading2"/>
        <w:rPr>
          <w:szCs w:val="24"/>
          <w:lang w:val="hu-HU"/>
        </w:rPr>
      </w:pPr>
      <w:bookmarkStart w:id="11" w:name="_Toc89264400"/>
      <w:proofErr w:type="gramStart"/>
      <w:r>
        <w:rPr>
          <w:szCs w:val="24"/>
          <w:lang w:val="hu-HU"/>
        </w:rPr>
        <w:t>2.3.</w:t>
      </w:r>
      <w:r w:rsidR="00A856BF">
        <w:rPr>
          <w:szCs w:val="24"/>
          <w:lang w:val="hu-HU"/>
        </w:rPr>
        <w:t xml:space="preserve">  Központi</w:t>
      </w:r>
      <w:proofErr w:type="gramEnd"/>
      <w:r w:rsidR="00A856BF">
        <w:rPr>
          <w:szCs w:val="24"/>
          <w:lang w:val="hu-HU"/>
        </w:rPr>
        <w:t xml:space="preserve"> elszámolás</w:t>
      </w:r>
      <w:bookmarkEnd w:id="11"/>
      <w:r w:rsidR="00A856BF">
        <w:rPr>
          <w:szCs w:val="24"/>
          <w:lang w:val="hu-HU"/>
        </w:rPr>
        <w:t xml:space="preserve"> </w:t>
      </w:r>
    </w:p>
    <w:p w14:paraId="076123C3" w14:textId="77777777" w:rsidR="00A856BF" w:rsidRPr="005A6850" w:rsidRDefault="00A856BF" w:rsidP="00A856BF">
      <w:pPr>
        <w:pStyle w:val="Paragraph"/>
        <w:rPr>
          <w:szCs w:val="24"/>
          <w:lang w:val="hu-HU"/>
        </w:rPr>
      </w:pPr>
      <w:r>
        <w:rPr>
          <w:szCs w:val="24"/>
          <w:lang w:val="hu-HU"/>
        </w:rPr>
        <w:t xml:space="preserve">A pozíciókat a </w:t>
      </w:r>
      <w:proofErr w:type="spellStart"/>
      <w:r>
        <w:rPr>
          <w:szCs w:val="24"/>
          <w:lang w:val="hu-HU"/>
        </w:rPr>
        <w:t>CCP</w:t>
      </w:r>
      <w:proofErr w:type="spellEnd"/>
      <w:r>
        <w:rPr>
          <w:szCs w:val="24"/>
          <w:lang w:val="hu-HU"/>
        </w:rPr>
        <w:t>-vel történő szerződéskötést követően szükséges jelenteni.</w:t>
      </w:r>
      <w:r w:rsidR="00BB1F7C">
        <w:rPr>
          <w:rStyle w:val="Lbjegyzet-hivatkozs"/>
          <w:szCs w:val="24"/>
          <w:lang w:val="hu-HU"/>
        </w:rPr>
        <w:footnoteReference w:id="5"/>
      </w:r>
      <w:r>
        <w:rPr>
          <w:szCs w:val="24"/>
          <w:lang w:val="hu-HU"/>
        </w:rPr>
        <w:t xml:space="preserve"> Ez alatt az a folyamat értendő, amikor egy darab, két piaci szereplő között létrejött bilaterális szerződést kettő darab, olyan bilaterális szerződéssel helyettesítenek, amelyek a piaci szereplők és egy központi szerződő fél (</w:t>
      </w:r>
      <w:proofErr w:type="spellStart"/>
      <w:r>
        <w:rPr>
          <w:szCs w:val="24"/>
          <w:lang w:val="hu-HU"/>
        </w:rPr>
        <w:t>CCP</w:t>
      </w:r>
      <w:proofErr w:type="spellEnd"/>
      <w:r>
        <w:rPr>
          <w:szCs w:val="24"/>
          <w:lang w:val="hu-HU"/>
        </w:rPr>
        <w:t xml:space="preserve">) között köttettek. </w:t>
      </w:r>
      <w:proofErr w:type="gramStart"/>
      <w:r>
        <w:rPr>
          <w:szCs w:val="24"/>
          <w:lang w:val="hu-HU"/>
        </w:rPr>
        <w:t>Például</w:t>
      </w:r>
      <w:proofErr w:type="gramEnd"/>
      <w:r>
        <w:rPr>
          <w:szCs w:val="24"/>
          <w:lang w:val="hu-HU"/>
        </w:rPr>
        <w:t xml:space="preserve"> ha A és B partnerek között megkötött származékos ügyletet A és a központi szerződő fél (</w:t>
      </w:r>
      <w:proofErr w:type="spellStart"/>
      <w:r>
        <w:rPr>
          <w:szCs w:val="24"/>
          <w:lang w:val="hu-HU"/>
        </w:rPr>
        <w:t>CCP</w:t>
      </w:r>
      <w:proofErr w:type="spellEnd"/>
      <w:r>
        <w:rPr>
          <w:szCs w:val="24"/>
          <w:lang w:val="hu-HU"/>
        </w:rPr>
        <w:t>) illetve B és a központi szerződő fél (</w:t>
      </w:r>
      <w:proofErr w:type="spellStart"/>
      <w:r>
        <w:rPr>
          <w:szCs w:val="24"/>
          <w:lang w:val="hu-HU"/>
        </w:rPr>
        <w:t>CCP</w:t>
      </w:r>
      <w:proofErr w:type="spellEnd"/>
      <w:r>
        <w:rPr>
          <w:szCs w:val="24"/>
          <w:lang w:val="hu-HU"/>
        </w:rPr>
        <w:t xml:space="preserve">) között megkötött szerződésekkel helyettesítenek. </w:t>
      </w:r>
    </w:p>
    <w:p w14:paraId="34A5A39E" w14:textId="77777777" w:rsidR="00A856BF" w:rsidRDefault="00A856BF" w:rsidP="00A856BF">
      <w:pPr>
        <w:pStyle w:val="Paragraph"/>
        <w:rPr>
          <w:szCs w:val="24"/>
          <w:lang w:val="hu-HU"/>
        </w:rPr>
      </w:pPr>
      <w:r>
        <w:rPr>
          <w:szCs w:val="24"/>
          <w:lang w:val="hu-HU"/>
        </w:rPr>
        <w:t xml:space="preserve">Amennyiben a jelentő </w:t>
      </w:r>
      <w:proofErr w:type="spellStart"/>
      <w:r>
        <w:rPr>
          <w:szCs w:val="24"/>
          <w:lang w:val="hu-HU"/>
        </w:rPr>
        <w:t>dealerek</w:t>
      </w:r>
      <w:proofErr w:type="spellEnd"/>
      <w:r>
        <w:rPr>
          <w:szCs w:val="24"/>
          <w:lang w:val="hu-HU"/>
        </w:rPr>
        <w:t xml:space="preserve"> </w:t>
      </w:r>
      <w:proofErr w:type="spellStart"/>
      <w:r>
        <w:rPr>
          <w:szCs w:val="24"/>
          <w:lang w:val="hu-HU"/>
        </w:rPr>
        <w:t>CCP</w:t>
      </w:r>
      <w:proofErr w:type="spellEnd"/>
      <w:r>
        <w:rPr>
          <w:szCs w:val="24"/>
          <w:lang w:val="hu-HU"/>
        </w:rPr>
        <w:t xml:space="preserve">-n keresztül szerződnek, akkor a pozíciókat a </w:t>
      </w:r>
      <w:proofErr w:type="spellStart"/>
      <w:r>
        <w:rPr>
          <w:szCs w:val="24"/>
          <w:lang w:val="hu-HU"/>
        </w:rPr>
        <w:t>CCP</w:t>
      </w:r>
      <w:proofErr w:type="spellEnd"/>
      <w:r>
        <w:rPr>
          <w:szCs w:val="24"/>
          <w:lang w:val="hu-HU"/>
        </w:rPr>
        <w:t xml:space="preserve">-vel történő szerződéskötést követően szükséges meghatározni a felmérés nyitott kötésállományokra vonatkozó részében (a fenti példában az A és a </w:t>
      </w:r>
      <w:proofErr w:type="spellStart"/>
      <w:r>
        <w:rPr>
          <w:szCs w:val="24"/>
          <w:lang w:val="hu-HU"/>
        </w:rPr>
        <w:t>CCP</w:t>
      </w:r>
      <w:proofErr w:type="spellEnd"/>
      <w:r>
        <w:rPr>
          <w:szCs w:val="24"/>
          <w:lang w:val="hu-HU"/>
        </w:rPr>
        <w:t xml:space="preserve">, valamint a B és a </w:t>
      </w:r>
      <w:proofErr w:type="spellStart"/>
      <w:r>
        <w:rPr>
          <w:szCs w:val="24"/>
          <w:lang w:val="hu-HU"/>
        </w:rPr>
        <w:t>CCP</w:t>
      </w:r>
      <w:proofErr w:type="spellEnd"/>
      <w:r>
        <w:rPr>
          <w:szCs w:val="24"/>
          <w:lang w:val="hu-HU"/>
        </w:rPr>
        <w:t xml:space="preserve"> között megkötött szerződésekre). Az eredeti ügyletet (a fenti példában az A és a B között megkötött szerződést) nem kell jelenteni.</w:t>
      </w:r>
      <w:r w:rsidR="00BB1F7C">
        <w:rPr>
          <w:rStyle w:val="Lbjegyzet-hivatkozs"/>
          <w:szCs w:val="24"/>
          <w:lang w:val="hu-HU"/>
        </w:rPr>
        <w:footnoteReference w:id="6"/>
      </w:r>
      <w:r>
        <w:rPr>
          <w:szCs w:val="24"/>
          <w:lang w:val="hu-HU"/>
        </w:rPr>
        <w:t xml:space="preserve"> Továbbá a központi szerződő féllel szemben megkötött ügyleteket külön fel kell tüntetni az egyéb pénzügyi intézményekkel megkötött ügyletek részét képező „ebből központi szerződő féllel szemben megkötött </w:t>
      </w:r>
      <w:proofErr w:type="gramStart"/>
      <w:r>
        <w:rPr>
          <w:szCs w:val="24"/>
          <w:lang w:val="hu-HU"/>
        </w:rPr>
        <w:t>ügyletek”-</w:t>
      </w:r>
      <w:proofErr w:type="gramEnd"/>
      <w:r>
        <w:rPr>
          <w:szCs w:val="24"/>
          <w:lang w:val="hu-HU"/>
        </w:rPr>
        <w:t xml:space="preserve">nél is. A központi szerződő felekre vonatkozóan egy nem teljes körű lista a 2. mellékletben található. </w:t>
      </w:r>
    </w:p>
    <w:p w14:paraId="5182AB94" w14:textId="77777777" w:rsidR="00A856BF" w:rsidRPr="00FE5851" w:rsidRDefault="00A856BF">
      <w:pPr>
        <w:pStyle w:val="Paragraph"/>
        <w:rPr>
          <w:szCs w:val="24"/>
          <w:lang w:val="hu-HU"/>
        </w:rPr>
      </w:pPr>
    </w:p>
    <w:p w14:paraId="1CFD3C09" w14:textId="77777777" w:rsidR="00D313C3" w:rsidRPr="00FE5851" w:rsidRDefault="00D313C3" w:rsidP="000754A9">
      <w:pPr>
        <w:pStyle w:val="IndentedHeading1"/>
        <w:numPr>
          <w:ilvl w:val="0"/>
          <w:numId w:val="37"/>
        </w:numPr>
        <w:rPr>
          <w:szCs w:val="24"/>
          <w:lang w:val="hu-HU"/>
        </w:rPr>
      </w:pPr>
      <w:r w:rsidRPr="00FE5851">
        <w:rPr>
          <w:szCs w:val="24"/>
          <w:lang w:val="hu-HU"/>
        </w:rPr>
        <w:tab/>
      </w:r>
      <w:bookmarkStart w:id="12" w:name="_Toc89264401"/>
      <w:r w:rsidRPr="00FE5851">
        <w:rPr>
          <w:szCs w:val="24"/>
          <w:lang w:val="hu-HU"/>
        </w:rPr>
        <w:t>Kockázati kategóriák</w:t>
      </w:r>
      <w:bookmarkEnd w:id="12"/>
    </w:p>
    <w:p w14:paraId="39F4F4FE" w14:textId="77777777" w:rsidR="00D313C3" w:rsidRPr="00FE5851" w:rsidRDefault="00D313C3">
      <w:pPr>
        <w:pStyle w:val="Paragraph"/>
        <w:rPr>
          <w:szCs w:val="24"/>
          <w:lang w:val="hu-HU"/>
        </w:rPr>
      </w:pPr>
      <w:r w:rsidRPr="00FE5851">
        <w:rPr>
          <w:szCs w:val="24"/>
          <w:lang w:val="hu-HU"/>
        </w:rPr>
        <w:t>A felmérés a tőzsdén kívüli (OTC) származékos termékekről az alábbi szélesebb piaci osztályozás szerint gyűjt adatokat:</w:t>
      </w:r>
    </w:p>
    <w:p w14:paraId="0567984E" w14:textId="77777777" w:rsidR="00D313C3" w:rsidRPr="00FE5851" w:rsidRDefault="00D313C3">
      <w:pPr>
        <w:pStyle w:val="Bulletpoint"/>
        <w:numPr>
          <w:ilvl w:val="0"/>
          <w:numId w:val="6"/>
        </w:numPr>
        <w:rPr>
          <w:szCs w:val="24"/>
          <w:lang w:val="hu-HU"/>
        </w:rPr>
      </w:pPr>
      <w:r w:rsidRPr="00FE5851">
        <w:rPr>
          <w:szCs w:val="24"/>
          <w:lang w:val="hu-HU"/>
        </w:rPr>
        <w:t>Deviza- és aranykontraktusok (O1. és O4. táblázat)</w:t>
      </w:r>
    </w:p>
    <w:p w14:paraId="724AAE9E" w14:textId="77777777" w:rsidR="00D313C3" w:rsidRPr="00FE5851" w:rsidRDefault="00D313C3">
      <w:pPr>
        <w:pStyle w:val="Bulletpoint"/>
        <w:numPr>
          <w:ilvl w:val="0"/>
          <w:numId w:val="6"/>
        </w:numPr>
        <w:rPr>
          <w:szCs w:val="24"/>
          <w:lang w:val="hu-HU"/>
        </w:rPr>
      </w:pPr>
      <w:r w:rsidRPr="00FE5851">
        <w:rPr>
          <w:szCs w:val="24"/>
          <w:lang w:val="hu-HU"/>
        </w:rPr>
        <w:t>Egydevizás, kamatlábalapú származékos termékek (O2. és O4. táblázat)</w:t>
      </w:r>
    </w:p>
    <w:p w14:paraId="3619CBC6" w14:textId="77777777" w:rsidR="00D313C3" w:rsidRPr="00FE5851" w:rsidRDefault="00D313C3">
      <w:pPr>
        <w:pStyle w:val="Bulletpoint"/>
        <w:numPr>
          <w:ilvl w:val="0"/>
          <w:numId w:val="6"/>
        </w:numPr>
        <w:rPr>
          <w:szCs w:val="24"/>
          <w:lang w:val="hu-HU"/>
        </w:rPr>
      </w:pPr>
      <w:r w:rsidRPr="00FE5851">
        <w:rPr>
          <w:szCs w:val="24"/>
          <w:lang w:val="hu-HU"/>
        </w:rPr>
        <w:t xml:space="preserve">Részvény-, árucikk-, hitelalapú és „egyéb” származékos termékek (O3. és O4. táblázat) </w:t>
      </w:r>
    </w:p>
    <w:p w14:paraId="16AB45D2" w14:textId="77777777" w:rsidR="00D313C3" w:rsidRPr="00FE5851" w:rsidRDefault="00B326A0">
      <w:pPr>
        <w:pStyle w:val="Bulletpoint"/>
        <w:numPr>
          <w:ilvl w:val="0"/>
          <w:numId w:val="6"/>
        </w:numPr>
        <w:rPr>
          <w:szCs w:val="24"/>
          <w:lang w:val="hu-HU"/>
        </w:rPr>
      </w:pPr>
      <w:proofErr w:type="spellStart"/>
      <w:r>
        <w:rPr>
          <w:szCs w:val="24"/>
          <w:lang w:val="hu-HU"/>
        </w:rPr>
        <w:t>CDS</w:t>
      </w:r>
      <w:proofErr w:type="spellEnd"/>
      <w:r>
        <w:rPr>
          <w:szCs w:val="24"/>
          <w:lang w:val="hu-HU"/>
        </w:rPr>
        <w:t>-ek</w:t>
      </w:r>
      <w:r w:rsidR="00525821">
        <w:rPr>
          <w:szCs w:val="24"/>
          <w:lang w:val="hu-HU"/>
        </w:rPr>
        <w:t xml:space="preserve"> </w:t>
      </w:r>
      <w:r w:rsidR="00D313C3" w:rsidRPr="00FE5851">
        <w:rPr>
          <w:szCs w:val="24"/>
          <w:lang w:val="hu-HU"/>
        </w:rPr>
        <w:t>(O5. táblázat)</w:t>
      </w:r>
    </w:p>
    <w:p w14:paraId="43A2496E" w14:textId="77777777" w:rsidR="00D313C3" w:rsidRPr="00FE5851" w:rsidRDefault="00D313C3">
      <w:pPr>
        <w:pStyle w:val="Paragraph"/>
        <w:rPr>
          <w:szCs w:val="24"/>
          <w:lang w:val="hu-HU"/>
        </w:rPr>
      </w:pPr>
      <w:r w:rsidRPr="00FE5851">
        <w:rPr>
          <w:szCs w:val="24"/>
          <w:lang w:val="hu-HU"/>
        </w:rPr>
        <w:t>Az e piaci kategóriákról szolgáltatandó információk mennyisége tükrözi azok relatív jelentőségét a jegybankok szempontjából. Ezért részletesebb adatokat kell szolgáltatni a devizakontraktusokról, a kamatláb- és a részvényalapú származékos termékekről.</w:t>
      </w:r>
    </w:p>
    <w:p w14:paraId="43E7C705" w14:textId="77777777" w:rsidR="00D313C3" w:rsidRPr="00FE5851" w:rsidRDefault="00D313C3">
      <w:pPr>
        <w:pStyle w:val="Paragraph"/>
        <w:rPr>
          <w:szCs w:val="24"/>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770"/>
      </w:tblGrid>
      <w:tr w:rsidR="00D313C3" w:rsidRPr="00252DF6" w14:paraId="7BE851A5" w14:textId="77777777" w:rsidTr="00252DF6">
        <w:trPr>
          <w:cantSplit/>
        </w:trPr>
        <w:tc>
          <w:tcPr>
            <w:tcW w:w="2518" w:type="dxa"/>
            <w:shd w:val="clear" w:color="auto" w:fill="auto"/>
          </w:tcPr>
          <w:p w14:paraId="2DCADE4A" w14:textId="77777777" w:rsidR="00D313C3" w:rsidRPr="00252DF6" w:rsidRDefault="00D313C3" w:rsidP="00252DF6">
            <w:pPr>
              <w:pStyle w:val="Paragraph"/>
              <w:jc w:val="left"/>
              <w:rPr>
                <w:szCs w:val="24"/>
                <w:lang w:val="hu-HU"/>
              </w:rPr>
            </w:pPr>
            <w:proofErr w:type="spellStart"/>
            <w:r w:rsidRPr="00252DF6">
              <w:rPr>
                <w:sz w:val="20"/>
                <w:szCs w:val="24"/>
                <w:lang w:val="hu-HU"/>
              </w:rPr>
              <w:t>FX</w:t>
            </w:r>
            <w:proofErr w:type="spellEnd"/>
            <w:r w:rsidRPr="00252DF6">
              <w:rPr>
                <w:sz w:val="20"/>
                <w:szCs w:val="24"/>
                <w:lang w:val="hu-HU"/>
              </w:rPr>
              <w:t>- és aranykontraktusok</w:t>
            </w:r>
          </w:p>
        </w:tc>
        <w:tc>
          <w:tcPr>
            <w:tcW w:w="6770" w:type="dxa"/>
            <w:shd w:val="clear" w:color="auto" w:fill="auto"/>
          </w:tcPr>
          <w:p w14:paraId="5ABE7DB2" w14:textId="77777777" w:rsidR="00D313C3" w:rsidRPr="00252DF6" w:rsidRDefault="00D313C3" w:rsidP="00252DF6">
            <w:pPr>
              <w:pStyle w:val="TableText"/>
              <w:framePr w:wrap="auto" w:yAlign="inline"/>
              <w:rPr>
                <w:szCs w:val="24"/>
                <w:lang w:val="hu-HU"/>
              </w:rPr>
            </w:pPr>
            <w:r w:rsidRPr="00252DF6">
              <w:rPr>
                <w:szCs w:val="24"/>
                <w:lang w:val="hu-HU"/>
              </w:rPr>
              <w:t>E kontraktusok devizáknak a tőzsdén kívüli határidős piacon történő cseréjére vonatkozó kontraktusokat tartalmaznak. Így tehát idetartoznak a sima határidős (</w:t>
            </w:r>
            <w:proofErr w:type="spellStart"/>
            <w:r w:rsidRPr="00252DF6">
              <w:rPr>
                <w:szCs w:val="24"/>
                <w:lang w:val="hu-HU"/>
              </w:rPr>
              <w:t>outright</w:t>
            </w:r>
            <w:proofErr w:type="spellEnd"/>
            <w:r w:rsidRPr="00252DF6">
              <w:rPr>
                <w:szCs w:val="24"/>
                <w:lang w:val="hu-HU"/>
              </w:rPr>
              <w:t xml:space="preserve"> </w:t>
            </w:r>
            <w:proofErr w:type="spellStart"/>
            <w:r w:rsidRPr="00252DF6">
              <w:rPr>
                <w:szCs w:val="24"/>
                <w:lang w:val="hu-HU"/>
              </w:rPr>
              <w:t>forward</w:t>
            </w:r>
            <w:proofErr w:type="spellEnd"/>
            <w:r w:rsidRPr="00252DF6">
              <w:rPr>
                <w:szCs w:val="24"/>
                <w:lang w:val="hu-HU"/>
              </w:rPr>
              <w:t xml:space="preserve">) ügyletek, az </w:t>
            </w:r>
            <w:proofErr w:type="spellStart"/>
            <w:r w:rsidRPr="00252DF6">
              <w:rPr>
                <w:szCs w:val="24"/>
                <w:lang w:val="hu-HU"/>
              </w:rPr>
              <w:t>FX</w:t>
            </w:r>
            <w:proofErr w:type="spellEnd"/>
            <w:r w:rsidRPr="00252DF6">
              <w:rPr>
                <w:szCs w:val="24"/>
                <w:lang w:val="hu-HU"/>
              </w:rPr>
              <w:t>-csereügyletek (</w:t>
            </w:r>
            <w:proofErr w:type="spellStart"/>
            <w:r w:rsidRPr="00252DF6">
              <w:rPr>
                <w:szCs w:val="24"/>
                <w:lang w:val="hu-HU"/>
              </w:rPr>
              <w:t>FX</w:t>
            </w:r>
            <w:proofErr w:type="spellEnd"/>
            <w:r w:rsidRPr="00252DF6">
              <w:rPr>
                <w:szCs w:val="24"/>
                <w:lang w:val="hu-HU"/>
              </w:rPr>
              <w:t xml:space="preserve"> </w:t>
            </w:r>
            <w:proofErr w:type="spellStart"/>
            <w:r w:rsidRPr="00252DF6">
              <w:rPr>
                <w:szCs w:val="24"/>
                <w:lang w:val="hu-HU"/>
              </w:rPr>
              <w:t>swaps</w:t>
            </w:r>
            <w:proofErr w:type="spellEnd"/>
            <w:r w:rsidRPr="00252DF6">
              <w:rPr>
                <w:szCs w:val="24"/>
                <w:lang w:val="hu-HU"/>
              </w:rPr>
              <w:t xml:space="preserve">), </w:t>
            </w:r>
            <w:r w:rsidR="00B326A0">
              <w:rPr>
                <w:szCs w:val="24"/>
                <w:lang w:val="hu-HU"/>
              </w:rPr>
              <w:t xml:space="preserve">kamatozó </w:t>
            </w:r>
            <w:r w:rsidRPr="00252DF6">
              <w:rPr>
                <w:szCs w:val="24"/>
                <w:lang w:val="hu-HU"/>
              </w:rPr>
              <w:t>devizacsere-ügyletek (</w:t>
            </w:r>
            <w:proofErr w:type="spellStart"/>
            <w:r w:rsidR="00B326A0">
              <w:rPr>
                <w:szCs w:val="24"/>
                <w:lang w:val="hu-HU"/>
              </w:rPr>
              <w:t>cross</w:t>
            </w:r>
            <w:proofErr w:type="spellEnd"/>
            <w:r w:rsidR="00B326A0">
              <w:rPr>
                <w:szCs w:val="24"/>
                <w:lang w:val="hu-HU"/>
              </w:rPr>
              <w:t xml:space="preserve"> </w:t>
            </w:r>
            <w:proofErr w:type="spellStart"/>
            <w:r w:rsidRPr="00252DF6">
              <w:rPr>
                <w:szCs w:val="24"/>
                <w:lang w:val="hu-HU"/>
              </w:rPr>
              <w:t>currency</w:t>
            </w:r>
            <w:proofErr w:type="spellEnd"/>
            <w:r w:rsidRPr="00252DF6">
              <w:rPr>
                <w:szCs w:val="24"/>
                <w:lang w:val="hu-HU"/>
              </w:rPr>
              <w:t xml:space="preserve"> </w:t>
            </w:r>
            <w:r w:rsidR="00B326A0">
              <w:rPr>
                <w:szCs w:val="24"/>
                <w:lang w:val="hu-HU"/>
              </w:rPr>
              <w:t xml:space="preserve">interest </w:t>
            </w:r>
            <w:proofErr w:type="spellStart"/>
            <w:r w:rsidR="00B326A0">
              <w:rPr>
                <w:szCs w:val="24"/>
                <w:lang w:val="hu-HU"/>
              </w:rPr>
              <w:t>rate</w:t>
            </w:r>
            <w:proofErr w:type="spellEnd"/>
            <w:r w:rsidR="00B326A0">
              <w:rPr>
                <w:szCs w:val="24"/>
                <w:lang w:val="hu-HU"/>
              </w:rPr>
              <w:t xml:space="preserve"> </w:t>
            </w:r>
            <w:proofErr w:type="spellStart"/>
            <w:proofErr w:type="gramStart"/>
            <w:r w:rsidRPr="00252DF6">
              <w:rPr>
                <w:szCs w:val="24"/>
                <w:lang w:val="hu-HU"/>
              </w:rPr>
              <w:t>swaps</w:t>
            </w:r>
            <w:r w:rsidR="00B326A0">
              <w:rPr>
                <w:szCs w:val="24"/>
                <w:lang w:val="hu-HU"/>
              </w:rPr>
              <w:t>,</w:t>
            </w:r>
            <w:r w:rsidRPr="00252DF6">
              <w:rPr>
                <w:szCs w:val="24"/>
                <w:lang w:val="hu-HU"/>
              </w:rPr>
              <w:t>és</w:t>
            </w:r>
            <w:proofErr w:type="spellEnd"/>
            <w:proofErr w:type="gramEnd"/>
            <w:r w:rsidRPr="00252DF6">
              <w:rPr>
                <w:szCs w:val="24"/>
                <w:lang w:val="hu-HU"/>
              </w:rPr>
              <w:t xml:space="preserve"> a devizaopciós ügyletek. Az </w:t>
            </w:r>
            <w:proofErr w:type="spellStart"/>
            <w:r w:rsidRPr="00252DF6">
              <w:rPr>
                <w:szCs w:val="24"/>
                <w:lang w:val="hu-HU"/>
              </w:rPr>
              <w:t>FX</w:t>
            </w:r>
            <w:proofErr w:type="spellEnd"/>
            <w:r w:rsidRPr="00252DF6">
              <w:rPr>
                <w:szCs w:val="24"/>
                <w:lang w:val="hu-HU"/>
              </w:rPr>
              <w:t>-kontraktusok közé tartozik minden olyan ügylet, amely egynél több devizával szembeni kitettséget jelent, függetlenül attól, hogy az kamatban vagy devizaárfolyamban jelentkezik-e.</w:t>
            </w:r>
            <w:r w:rsidR="00FE5851" w:rsidRPr="00252DF6">
              <w:rPr>
                <w:szCs w:val="24"/>
                <w:lang w:val="hu-HU"/>
              </w:rPr>
              <w:t xml:space="preserve"> </w:t>
            </w:r>
          </w:p>
          <w:p w14:paraId="58E8F413" w14:textId="77777777" w:rsidR="00D313C3" w:rsidRPr="00252DF6" w:rsidRDefault="00D313C3" w:rsidP="00252DF6">
            <w:pPr>
              <w:pStyle w:val="TableText"/>
              <w:framePr w:wrap="auto" w:yAlign="inline"/>
              <w:rPr>
                <w:szCs w:val="24"/>
                <w:lang w:val="hu-HU"/>
              </w:rPr>
            </w:pPr>
            <w:r w:rsidRPr="00252DF6">
              <w:rPr>
                <w:szCs w:val="24"/>
                <w:lang w:val="hu-HU"/>
              </w:rPr>
              <w:t>Az aranyra kötött kontraktusok olyan ügyletek, ahol kitettség kizárólag ezzel az árucikkel szemben áll fenn.</w:t>
            </w:r>
          </w:p>
        </w:tc>
      </w:tr>
      <w:tr w:rsidR="00D313C3" w:rsidRPr="00252DF6" w14:paraId="647D3081" w14:textId="77777777" w:rsidTr="00252DF6">
        <w:trPr>
          <w:cantSplit/>
        </w:trPr>
        <w:tc>
          <w:tcPr>
            <w:tcW w:w="2518" w:type="dxa"/>
            <w:shd w:val="clear" w:color="auto" w:fill="auto"/>
          </w:tcPr>
          <w:p w14:paraId="1A91117E" w14:textId="77777777" w:rsidR="00D313C3" w:rsidRPr="00252DF6" w:rsidRDefault="00D313C3" w:rsidP="00252DF6">
            <w:pPr>
              <w:pStyle w:val="Paragraph"/>
              <w:jc w:val="left"/>
              <w:rPr>
                <w:szCs w:val="24"/>
                <w:lang w:val="hu-HU"/>
              </w:rPr>
            </w:pPr>
            <w:r w:rsidRPr="00252DF6">
              <w:rPr>
                <w:sz w:val="20"/>
                <w:szCs w:val="24"/>
                <w:lang w:val="hu-HU"/>
              </w:rPr>
              <w:t>Egydevizás kamatlábalapú származékos ügyletek</w:t>
            </w:r>
          </w:p>
        </w:tc>
        <w:tc>
          <w:tcPr>
            <w:tcW w:w="6770" w:type="dxa"/>
            <w:shd w:val="clear" w:color="auto" w:fill="auto"/>
          </w:tcPr>
          <w:p w14:paraId="4A58CDA3" w14:textId="77777777" w:rsidR="00D313C3" w:rsidRPr="00252DF6" w:rsidRDefault="00D313C3" w:rsidP="00252DF6">
            <w:pPr>
              <w:pStyle w:val="TableText"/>
              <w:framePr w:wrap="auto" w:yAlign="inline"/>
              <w:rPr>
                <w:szCs w:val="24"/>
                <w:lang w:val="hu-HU"/>
              </w:rPr>
            </w:pPr>
            <w:r w:rsidRPr="00252DF6">
              <w:rPr>
                <w:szCs w:val="24"/>
                <w:lang w:val="hu-HU"/>
              </w:rPr>
              <w:t xml:space="preserve">A kamatlábalapú kontraktusok kamatozó pénzügyi eszközhöz kapcsolódó szerződések. A kamatozó pénzügyi </w:t>
            </w:r>
            <w:r w:rsidR="00FE2181">
              <w:rPr>
                <w:szCs w:val="24"/>
                <w:lang w:val="hu-HU"/>
              </w:rPr>
              <w:t>instrumentumok</w:t>
            </w:r>
            <w:r w:rsidRPr="00252DF6">
              <w:rPr>
                <w:szCs w:val="24"/>
                <w:lang w:val="hu-HU"/>
              </w:rPr>
              <w:t xml:space="preserve"> pénzáramát referenciakamattal vagy egy másik kamatlábalapú kontraktussal (pl. </w:t>
            </w:r>
            <w:r w:rsidR="00E11481">
              <w:rPr>
                <w:szCs w:val="24"/>
                <w:lang w:val="hu-HU"/>
              </w:rPr>
              <w:t>állampapír határidős megvásárlására szóló opció</w:t>
            </w:r>
            <w:r w:rsidRPr="00252DF6">
              <w:rPr>
                <w:szCs w:val="24"/>
                <w:lang w:val="hu-HU"/>
              </w:rPr>
              <w:t>) határozzák meg.</w:t>
            </w:r>
            <w:r w:rsidR="00FE5851" w:rsidRPr="00252DF6">
              <w:rPr>
                <w:szCs w:val="24"/>
                <w:lang w:val="hu-HU"/>
              </w:rPr>
              <w:t xml:space="preserve"> </w:t>
            </w:r>
            <w:r w:rsidRPr="00252DF6">
              <w:rPr>
                <w:szCs w:val="24"/>
                <w:lang w:val="hu-HU"/>
              </w:rPr>
              <w:t>A kamatlábalapú kontraktusok közé tartoznak a tőzsdén kívüli határidős kamatláb-megállapodások, az egydevizás kamatcsereügyletek és kamatlábopciók, ideértve a kamatplafon-, kamatpadló-, kamatgallér- és kamatfolyosó ügyletek.</w:t>
            </w:r>
          </w:p>
          <w:p w14:paraId="4BD5CF44" w14:textId="77777777" w:rsidR="00D313C3" w:rsidRPr="00252DF6" w:rsidRDefault="00D313C3" w:rsidP="00B326A0">
            <w:pPr>
              <w:pStyle w:val="TableText"/>
              <w:framePr w:wrap="auto" w:yAlign="inline"/>
              <w:rPr>
                <w:szCs w:val="24"/>
                <w:lang w:val="hu-HU"/>
              </w:rPr>
            </w:pPr>
            <w:r w:rsidRPr="00252DF6">
              <w:rPr>
                <w:spacing w:val="-2"/>
                <w:szCs w:val="24"/>
                <w:lang w:val="hu-HU"/>
              </w:rPr>
              <w:t xml:space="preserve">Ebbe a kategóriába csak azok az ügyletek tartoznak, amelyeknek minden lába kizárólag egyetlen devizában denominált kamatnak van kitéve. Tehát nem tartoznak ide a </w:t>
            </w:r>
            <w:r w:rsidRPr="00252DF6">
              <w:rPr>
                <w:szCs w:val="24"/>
                <w:lang w:val="hu-HU"/>
              </w:rPr>
              <w:t xml:space="preserve">devizacsere-ügyletek (pl. </w:t>
            </w:r>
            <w:r w:rsidR="00B326A0">
              <w:rPr>
                <w:szCs w:val="24"/>
                <w:lang w:val="hu-HU"/>
              </w:rPr>
              <w:t>kamatozó</w:t>
            </w:r>
            <w:r w:rsidR="00B326A0" w:rsidRPr="00252DF6">
              <w:rPr>
                <w:szCs w:val="24"/>
                <w:lang w:val="hu-HU"/>
              </w:rPr>
              <w:t xml:space="preserve"> </w:t>
            </w:r>
            <w:r w:rsidR="00B326A0">
              <w:rPr>
                <w:szCs w:val="24"/>
                <w:lang w:val="hu-HU"/>
              </w:rPr>
              <w:t>devizacsere ügyletek</w:t>
            </w:r>
            <w:r w:rsidR="00B326A0" w:rsidRPr="00252DF6">
              <w:rPr>
                <w:szCs w:val="24"/>
                <w:lang w:val="hu-HU"/>
              </w:rPr>
              <w:t xml:space="preserve"> </w:t>
            </w:r>
            <w:r w:rsidRPr="00252DF6">
              <w:rPr>
                <w:szCs w:val="24"/>
                <w:lang w:val="hu-HU"/>
              </w:rPr>
              <w:t xml:space="preserve">és a devizaopciós ügyletek) és egyéb olyan kontraktusok, amelyek domináns kockázati jellemzője (tulajdonsága) a devizaárfolyam-kockázat, és amelyeket </w:t>
            </w:r>
            <w:proofErr w:type="spellStart"/>
            <w:r w:rsidRPr="00252DF6">
              <w:rPr>
                <w:szCs w:val="24"/>
                <w:lang w:val="hu-HU"/>
              </w:rPr>
              <w:t>FX</w:t>
            </w:r>
            <w:proofErr w:type="spellEnd"/>
            <w:r w:rsidRPr="00252DF6">
              <w:rPr>
                <w:szCs w:val="24"/>
                <w:lang w:val="hu-HU"/>
              </w:rPr>
              <w:t>-kontraktusként kell jelenteni.</w:t>
            </w:r>
          </w:p>
        </w:tc>
      </w:tr>
      <w:tr w:rsidR="00D313C3" w:rsidRPr="00252DF6" w14:paraId="77EA9004" w14:textId="77777777" w:rsidTr="00252DF6">
        <w:trPr>
          <w:cantSplit/>
        </w:trPr>
        <w:tc>
          <w:tcPr>
            <w:tcW w:w="2518" w:type="dxa"/>
            <w:shd w:val="clear" w:color="auto" w:fill="auto"/>
          </w:tcPr>
          <w:p w14:paraId="31BAA5AC" w14:textId="77777777" w:rsidR="00D313C3" w:rsidRPr="00252DF6" w:rsidRDefault="00D313C3" w:rsidP="00252DF6">
            <w:pPr>
              <w:pStyle w:val="Paragraph"/>
              <w:jc w:val="left"/>
              <w:rPr>
                <w:szCs w:val="24"/>
                <w:lang w:val="hu-HU"/>
              </w:rPr>
            </w:pPr>
            <w:r w:rsidRPr="00252DF6">
              <w:rPr>
                <w:sz w:val="20"/>
                <w:szCs w:val="24"/>
                <w:lang w:val="hu-HU"/>
              </w:rPr>
              <w:t>Részvény-, árucikk-, hitelalapú és „egyéb” származékos termékek</w:t>
            </w:r>
          </w:p>
        </w:tc>
        <w:tc>
          <w:tcPr>
            <w:tcW w:w="6770" w:type="dxa"/>
            <w:shd w:val="clear" w:color="auto" w:fill="auto"/>
          </w:tcPr>
          <w:p w14:paraId="60728509" w14:textId="77777777" w:rsidR="00D313C3" w:rsidRPr="00252DF6" w:rsidRDefault="00D313C3" w:rsidP="00252DF6">
            <w:pPr>
              <w:pStyle w:val="TableText"/>
              <w:framePr w:wrap="auto" w:yAlign="inline"/>
              <w:rPr>
                <w:szCs w:val="24"/>
                <w:lang w:val="hu-HU"/>
              </w:rPr>
            </w:pPr>
            <w:r w:rsidRPr="00252DF6">
              <w:rPr>
                <w:szCs w:val="24"/>
                <w:lang w:val="hu-HU"/>
              </w:rPr>
              <w:t>A részvényalapú származékos kontraktusok hozama vagy annak egy része egy adott részvény árához vagy részvényárindexhez kapcsolódik.</w:t>
            </w:r>
            <w:r w:rsidR="00FE5851" w:rsidRPr="00252DF6">
              <w:rPr>
                <w:szCs w:val="24"/>
                <w:lang w:val="hu-HU"/>
              </w:rPr>
              <w:t xml:space="preserve"> </w:t>
            </w:r>
          </w:p>
          <w:p w14:paraId="24668409" w14:textId="77777777" w:rsidR="00D313C3" w:rsidRPr="00252DF6" w:rsidRDefault="00D313C3" w:rsidP="00252DF6">
            <w:pPr>
              <w:pStyle w:val="TableText"/>
              <w:framePr w:wrap="auto" w:yAlign="inline"/>
              <w:rPr>
                <w:szCs w:val="24"/>
                <w:lang w:val="hu-HU"/>
              </w:rPr>
            </w:pPr>
            <w:r w:rsidRPr="00252DF6">
              <w:rPr>
                <w:spacing w:val="-4"/>
                <w:szCs w:val="24"/>
                <w:lang w:val="hu-HU"/>
              </w:rPr>
              <w:t xml:space="preserve">Az árucikk alapú </w:t>
            </w:r>
            <w:r w:rsidRPr="00252DF6">
              <w:rPr>
                <w:szCs w:val="24"/>
                <w:lang w:val="hu-HU"/>
              </w:rPr>
              <w:t>kontraktusok hozama vagy annak egy része árucikkek, például nemesfém (az arany kivételével), kőolaj, fa és mezőgazdasági termékek, árához vagy árindexéhez kapcsolódik.</w:t>
            </w:r>
            <w:r w:rsidRPr="00252DF6">
              <w:rPr>
                <w:spacing w:val="-4"/>
                <w:szCs w:val="24"/>
                <w:lang w:val="hu-HU"/>
              </w:rPr>
              <w:t xml:space="preserve"> </w:t>
            </w:r>
          </w:p>
          <w:p w14:paraId="0BE417FA" w14:textId="77777777" w:rsidR="00D313C3" w:rsidRPr="00252DF6" w:rsidRDefault="00D313C3" w:rsidP="00252DF6">
            <w:pPr>
              <w:pStyle w:val="TableText"/>
              <w:framePr w:wrap="auto" w:yAlign="inline"/>
              <w:rPr>
                <w:szCs w:val="24"/>
                <w:lang w:val="hu-HU"/>
              </w:rPr>
            </w:pPr>
            <w:r w:rsidRPr="00252DF6">
              <w:rPr>
                <w:szCs w:val="24"/>
                <w:lang w:val="hu-HU"/>
              </w:rPr>
              <w:t>Felhívjuk figyelmüket, hogy azokat a kontraktusokat, amelyek hozama vagy annak egy része nemesfém (nem arany) árához kapcsolódik, más árucikkalapú kontraktusoktól elkülönítve kell jelenteni.</w:t>
            </w:r>
            <w:r w:rsidR="00FE5851" w:rsidRPr="00252DF6">
              <w:rPr>
                <w:szCs w:val="24"/>
                <w:lang w:val="hu-HU"/>
              </w:rPr>
              <w:t xml:space="preserve"> </w:t>
            </w:r>
            <w:r w:rsidRPr="00252DF6">
              <w:rPr>
                <w:szCs w:val="24"/>
                <w:lang w:val="hu-HU"/>
              </w:rPr>
              <w:t xml:space="preserve">Az aranytól különböző nemesfémek közé tartozik az ezüst, a platina, az irídium, a ródium, a ruténium, az ozmium és a palládium. </w:t>
            </w:r>
          </w:p>
          <w:p w14:paraId="487888F8" w14:textId="77777777" w:rsidR="00D313C3" w:rsidRPr="00252DF6" w:rsidRDefault="00D313C3" w:rsidP="00252DF6">
            <w:pPr>
              <w:pStyle w:val="TableText"/>
              <w:framePr w:wrap="auto" w:yAlign="inline"/>
              <w:rPr>
                <w:szCs w:val="24"/>
                <w:lang w:val="hu-HU"/>
              </w:rPr>
            </w:pPr>
            <w:r w:rsidRPr="00252DF6">
              <w:rPr>
                <w:szCs w:val="24"/>
                <w:lang w:val="hu-HU"/>
              </w:rPr>
              <w:t xml:space="preserve">A </w:t>
            </w:r>
            <w:proofErr w:type="spellStart"/>
            <w:r w:rsidRPr="00252DF6">
              <w:rPr>
                <w:szCs w:val="24"/>
                <w:lang w:val="hu-HU"/>
              </w:rPr>
              <w:t>hitelderivatívák</w:t>
            </w:r>
            <w:proofErr w:type="spellEnd"/>
            <w:r w:rsidRPr="00252DF6">
              <w:rPr>
                <w:szCs w:val="24"/>
                <w:lang w:val="hu-HU"/>
              </w:rPr>
              <w:t xml:space="preserve"> olyan kontraktusok, ahol a kifizetés elsődlegesen egy konkrét referenciahitel megbízhatóságának bizonyos mértékéhez kapcsolódik.</w:t>
            </w:r>
            <w:r w:rsidR="00FE5851" w:rsidRPr="00252DF6">
              <w:rPr>
                <w:szCs w:val="24"/>
                <w:lang w:val="hu-HU"/>
              </w:rPr>
              <w:t xml:space="preserve"> </w:t>
            </w:r>
            <w:r w:rsidRPr="00252DF6">
              <w:rPr>
                <w:szCs w:val="24"/>
                <w:lang w:val="hu-HU"/>
              </w:rPr>
              <w:t>A kontraktusok olyan kifizetésekre vonatkoznak, amelyek közül legalább egy a referenciahitel teljesítményétől függ.</w:t>
            </w:r>
            <w:r w:rsidR="00FE5851" w:rsidRPr="00252DF6">
              <w:rPr>
                <w:szCs w:val="24"/>
                <w:lang w:val="hu-HU"/>
              </w:rPr>
              <w:t xml:space="preserve"> </w:t>
            </w:r>
            <w:r w:rsidRPr="00252DF6">
              <w:rPr>
                <w:szCs w:val="24"/>
                <w:lang w:val="hu-HU"/>
              </w:rPr>
              <w:t xml:space="preserve">A kifizetést számos esemény kiválthatja, így nemteljesítés, leminősítés vagy a referenciaeszköz </w:t>
            </w:r>
            <w:proofErr w:type="spellStart"/>
            <w:r w:rsidRPr="00252DF6">
              <w:rPr>
                <w:szCs w:val="24"/>
                <w:lang w:val="hu-HU"/>
              </w:rPr>
              <w:t>hitelszpredjének</w:t>
            </w:r>
            <w:proofErr w:type="spellEnd"/>
            <w:r w:rsidRPr="00252DF6">
              <w:rPr>
                <w:szCs w:val="24"/>
                <w:lang w:val="hu-HU"/>
              </w:rPr>
              <w:t xml:space="preserve"> előírt módosítása.</w:t>
            </w:r>
            <w:r w:rsidR="00FE5851" w:rsidRPr="00252DF6">
              <w:rPr>
                <w:szCs w:val="24"/>
                <w:lang w:val="hu-HU"/>
              </w:rPr>
              <w:t xml:space="preserve"> </w:t>
            </w:r>
            <w:r w:rsidRPr="00252DF6">
              <w:rPr>
                <w:szCs w:val="24"/>
                <w:lang w:val="hu-HU"/>
              </w:rPr>
              <w:t xml:space="preserve">Jellemző </w:t>
            </w:r>
            <w:proofErr w:type="spellStart"/>
            <w:r w:rsidRPr="00252DF6">
              <w:rPr>
                <w:szCs w:val="24"/>
                <w:lang w:val="hu-HU"/>
              </w:rPr>
              <w:t>hiteldervatívák</w:t>
            </w:r>
            <w:proofErr w:type="spellEnd"/>
            <w:r w:rsidRPr="00252DF6">
              <w:rPr>
                <w:szCs w:val="24"/>
                <w:lang w:val="hu-HU"/>
              </w:rPr>
              <w:t xml:space="preserve"> a </w:t>
            </w:r>
            <w:proofErr w:type="spellStart"/>
            <w:r w:rsidRPr="00252DF6">
              <w:rPr>
                <w:szCs w:val="24"/>
                <w:lang w:val="hu-HU"/>
              </w:rPr>
              <w:t>CDS</w:t>
            </w:r>
            <w:proofErr w:type="spellEnd"/>
            <w:r w:rsidRPr="00252DF6">
              <w:rPr>
                <w:szCs w:val="24"/>
                <w:lang w:val="hu-HU"/>
              </w:rPr>
              <w:t>-ek, a</w:t>
            </w:r>
            <w:r w:rsidR="00FE5851" w:rsidRPr="00252DF6">
              <w:rPr>
                <w:szCs w:val="24"/>
                <w:lang w:val="hu-HU"/>
              </w:rPr>
              <w:t xml:space="preserve"> </w:t>
            </w:r>
            <w:r w:rsidRPr="00252DF6">
              <w:rPr>
                <w:szCs w:val="24"/>
                <w:lang w:val="hu-HU"/>
              </w:rPr>
              <w:t xml:space="preserve">tőzsdén kívüli határidős </w:t>
            </w:r>
            <w:proofErr w:type="spellStart"/>
            <w:r w:rsidRPr="00252DF6">
              <w:rPr>
                <w:szCs w:val="24"/>
                <w:lang w:val="hu-HU"/>
              </w:rPr>
              <w:t>hitelszpredek</w:t>
            </w:r>
            <w:proofErr w:type="spellEnd"/>
            <w:r w:rsidRPr="00252DF6">
              <w:rPr>
                <w:szCs w:val="24"/>
                <w:lang w:val="hu-HU"/>
              </w:rPr>
              <w:t xml:space="preserve"> és </w:t>
            </w:r>
            <w:proofErr w:type="spellStart"/>
            <w:r w:rsidRPr="00252DF6">
              <w:rPr>
                <w:szCs w:val="24"/>
                <w:lang w:val="hu-HU"/>
              </w:rPr>
              <w:t>hitelszpredopciók</w:t>
            </w:r>
            <w:proofErr w:type="spellEnd"/>
            <w:r w:rsidRPr="00252DF6">
              <w:rPr>
                <w:szCs w:val="24"/>
                <w:lang w:val="hu-HU"/>
              </w:rPr>
              <w:t>, hitelesemény- vagy hitel-nemteljesítési csereügyletek és a teljes</w:t>
            </w:r>
            <w:r w:rsidR="00AD3362">
              <w:rPr>
                <w:szCs w:val="24"/>
                <w:lang w:val="hu-HU"/>
              </w:rPr>
              <w:t xml:space="preserve"> </w:t>
            </w:r>
            <w:r w:rsidRPr="00252DF6">
              <w:rPr>
                <w:szCs w:val="24"/>
                <w:lang w:val="hu-HU"/>
              </w:rPr>
              <w:t xml:space="preserve">hozamcsere-ügyletek. </w:t>
            </w:r>
          </w:p>
          <w:p w14:paraId="532B5FF2" w14:textId="77777777" w:rsidR="00842D3B" w:rsidRDefault="00D313C3" w:rsidP="00A03F0A">
            <w:pPr>
              <w:pStyle w:val="TableText"/>
              <w:framePr w:wrap="around"/>
              <w:rPr>
                <w:szCs w:val="24"/>
                <w:lang w:val="hu-HU"/>
              </w:rPr>
            </w:pPr>
            <w:r w:rsidRPr="00252DF6">
              <w:rPr>
                <w:szCs w:val="24"/>
                <w:lang w:val="hu-HU"/>
              </w:rPr>
              <w:t xml:space="preserve">Az „egyéb” származékos termékek közé tartozik minden olyan származékos kontraktus, amelynek nem része devizaárfolyam-, kamat-, áru- vagy hitelkockázati kitettség. </w:t>
            </w:r>
            <w:r w:rsidR="00842D3B">
              <w:rPr>
                <w:szCs w:val="24"/>
                <w:lang w:val="hu-HU"/>
              </w:rPr>
              <w:t>Az egyéb származékos termékek közé tartoznak például a</w:t>
            </w:r>
            <w:r w:rsidR="00420EF7">
              <w:rPr>
                <w:szCs w:val="24"/>
                <w:lang w:val="hu-HU"/>
              </w:rPr>
              <w:t>z inflációkövető</w:t>
            </w:r>
            <w:r w:rsidR="00BB7ACC">
              <w:rPr>
                <w:szCs w:val="24"/>
                <w:lang w:val="hu-HU"/>
              </w:rPr>
              <w:t xml:space="preserve">, </w:t>
            </w:r>
            <w:r w:rsidR="00420EF7">
              <w:rPr>
                <w:szCs w:val="24"/>
                <w:lang w:val="hu-HU"/>
              </w:rPr>
              <w:t>volatil</w:t>
            </w:r>
            <w:r w:rsidR="00DB15AE">
              <w:rPr>
                <w:szCs w:val="24"/>
                <w:lang w:val="hu-HU"/>
              </w:rPr>
              <w:t>itás</w:t>
            </w:r>
            <w:r w:rsidR="001000ED">
              <w:rPr>
                <w:szCs w:val="24"/>
                <w:lang w:val="hu-HU"/>
              </w:rPr>
              <w:t>,</w:t>
            </w:r>
            <w:r w:rsidR="00DB15AE">
              <w:rPr>
                <w:szCs w:val="24"/>
                <w:lang w:val="hu-HU"/>
              </w:rPr>
              <w:t xml:space="preserve"> </w:t>
            </w:r>
            <w:r w:rsidR="00C571C7">
              <w:rPr>
                <w:szCs w:val="24"/>
                <w:lang w:val="hu-HU"/>
              </w:rPr>
              <w:t>osztalék</w:t>
            </w:r>
            <w:r w:rsidR="00BB7ACC">
              <w:rPr>
                <w:szCs w:val="24"/>
                <w:lang w:val="hu-HU"/>
              </w:rPr>
              <w:t xml:space="preserve">, </w:t>
            </w:r>
            <w:r w:rsidR="00C571C7">
              <w:rPr>
                <w:szCs w:val="24"/>
                <w:lang w:val="hu-HU"/>
              </w:rPr>
              <w:t>időjárás</w:t>
            </w:r>
            <w:r w:rsidR="00BB7ACC">
              <w:rPr>
                <w:szCs w:val="24"/>
                <w:lang w:val="hu-HU"/>
              </w:rPr>
              <w:t xml:space="preserve">, </w:t>
            </w:r>
            <w:r w:rsidR="00C571C7">
              <w:rPr>
                <w:szCs w:val="24"/>
                <w:lang w:val="hu-HU"/>
              </w:rPr>
              <w:t>ingatlan</w:t>
            </w:r>
            <w:r w:rsidR="00420EF7">
              <w:rPr>
                <w:szCs w:val="24"/>
                <w:lang w:val="hu-HU"/>
              </w:rPr>
              <w:t>,</w:t>
            </w:r>
            <w:r w:rsidR="00BB7ACC">
              <w:rPr>
                <w:szCs w:val="24"/>
                <w:lang w:val="hu-HU"/>
              </w:rPr>
              <w:t xml:space="preserve"> </w:t>
            </w:r>
            <w:r w:rsidR="00C571C7" w:rsidRPr="000733F0">
              <w:rPr>
                <w:szCs w:val="24"/>
                <w:lang w:val="hu-HU"/>
              </w:rPr>
              <w:t>„</w:t>
            </w:r>
            <w:r w:rsidR="00C571C7" w:rsidRPr="00A03F0A">
              <w:rPr>
                <w:szCs w:val="24"/>
                <w:lang w:val="hu-HU"/>
              </w:rPr>
              <w:t>áruszállításhoz, fuvarozáshoz kapcsolódó</w:t>
            </w:r>
            <w:r w:rsidR="00BB7ACC">
              <w:rPr>
                <w:szCs w:val="24"/>
                <w:lang w:val="hu-HU"/>
              </w:rPr>
              <w:t xml:space="preserve"> származékos ügyletek</w:t>
            </w:r>
            <w:r w:rsidR="00D945D8">
              <w:rPr>
                <w:szCs w:val="24"/>
                <w:lang w:val="hu-HU"/>
              </w:rPr>
              <w:t>,</w:t>
            </w:r>
            <w:r w:rsidR="00135E12">
              <w:rPr>
                <w:szCs w:val="24"/>
                <w:lang w:val="hu-HU"/>
              </w:rPr>
              <w:t xml:space="preserve"> ahogy</w:t>
            </w:r>
            <w:r w:rsidR="00420EF7">
              <w:rPr>
                <w:szCs w:val="24"/>
                <w:lang w:val="hu-HU"/>
              </w:rPr>
              <w:t xml:space="preserve"> minden olyan nem hagyományos mögöttes termékkel bíró származékos ügylet</w:t>
            </w:r>
            <w:r w:rsidR="00135E12">
              <w:rPr>
                <w:szCs w:val="24"/>
                <w:lang w:val="hu-HU"/>
              </w:rPr>
              <w:t xml:space="preserve"> is</w:t>
            </w:r>
            <w:r w:rsidR="00995017">
              <w:rPr>
                <w:szCs w:val="24"/>
                <w:lang w:val="hu-HU"/>
              </w:rPr>
              <w:t>, amelyet egy bizonyos ügyfélkörnek</w:t>
            </w:r>
            <w:r w:rsidR="00420EF7">
              <w:rPr>
                <w:szCs w:val="24"/>
                <w:lang w:val="hu-HU"/>
              </w:rPr>
              <w:t xml:space="preserve"> fejlesztettek ki.</w:t>
            </w:r>
          </w:p>
          <w:p w14:paraId="420C9630" w14:textId="77777777" w:rsidR="00D313C3" w:rsidRPr="00252DF6" w:rsidRDefault="00D313C3" w:rsidP="00A03F0A">
            <w:pPr>
              <w:pStyle w:val="TableText"/>
              <w:framePr w:wrap="around"/>
              <w:rPr>
                <w:szCs w:val="24"/>
                <w:lang w:val="hu-HU"/>
              </w:rPr>
            </w:pPr>
          </w:p>
        </w:tc>
      </w:tr>
      <w:tr w:rsidR="00D313C3" w:rsidRPr="00252DF6" w14:paraId="0B5A9450" w14:textId="77777777" w:rsidTr="00252DF6">
        <w:trPr>
          <w:cantSplit/>
        </w:trPr>
        <w:tc>
          <w:tcPr>
            <w:tcW w:w="2518" w:type="dxa"/>
            <w:shd w:val="clear" w:color="auto" w:fill="auto"/>
          </w:tcPr>
          <w:p w14:paraId="7CA3EED2" w14:textId="77777777" w:rsidR="00D313C3" w:rsidRPr="00252DF6" w:rsidRDefault="00B326A0" w:rsidP="00252DF6">
            <w:pPr>
              <w:pStyle w:val="Paragraph"/>
              <w:jc w:val="left"/>
              <w:rPr>
                <w:szCs w:val="24"/>
                <w:lang w:val="hu-HU"/>
              </w:rPr>
            </w:pPr>
            <w:proofErr w:type="spellStart"/>
            <w:r>
              <w:rPr>
                <w:sz w:val="20"/>
                <w:szCs w:val="24"/>
                <w:lang w:val="hu-HU"/>
              </w:rPr>
              <w:t>CDS</w:t>
            </w:r>
            <w:proofErr w:type="spellEnd"/>
            <w:r>
              <w:rPr>
                <w:sz w:val="20"/>
                <w:szCs w:val="24"/>
                <w:lang w:val="hu-HU"/>
              </w:rPr>
              <w:t>-ek</w:t>
            </w:r>
          </w:p>
        </w:tc>
        <w:tc>
          <w:tcPr>
            <w:tcW w:w="6770" w:type="dxa"/>
            <w:shd w:val="clear" w:color="auto" w:fill="auto"/>
          </w:tcPr>
          <w:p w14:paraId="380DFAC8" w14:textId="77777777" w:rsidR="00D313C3" w:rsidRPr="00252DF6" w:rsidRDefault="00D313C3" w:rsidP="00252DF6">
            <w:pPr>
              <w:pStyle w:val="TableText"/>
              <w:framePr w:wrap="auto" w:yAlign="inline"/>
              <w:rPr>
                <w:szCs w:val="24"/>
                <w:lang w:val="hu-HU"/>
              </w:rPr>
            </w:pPr>
            <w:r w:rsidRPr="00252DF6">
              <w:rPr>
                <w:szCs w:val="24"/>
                <w:lang w:val="hu-HU"/>
              </w:rPr>
              <w:t>O</w:t>
            </w:r>
            <w:r w:rsidR="00F154C2">
              <w:rPr>
                <w:szCs w:val="24"/>
                <w:lang w:val="hu-HU"/>
              </w:rPr>
              <w:t>l</w:t>
            </w:r>
            <w:r w:rsidRPr="00252DF6">
              <w:rPr>
                <w:szCs w:val="24"/>
                <w:lang w:val="hu-HU"/>
              </w:rPr>
              <w:t>yan kétoldalú pénzügyi szerződés, amelyben az egyik fél (a kockázatot fedező) egy meghatározott ideig díjfizetési kötelezettséget, míg a másik (a kockázatviselő) fél hiteleseménykor teljesítendő, a hitelesemény bekövetkeztétől függő, feltételes fizetési kötelezettséget vállal.</w:t>
            </w:r>
            <w:r w:rsidR="00FE5851" w:rsidRPr="00252DF6">
              <w:rPr>
                <w:szCs w:val="24"/>
                <w:lang w:val="hu-HU"/>
              </w:rPr>
              <w:t xml:space="preserve"> </w:t>
            </w:r>
            <w:r w:rsidRPr="00252DF6">
              <w:rPr>
                <w:szCs w:val="24"/>
                <w:lang w:val="hu-HU"/>
              </w:rPr>
              <w:t xml:space="preserve">A </w:t>
            </w:r>
            <w:proofErr w:type="spellStart"/>
            <w:r w:rsidRPr="00252DF6">
              <w:rPr>
                <w:szCs w:val="24"/>
                <w:lang w:val="hu-HU"/>
              </w:rPr>
              <w:t>CDS</w:t>
            </w:r>
            <w:proofErr w:type="spellEnd"/>
            <w:r w:rsidRPr="00252DF6">
              <w:rPr>
                <w:szCs w:val="24"/>
                <w:lang w:val="hu-HU"/>
              </w:rPr>
              <w:t>-kontraktusokban konkretizált események közé tartoz</w:t>
            </w:r>
            <w:r w:rsidR="00D20A65">
              <w:rPr>
                <w:szCs w:val="24"/>
                <w:lang w:val="hu-HU"/>
              </w:rPr>
              <w:t>hat</w:t>
            </w:r>
            <w:r w:rsidRPr="00252DF6">
              <w:rPr>
                <w:szCs w:val="24"/>
                <w:lang w:val="hu-HU"/>
              </w:rPr>
              <w:t xml:space="preserve"> a csőd, a nemteljesítés (nem fizetés) és az átstrukturálás. </w:t>
            </w:r>
          </w:p>
        </w:tc>
      </w:tr>
    </w:tbl>
    <w:p w14:paraId="2CF889BF" w14:textId="77777777" w:rsidR="00A856BF" w:rsidRPr="00FE5851" w:rsidRDefault="003C3738" w:rsidP="000754A9">
      <w:pPr>
        <w:pStyle w:val="IndentedHeading2"/>
        <w:rPr>
          <w:szCs w:val="24"/>
          <w:lang w:val="hu-HU"/>
        </w:rPr>
      </w:pPr>
      <w:bookmarkStart w:id="13" w:name="_Toc89264402"/>
      <w:r>
        <w:rPr>
          <w:szCs w:val="24"/>
          <w:lang w:val="hu-HU"/>
        </w:rPr>
        <w:t xml:space="preserve">3.1 </w:t>
      </w:r>
      <w:r>
        <w:rPr>
          <w:szCs w:val="24"/>
          <w:lang w:val="hu-HU"/>
        </w:rPr>
        <w:tab/>
      </w:r>
      <w:r w:rsidR="00A856BF" w:rsidRPr="00FE5851">
        <w:rPr>
          <w:szCs w:val="24"/>
          <w:lang w:val="hu-HU"/>
        </w:rPr>
        <w:t xml:space="preserve">Az egynél több kockázati kategóriát tartalmazó származékos </w:t>
      </w:r>
      <w:r w:rsidR="00A856BF">
        <w:rPr>
          <w:szCs w:val="24"/>
          <w:lang w:val="hu-HU"/>
        </w:rPr>
        <w:t>instrumentumok</w:t>
      </w:r>
      <w:r w:rsidR="00A856BF" w:rsidRPr="00FE5851">
        <w:rPr>
          <w:szCs w:val="24"/>
          <w:lang w:val="hu-HU"/>
        </w:rPr>
        <w:t xml:space="preserve"> osztályozása</w:t>
      </w:r>
      <w:bookmarkEnd w:id="13"/>
    </w:p>
    <w:p w14:paraId="55C91F34" w14:textId="77777777" w:rsidR="00A856BF" w:rsidRPr="00FE5851" w:rsidRDefault="00A856BF" w:rsidP="00A856BF">
      <w:pPr>
        <w:pStyle w:val="Paragraph"/>
        <w:rPr>
          <w:szCs w:val="24"/>
          <w:lang w:val="hu-HU"/>
        </w:rPr>
      </w:pPr>
      <w:r w:rsidRPr="00FE5851">
        <w:rPr>
          <w:szCs w:val="24"/>
          <w:lang w:val="hu-HU"/>
        </w:rPr>
        <w:t>A származékos ügyleteket hat kockázati kategóriába kell sorolni:</w:t>
      </w:r>
      <w:r>
        <w:rPr>
          <w:szCs w:val="24"/>
          <w:lang w:val="hu-HU"/>
        </w:rPr>
        <w:t xml:space="preserve"> </w:t>
      </w:r>
      <w:r w:rsidRPr="00FE5851">
        <w:rPr>
          <w:szCs w:val="24"/>
          <w:lang w:val="hu-HU"/>
        </w:rPr>
        <w:t xml:space="preserve">deviza, egydevizás kamat, részvény, áru, hitel és „egyéb”. A gyakorlatban azonban a származékos ügyletek egynél több kockázati kategóriába is tartozhatnak. Ilyen esetekben, kitettségek egyszerű kombinációit jelentő ügyleteket külön kell jelenteni egyedi összetevőiknek megfelelően a G részben ismertetettek szerint. Azokat az ügyleteket, amelyeket nem lehet egyszerűen elkülöníthető kockázati kategóriákba sorolni, egyetlen kockázati kategóriában kell jelenteni. A többszörös kitettségű termékek allokálását a legfontosabb mögöttes kockázati komponensnek megfelelően kell besorolni. Azonban, </w:t>
      </w:r>
      <w:proofErr w:type="gramStart"/>
      <w:r w:rsidRPr="00FE5851">
        <w:rPr>
          <w:szCs w:val="24"/>
          <w:lang w:val="hu-HU"/>
        </w:rPr>
        <w:t>ha,</w:t>
      </w:r>
      <w:proofErr w:type="gramEnd"/>
      <w:r w:rsidRPr="00FE5851">
        <w:rPr>
          <w:szCs w:val="24"/>
          <w:lang w:val="hu-HU"/>
        </w:rPr>
        <w:t xml:space="preserve"> gyakorlati megfontolásból, a jelentő intézmények nem tudják eldönteni, mi a pontos besorolása a többszörös kitettségű származékos ügyleteknek, azokat a következő fontossági sorrend szerint kell allokálniuk:</w:t>
      </w:r>
    </w:p>
    <w:p w14:paraId="1FBEFE49" w14:textId="77777777" w:rsidR="00A856BF" w:rsidRPr="00FE5851" w:rsidRDefault="003C3738" w:rsidP="000754A9">
      <w:pPr>
        <w:pStyle w:val="Paragraph"/>
        <w:numPr>
          <w:ilvl w:val="0"/>
          <w:numId w:val="40"/>
        </w:numPr>
        <w:rPr>
          <w:szCs w:val="24"/>
          <w:lang w:val="hu-HU"/>
        </w:rPr>
      </w:pPr>
      <w:r>
        <w:rPr>
          <w:i/>
          <w:szCs w:val="24"/>
          <w:lang w:val="hu-HU"/>
        </w:rPr>
        <w:t xml:space="preserve"> </w:t>
      </w:r>
      <w:r>
        <w:rPr>
          <w:i/>
          <w:szCs w:val="24"/>
          <w:lang w:val="hu-HU"/>
        </w:rPr>
        <w:tab/>
      </w:r>
      <w:r w:rsidR="00A856BF" w:rsidRPr="00FE5851">
        <w:rPr>
          <w:i/>
          <w:szCs w:val="24"/>
          <w:lang w:val="hu-HU"/>
        </w:rPr>
        <w:t xml:space="preserve">Árucikkek: </w:t>
      </w:r>
      <w:r w:rsidR="00A856BF" w:rsidRPr="00FE5851">
        <w:rPr>
          <w:szCs w:val="24"/>
          <w:lang w:val="hu-HU"/>
        </w:rPr>
        <w:t>Árucikk- vagy árucikkből képzett indexnek való kitettséget tartalmazó minden ügyletet – függetlenül attól, hogy tartalmaznak-e árucikkel vagy más kategóriával (pl. devizával, kamattal vagy részvénnyel) szemben fennálló együttes kitettséget – ebben a kategóriában kell jelenteni.</w:t>
      </w:r>
    </w:p>
    <w:p w14:paraId="7D2DFBAD" w14:textId="77777777" w:rsidR="00A856BF" w:rsidRPr="00FE5851" w:rsidRDefault="003C3738" w:rsidP="000754A9">
      <w:pPr>
        <w:pStyle w:val="Paragraph"/>
        <w:numPr>
          <w:ilvl w:val="0"/>
          <w:numId w:val="40"/>
        </w:numPr>
        <w:rPr>
          <w:szCs w:val="24"/>
          <w:lang w:val="hu-HU"/>
        </w:rPr>
      </w:pPr>
      <w:r>
        <w:rPr>
          <w:i/>
          <w:szCs w:val="24"/>
          <w:lang w:val="hu-HU"/>
        </w:rPr>
        <w:t xml:space="preserve"> </w:t>
      </w:r>
      <w:r>
        <w:rPr>
          <w:i/>
          <w:szCs w:val="24"/>
          <w:lang w:val="hu-HU"/>
        </w:rPr>
        <w:tab/>
      </w:r>
      <w:r w:rsidR="00A856BF" w:rsidRPr="00FE5851">
        <w:rPr>
          <w:i/>
          <w:szCs w:val="24"/>
          <w:lang w:val="hu-HU"/>
        </w:rPr>
        <w:t xml:space="preserve">Részvények: </w:t>
      </w:r>
      <w:r w:rsidR="00A856BF" w:rsidRPr="00FE5851">
        <w:rPr>
          <w:szCs w:val="24"/>
          <w:lang w:val="hu-HU"/>
        </w:rPr>
        <w:t xml:space="preserve">Azon kontraktusok kivételével, ahol jelen van árucikkel vagy részvénnyel szembeni együttes kitettség, és amelyeket árucikként kell jelenteni, a részvények vagy részvényindexek teljesítményéhez kötődő minden származékos ügyletet a részvénykategóriában kell jelenteni. Azaz a deviza- vagy kamatkitettségű részvényügyleteket ebbe a kategóriába kell sorolni. A </w:t>
      </w:r>
      <w:proofErr w:type="spellStart"/>
      <w:r w:rsidR="00A856BF" w:rsidRPr="00FE5851">
        <w:rPr>
          <w:szCs w:val="24"/>
          <w:lang w:val="hu-HU"/>
        </w:rPr>
        <w:t>quanto</w:t>
      </w:r>
      <w:proofErr w:type="spellEnd"/>
      <w:r w:rsidR="00A856BF" w:rsidRPr="00FE5851">
        <w:rPr>
          <w:szCs w:val="24"/>
          <w:lang w:val="hu-HU"/>
        </w:rPr>
        <w:t>-típusú eszközök jó példái a részvénnyel és devizával szembeni együttes kitettségnek, amelyeket ebben a kategóriában kell jelenteni.</w:t>
      </w:r>
    </w:p>
    <w:p w14:paraId="681D0EC9" w14:textId="77777777" w:rsidR="00A856BF" w:rsidRPr="00FE5851" w:rsidRDefault="003C3738" w:rsidP="000754A9">
      <w:pPr>
        <w:pStyle w:val="Paragraph"/>
        <w:numPr>
          <w:ilvl w:val="0"/>
          <w:numId w:val="40"/>
        </w:numPr>
        <w:rPr>
          <w:szCs w:val="24"/>
          <w:lang w:val="hu-HU"/>
        </w:rPr>
      </w:pPr>
      <w:r>
        <w:rPr>
          <w:i/>
          <w:szCs w:val="24"/>
          <w:lang w:val="hu-HU"/>
        </w:rPr>
        <w:t xml:space="preserve"> </w:t>
      </w:r>
      <w:r>
        <w:rPr>
          <w:i/>
          <w:szCs w:val="24"/>
          <w:lang w:val="hu-HU"/>
        </w:rPr>
        <w:tab/>
      </w:r>
      <w:r w:rsidR="00A856BF" w:rsidRPr="00FE5851">
        <w:rPr>
          <w:i/>
          <w:szCs w:val="24"/>
          <w:lang w:val="hu-HU"/>
        </w:rPr>
        <w:t>Deviza:</w:t>
      </w:r>
      <w:r w:rsidR="00A856BF" w:rsidRPr="00FE5851">
        <w:rPr>
          <w:szCs w:val="24"/>
          <w:lang w:val="hu-HU"/>
        </w:rPr>
        <w:t xml:space="preserve"> Idetartozik minden származékos ügylet (az árucikk- és a részvénykategóriában már jelentettek kivételével), amelyeknél egynél több devizával szemben áll fenn kitettség, legyen az kamatláb- vagy árfolyamkitettség.</w:t>
      </w:r>
    </w:p>
    <w:p w14:paraId="3DCD276F" w14:textId="77777777" w:rsidR="00A856BF" w:rsidRPr="00FE5851" w:rsidRDefault="003C3738" w:rsidP="000754A9">
      <w:pPr>
        <w:pStyle w:val="Paragraph"/>
        <w:numPr>
          <w:ilvl w:val="0"/>
          <w:numId w:val="40"/>
        </w:numPr>
        <w:rPr>
          <w:szCs w:val="24"/>
          <w:lang w:val="hu-HU"/>
        </w:rPr>
      </w:pPr>
      <w:r>
        <w:rPr>
          <w:i/>
          <w:szCs w:val="24"/>
          <w:lang w:val="hu-HU"/>
        </w:rPr>
        <w:t xml:space="preserve"> </w:t>
      </w:r>
      <w:r>
        <w:rPr>
          <w:i/>
          <w:szCs w:val="24"/>
          <w:lang w:val="hu-HU"/>
        </w:rPr>
        <w:tab/>
      </w:r>
      <w:r w:rsidR="00A856BF" w:rsidRPr="00FE5851">
        <w:rPr>
          <w:i/>
          <w:szCs w:val="24"/>
          <w:lang w:val="hu-HU"/>
        </w:rPr>
        <w:t xml:space="preserve">Egydevizás kamatalapú kontraktusok: </w:t>
      </w:r>
      <w:r w:rsidR="00A856BF" w:rsidRPr="00FE5851">
        <w:rPr>
          <w:szCs w:val="24"/>
          <w:lang w:val="hu-HU"/>
        </w:rPr>
        <w:t>Ez a kategória azokat a származékos ügyleteket tartalmazza, amelyeknél egyetlen devizában denominált kamattal szemben áll fenn kitettség. Ebbe a kategóriába tartozik minden egydevizás rögzített és/vagy változó kamatozású kontraktus, így pl. a tőzsdén kívüli határidős ügyletek, a csereügyletek és az opciók.</w:t>
      </w:r>
    </w:p>
    <w:p w14:paraId="026EB52E" w14:textId="77777777" w:rsidR="00D313C3" w:rsidRPr="00FE5851" w:rsidRDefault="00FC073F" w:rsidP="000754A9">
      <w:pPr>
        <w:pStyle w:val="IndentedHeading1"/>
        <w:numPr>
          <w:ilvl w:val="0"/>
          <w:numId w:val="37"/>
        </w:numPr>
        <w:rPr>
          <w:szCs w:val="24"/>
          <w:lang w:val="hu-HU"/>
        </w:rPr>
      </w:pPr>
      <w:r>
        <w:rPr>
          <w:szCs w:val="24"/>
          <w:lang w:val="hu-HU"/>
        </w:rPr>
        <w:tab/>
      </w:r>
      <w:bookmarkStart w:id="14" w:name="_Toc89264403"/>
      <w:r w:rsidR="00522BB6">
        <w:rPr>
          <w:szCs w:val="24"/>
          <w:lang w:val="hu-HU"/>
        </w:rPr>
        <w:t xml:space="preserve">Instrumentum </w:t>
      </w:r>
      <w:r w:rsidR="00D313C3" w:rsidRPr="00FE5851">
        <w:rPr>
          <w:szCs w:val="24"/>
          <w:lang w:val="hu-HU"/>
        </w:rPr>
        <w:t>típusok</w:t>
      </w:r>
      <w:bookmarkEnd w:id="14"/>
    </w:p>
    <w:p w14:paraId="6C294FBE" w14:textId="77777777" w:rsidR="00D313C3" w:rsidRDefault="00D313C3">
      <w:pPr>
        <w:pStyle w:val="Paragraph"/>
        <w:rPr>
          <w:szCs w:val="24"/>
          <w:lang w:val="hu-HU"/>
        </w:rPr>
      </w:pPr>
      <w:r w:rsidRPr="00FE5851">
        <w:rPr>
          <w:szCs w:val="24"/>
          <w:lang w:val="hu-HU"/>
        </w:rPr>
        <w:t xml:space="preserve">A tőzsdén kívüli (OTC) származékos termékeket a következő </w:t>
      </w:r>
      <w:r w:rsidR="00774002">
        <w:rPr>
          <w:szCs w:val="24"/>
          <w:lang w:val="hu-HU"/>
        </w:rPr>
        <w:t>instrumentum</w:t>
      </w:r>
      <w:r w:rsidR="00774002" w:rsidRPr="00FE5851">
        <w:rPr>
          <w:szCs w:val="24"/>
          <w:lang w:val="hu-HU"/>
        </w:rPr>
        <w:t xml:space="preserve">bontásban </w:t>
      </w:r>
      <w:r w:rsidRPr="00FE5851">
        <w:rPr>
          <w:szCs w:val="24"/>
          <w:lang w:val="hu-HU"/>
        </w:rPr>
        <w:t xml:space="preserve">kell szerepeltetni: </w:t>
      </w:r>
      <w:r w:rsidR="00522BB6">
        <w:rPr>
          <w:szCs w:val="24"/>
          <w:lang w:val="hu-HU"/>
        </w:rPr>
        <w:t xml:space="preserve">egyszerű </w:t>
      </w:r>
      <w:r w:rsidRPr="00FE5851">
        <w:rPr>
          <w:szCs w:val="24"/>
          <w:lang w:val="hu-HU"/>
        </w:rPr>
        <w:t xml:space="preserve">határidős ügyletek, </w:t>
      </w:r>
      <w:proofErr w:type="spellStart"/>
      <w:r w:rsidR="00522BB6">
        <w:rPr>
          <w:szCs w:val="24"/>
          <w:lang w:val="hu-HU"/>
        </w:rPr>
        <w:t>swap</w:t>
      </w:r>
      <w:proofErr w:type="spellEnd"/>
      <w:r w:rsidR="00522BB6">
        <w:rPr>
          <w:szCs w:val="24"/>
          <w:lang w:val="hu-HU"/>
        </w:rPr>
        <w:t xml:space="preserve"> </w:t>
      </w:r>
      <w:r w:rsidR="00522BB6" w:rsidRPr="00FE5851">
        <w:rPr>
          <w:szCs w:val="24"/>
          <w:lang w:val="hu-HU"/>
        </w:rPr>
        <w:t>ügyletek</w:t>
      </w:r>
      <w:r w:rsidRPr="00FE5851">
        <w:rPr>
          <w:szCs w:val="24"/>
          <w:lang w:val="hu-HU"/>
        </w:rPr>
        <w:t>, vett és eladott opciók és egyéb termékek.</w:t>
      </w:r>
    </w:p>
    <w:p w14:paraId="07E52869" w14:textId="77777777" w:rsidR="00E52B65" w:rsidRDefault="009C5B71" w:rsidP="00B81B30">
      <w:pPr>
        <w:pStyle w:val="Paragraph"/>
        <w:rPr>
          <w:szCs w:val="24"/>
          <w:lang w:val="hu-HU"/>
        </w:rPr>
      </w:pPr>
      <w:r>
        <w:rPr>
          <w:szCs w:val="24"/>
          <w:lang w:val="hu-HU"/>
        </w:rPr>
        <w:t xml:space="preserve">Határidős </w:t>
      </w:r>
      <w:r w:rsidR="000D50B2">
        <w:rPr>
          <w:szCs w:val="24"/>
          <w:lang w:val="hu-HU"/>
        </w:rPr>
        <w:t>ügylet</w:t>
      </w:r>
      <w:r w:rsidR="00FD752E">
        <w:rPr>
          <w:szCs w:val="24"/>
          <w:lang w:val="hu-HU"/>
        </w:rPr>
        <w:t xml:space="preserve">: </w:t>
      </w:r>
      <w:r>
        <w:rPr>
          <w:szCs w:val="24"/>
          <w:lang w:val="hu-HU"/>
        </w:rPr>
        <w:t xml:space="preserve">A határidős </w:t>
      </w:r>
      <w:r w:rsidR="000D50B2">
        <w:rPr>
          <w:szCs w:val="24"/>
          <w:lang w:val="hu-HU"/>
        </w:rPr>
        <w:t>ügyletek</w:t>
      </w:r>
      <w:r>
        <w:rPr>
          <w:szCs w:val="24"/>
          <w:lang w:val="hu-HU"/>
        </w:rPr>
        <w:t xml:space="preserve"> pénzügyi eszköz vagy </w:t>
      </w:r>
      <w:proofErr w:type="gramStart"/>
      <w:r>
        <w:rPr>
          <w:szCs w:val="24"/>
          <w:lang w:val="hu-HU"/>
        </w:rPr>
        <w:t>áru</w:t>
      </w:r>
      <w:proofErr w:type="gramEnd"/>
      <w:r>
        <w:rPr>
          <w:szCs w:val="24"/>
          <w:lang w:val="hu-HU"/>
        </w:rPr>
        <w:t xml:space="preserve"> későbbi leszállítására vonatkozó </w:t>
      </w:r>
      <w:r w:rsidR="006D4E4E">
        <w:rPr>
          <w:szCs w:val="24"/>
          <w:lang w:val="hu-HU"/>
        </w:rPr>
        <w:t xml:space="preserve">olyan </w:t>
      </w:r>
      <w:r>
        <w:rPr>
          <w:szCs w:val="24"/>
          <w:lang w:val="hu-HU"/>
        </w:rPr>
        <w:t xml:space="preserve">megállapodások, melyben a vevő vállalja, hogy megveszi, az eladó pedig vállalja, hogy leszállítja az előre meghatározott pénzügyi eszközt vagy árut </w:t>
      </w:r>
      <w:r w:rsidR="00D72B5F">
        <w:rPr>
          <w:szCs w:val="24"/>
          <w:lang w:val="hu-HU"/>
        </w:rPr>
        <w:t>egy előre meghatározott áron vagy hozammal, egy előre megh</w:t>
      </w:r>
      <w:r w:rsidR="006D4E4E">
        <w:rPr>
          <w:szCs w:val="24"/>
          <w:lang w:val="hu-HU"/>
        </w:rPr>
        <w:t>atározott jövőbeli időpontban</w:t>
      </w:r>
      <w:r w:rsidR="000D50B2">
        <w:rPr>
          <w:szCs w:val="24"/>
          <w:lang w:val="hu-HU"/>
        </w:rPr>
        <w:t>. A sima h</w:t>
      </w:r>
      <w:r w:rsidR="000D50B2" w:rsidRPr="000D50B2">
        <w:rPr>
          <w:szCs w:val="24"/>
          <w:lang w:val="hu-HU"/>
        </w:rPr>
        <w:t>atáridős termékekkel általában nem kereskednek szervezett tőzsdéken, és azok szerződéses feltételei nem szabványosítottak.</w:t>
      </w:r>
      <w:r w:rsidR="000D50B2">
        <w:rPr>
          <w:szCs w:val="24"/>
          <w:lang w:val="hu-HU"/>
        </w:rPr>
        <w:t xml:space="preserve"> A kategória tartalmazza azokat az</w:t>
      </w:r>
      <w:r w:rsidR="00BF3BBA">
        <w:rPr>
          <w:szCs w:val="24"/>
          <w:lang w:val="hu-HU"/>
        </w:rPr>
        <w:t xml:space="preserve"> ügyleteket is, amelyeknél lejáratkor a szerződött határidős árfolyam és az azonnali árfolyam közötti különb</w:t>
      </w:r>
      <w:r w:rsidR="00E71C5F">
        <w:rPr>
          <w:szCs w:val="24"/>
          <w:lang w:val="hu-HU"/>
        </w:rPr>
        <w:t xml:space="preserve">ség rendezésére kerül sor, mint </w:t>
      </w:r>
      <w:r w:rsidR="00BF3BBA">
        <w:rPr>
          <w:szCs w:val="24"/>
          <w:lang w:val="hu-HU"/>
        </w:rPr>
        <w:t>a nem leszállításos határidős ügyletek (azaz, ahol nem követelik meg a nem-konvertibilis deviza fizikai leszállítását)</w:t>
      </w:r>
      <w:r w:rsidR="00B53B4D">
        <w:rPr>
          <w:szCs w:val="24"/>
          <w:lang w:val="hu-HU"/>
        </w:rPr>
        <w:t xml:space="preserve"> és egyéb, különbségek rendezésére szóló szerződések</w:t>
      </w:r>
      <w:r w:rsidR="00653DA9">
        <w:rPr>
          <w:szCs w:val="24"/>
          <w:lang w:val="hu-HU"/>
        </w:rPr>
        <w:t xml:space="preserve"> esetében</w:t>
      </w:r>
      <w:r w:rsidR="00B53B4D">
        <w:rPr>
          <w:szCs w:val="24"/>
          <w:lang w:val="hu-HU"/>
        </w:rPr>
        <w:t xml:space="preserve">. </w:t>
      </w:r>
    </w:p>
    <w:p w14:paraId="7D4BFC6A" w14:textId="77777777" w:rsidR="00FC2260" w:rsidRPr="00946CF6" w:rsidRDefault="00FC2260" w:rsidP="00B81B30">
      <w:pPr>
        <w:pStyle w:val="Paragraph"/>
        <w:rPr>
          <w:szCs w:val="24"/>
          <w:lang w:val="hu-HU"/>
        </w:rPr>
      </w:pPr>
      <w:r w:rsidRPr="000733F0">
        <w:rPr>
          <w:szCs w:val="24"/>
          <w:lang w:val="hu-HU"/>
        </w:rPr>
        <w:t xml:space="preserve">A </w:t>
      </w:r>
      <w:r w:rsidR="002F0A9D" w:rsidRPr="000819A0">
        <w:rPr>
          <w:szCs w:val="24"/>
          <w:lang w:val="hu-HU"/>
        </w:rPr>
        <w:t xml:space="preserve">határidős </w:t>
      </w:r>
      <w:r w:rsidR="002F0A9D" w:rsidRPr="00A03F0A">
        <w:rPr>
          <w:szCs w:val="24"/>
          <w:lang w:val="hu-HU"/>
        </w:rPr>
        <w:t xml:space="preserve">ügyletek közül azokat szükséges jelenteni, amely szerződések már életbe léptek, és </w:t>
      </w:r>
      <w:r w:rsidR="00CE163C" w:rsidRPr="00A03F0A">
        <w:rPr>
          <w:szCs w:val="24"/>
          <w:lang w:val="hu-HU"/>
        </w:rPr>
        <w:t>a vonatkozási időpontban még fennállnak</w:t>
      </w:r>
      <w:r w:rsidR="002F0A9D" w:rsidRPr="00946CF6">
        <w:rPr>
          <w:szCs w:val="24"/>
          <w:lang w:val="hu-HU"/>
        </w:rPr>
        <w:t xml:space="preserve"> (azaz nyitott ügyl</w:t>
      </w:r>
      <w:r w:rsidR="00CE163C" w:rsidRPr="00946CF6">
        <w:rPr>
          <w:szCs w:val="24"/>
          <w:lang w:val="hu-HU"/>
        </w:rPr>
        <w:t>etek). Az ü</w:t>
      </w:r>
      <w:r w:rsidR="00180BD7" w:rsidRPr="00946CF6">
        <w:rPr>
          <w:szCs w:val="24"/>
          <w:lang w:val="hu-HU"/>
        </w:rPr>
        <w:t>gyletek egészen addig állnak fenn</w:t>
      </w:r>
      <w:r w:rsidR="00CE163C" w:rsidRPr="00946CF6">
        <w:rPr>
          <w:szCs w:val="24"/>
          <w:lang w:val="hu-HU"/>
        </w:rPr>
        <w:t xml:space="preserve"> (aza</w:t>
      </w:r>
      <w:r w:rsidR="00180BD7" w:rsidRPr="00946CF6">
        <w:rPr>
          <w:szCs w:val="24"/>
          <w:lang w:val="hu-HU"/>
        </w:rPr>
        <w:t xml:space="preserve">z addig nyitottak), amíg </w:t>
      </w:r>
      <w:r w:rsidR="000733F0" w:rsidRPr="00946CF6">
        <w:rPr>
          <w:szCs w:val="24"/>
          <w:lang w:val="hu-HU"/>
        </w:rPr>
        <w:t>időközben lezárásra nem kerül</w:t>
      </w:r>
      <w:r w:rsidR="00946CF6">
        <w:rPr>
          <w:szCs w:val="24"/>
          <w:lang w:val="hu-HU"/>
        </w:rPr>
        <w:t>nek</w:t>
      </w:r>
      <w:r w:rsidR="005A518B" w:rsidRPr="00A03F0A">
        <w:rPr>
          <w:szCs w:val="24"/>
          <w:lang w:val="hu-HU"/>
        </w:rPr>
        <w:t xml:space="preserve"> vagy </w:t>
      </w:r>
      <w:r w:rsidR="00180BD7" w:rsidRPr="00A03F0A">
        <w:rPr>
          <w:szCs w:val="24"/>
          <w:lang w:val="hu-HU"/>
        </w:rPr>
        <w:t>a szerződés ala</w:t>
      </w:r>
      <w:r w:rsidR="00285E46" w:rsidRPr="00A03F0A">
        <w:rPr>
          <w:szCs w:val="24"/>
          <w:lang w:val="hu-HU"/>
        </w:rPr>
        <w:t>pjául szolgáló pénzügyi eszközt/</w:t>
      </w:r>
      <w:r w:rsidR="00180BD7" w:rsidRPr="00946CF6">
        <w:rPr>
          <w:szCs w:val="24"/>
          <w:lang w:val="hu-HU"/>
        </w:rPr>
        <w:t>árut le nem szállították</w:t>
      </w:r>
      <w:r w:rsidR="00285E46" w:rsidRPr="00946CF6">
        <w:rPr>
          <w:szCs w:val="24"/>
          <w:lang w:val="hu-HU"/>
        </w:rPr>
        <w:t>,</w:t>
      </w:r>
      <w:r w:rsidR="00180BD7" w:rsidRPr="00946CF6">
        <w:rPr>
          <w:szCs w:val="24"/>
          <w:lang w:val="hu-HU"/>
        </w:rPr>
        <w:t xml:space="preserve"> vagy </w:t>
      </w:r>
      <w:r w:rsidR="00C85544" w:rsidRPr="00946CF6">
        <w:rPr>
          <w:szCs w:val="24"/>
          <w:lang w:val="hu-HU"/>
        </w:rPr>
        <w:t xml:space="preserve">az ügyletet </w:t>
      </w:r>
      <w:r w:rsidR="00180BD7" w:rsidRPr="00946CF6">
        <w:rPr>
          <w:szCs w:val="24"/>
          <w:lang w:val="hu-HU"/>
        </w:rPr>
        <w:t>pénzben nem rendezt</w:t>
      </w:r>
      <w:r w:rsidR="004A2F3B" w:rsidRPr="00946CF6">
        <w:rPr>
          <w:szCs w:val="24"/>
          <w:lang w:val="hu-HU"/>
        </w:rPr>
        <w:t>ék</w:t>
      </w:r>
      <w:r w:rsidR="00FC4BBF" w:rsidRPr="00946CF6">
        <w:rPr>
          <w:szCs w:val="24"/>
          <w:lang w:val="hu-HU"/>
        </w:rPr>
        <w:t>. Ezeknek</w:t>
      </w:r>
      <w:r w:rsidR="005A518B" w:rsidRPr="00946CF6">
        <w:rPr>
          <w:szCs w:val="24"/>
          <w:lang w:val="hu-HU"/>
        </w:rPr>
        <w:t xml:space="preserve"> a szerződés</w:t>
      </w:r>
      <w:r w:rsidR="00FC4BBF" w:rsidRPr="00946CF6">
        <w:rPr>
          <w:szCs w:val="24"/>
          <w:lang w:val="hu-HU"/>
        </w:rPr>
        <w:t>ek</w:t>
      </w:r>
      <w:r w:rsidR="005A518B" w:rsidRPr="00946CF6">
        <w:rPr>
          <w:szCs w:val="24"/>
          <w:lang w:val="hu-HU"/>
        </w:rPr>
        <w:t xml:space="preserve">nek a lezárása </w:t>
      </w:r>
      <w:r w:rsidR="00B2291B" w:rsidRPr="00946CF6">
        <w:rPr>
          <w:szCs w:val="24"/>
          <w:lang w:val="hu-HU"/>
        </w:rPr>
        <w:t xml:space="preserve">– az alaptermék átvételétől eltekintve </w:t>
      </w:r>
      <w:r w:rsidR="005A518B" w:rsidRPr="00946CF6">
        <w:rPr>
          <w:szCs w:val="24"/>
          <w:lang w:val="hu-HU"/>
        </w:rPr>
        <w:t>–</w:t>
      </w:r>
      <w:r w:rsidR="00B2291B" w:rsidRPr="00946CF6">
        <w:rPr>
          <w:szCs w:val="24"/>
          <w:lang w:val="hu-HU"/>
        </w:rPr>
        <w:t xml:space="preserve"> </w:t>
      </w:r>
      <w:r w:rsidR="005A518B" w:rsidRPr="00946CF6">
        <w:rPr>
          <w:szCs w:val="24"/>
          <w:lang w:val="hu-HU"/>
        </w:rPr>
        <w:t xml:space="preserve">csakis kizárólag a vevő és az eladó </w:t>
      </w:r>
      <w:r w:rsidR="00285E46" w:rsidRPr="00946CF6">
        <w:rPr>
          <w:szCs w:val="24"/>
          <w:lang w:val="hu-HU"/>
        </w:rPr>
        <w:t xml:space="preserve">közös </w:t>
      </w:r>
      <w:r w:rsidR="005A518B" w:rsidRPr="00946CF6">
        <w:rPr>
          <w:szCs w:val="24"/>
          <w:lang w:val="hu-HU"/>
        </w:rPr>
        <w:t>egyetértésével lehetséges.</w:t>
      </w:r>
    </w:p>
    <w:p w14:paraId="671F5828" w14:textId="77777777" w:rsidR="00CE7C53" w:rsidRPr="00946CF6" w:rsidRDefault="00CE7C53" w:rsidP="00B81B30">
      <w:pPr>
        <w:pStyle w:val="Paragraph"/>
        <w:rPr>
          <w:szCs w:val="24"/>
          <w:lang w:val="hu-HU"/>
        </w:rPr>
      </w:pPr>
      <w:r w:rsidRPr="00946CF6">
        <w:rPr>
          <w:szCs w:val="24"/>
          <w:lang w:val="hu-HU"/>
        </w:rPr>
        <w:t>Csereügyletek (</w:t>
      </w:r>
      <w:proofErr w:type="spellStart"/>
      <w:r w:rsidRPr="00946CF6">
        <w:rPr>
          <w:szCs w:val="24"/>
          <w:lang w:val="hu-HU"/>
        </w:rPr>
        <w:t>swapok</w:t>
      </w:r>
      <w:proofErr w:type="spellEnd"/>
      <w:r w:rsidRPr="00946CF6">
        <w:rPr>
          <w:szCs w:val="24"/>
          <w:lang w:val="hu-HU"/>
        </w:rPr>
        <w:t xml:space="preserve">): </w:t>
      </w:r>
      <w:proofErr w:type="spellStart"/>
      <w:r w:rsidRPr="00946CF6">
        <w:rPr>
          <w:szCs w:val="24"/>
          <w:lang w:val="hu-HU"/>
        </w:rPr>
        <w:t>swap</w:t>
      </w:r>
      <w:proofErr w:type="spellEnd"/>
      <w:r w:rsidRPr="00946CF6">
        <w:rPr>
          <w:szCs w:val="24"/>
          <w:lang w:val="hu-HU"/>
        </w:rPr>
        <w:t xml:space="preserve"> ügyletek esetében a felek meghatározott ideig egy meghatározott névértéken alapuló kifizetések </w:t>
      </w:r>
      <w:r w:rsidR="00E63535" w:rsidRPr="00946CF6">
        <w:rPr>
          <w:szCs w:val="24"/>
          <w:lang w:val="hu-HU"/>
        </w:rPr>
        <w:t xml:space="preserve">cseréjéről állapodnak meg. Azokat a csereügyleteket is jelenteni kell, amelyek esetében már az induló láb is tőzsdén kívüli határidős. </w:t>
      </w:r>
    </w:p>
    <w:p w14:paraId="3885D4DE" w14:textId="77777777" w:rsidR="00C57C99" w:rsidRPr="00946CF6" w:rsidRDefault="00C57C99" w:rsidP="00B81B30">
      <w:pPr>
        <w:pStyle w:val="Paragraph"/>
        <w:rPr>
          <w:szCs w:val="24"/>
          <w:lang w:val="hu-HU"/>
        </w:rPr>
      </w:pPr>
      <w:r w:rsidRPr="00946CF6">
        <w:rPr>
          <w:szCs w:val="24"/>
          <w:lang w:val="hu-HU"/>
        </w:rPr>
        <w:t xml:space="preserve">A tőzsdén kívüli határidős/ tőzsdén kívüli határidős </w:t>
      </w:r>
      <w:proofErr w:type="spellStart"/>
      <w:r w:rsidRPr="00946CF6">
        <w:rPr>
          <w:szCs w:val="24"/>
          <w:lang w:val="hu-HU"/>
        </w:rPr>
        <w:t>swapok</w:t>
      </w:r>
      <w:proofErr w:type="spellEnd"/>
      <w:r w:rsidRPr="00946CF6">
        <w:rPr>
          <w:szCs w:val="24"/>
          <w:lang w:val="hu-HU"/>
        </w:rPr>
        <w:t xml:space="preserve"> esetében mindkét határidős lábat külön szükséges jelenteni. Ezzel ellentétben a deviza csereügyletek esetében, amelyeket spot(azonnali)/ tőzsdén kívüli határidős ügyletek </w:t>
      </w:r>
      <w:proofErr w:type="gramStart"/>
      <w:r w:rsidRPr="00946CF6">
        <w:rPr>
          <w:szCs w:val="24"/>
          <w:lang w:val="hu-HU"/>
        </w:rPr>
        <w:t>keretében  kötnek</w:t>
      </w:r>
      <w:proofErr w:type="gramEnd"/>
      <w:r w:rsidRPr="00946CF6">
        <w:rPr>
          <w:szCs w:val="24"/>
          <w:lang w:val="hu-HU"/>
        </w:rPr>
        <w:t xml:space="preserve">,  csak az ügylet határidős lábát kell jelenteni. </w:t>
      </w:r>
    </w:p>
    <w:p w14:paraId="0144166E" w14:textId="77777777" w:rsidR="00C57C99" w:rsidRDefault="004471F9" w:rsidP="00B81B30">
      <w:pPr>
        <w:pStyle w:val="Paragraph"/>
        <w:rPr>
          <w:szCs w:val="24"/>
          <w:lang w:val="hu-HU"/>
        </w:rPr>
      </w:pPr>
      <w:r w:rsidRPr="00946CF6">
        <w:rPr>
          <w:szCs w:val="24"/>
          <w:lang w:val="hu-HU"/>
        </w:rPr>
        <w:t xml:space="preserve">OTC opciók: </w:t>
      </w:r>
      <w:r w:rsidR="00727DDA" w:rsidRPr="00946CF6">
        <w:rPr>
          <w:szCs w:val="24"/>
          <w:lang w:val="hu-HU"/>
        </w:rPr>
        <w:t>az opciós szerződések attól függően biztosítanak jogot vagy jelentenek kötelezettséget egy pénzügyi eszköz vagy áru előre meghatározott jövőbeli időpontban, előre meghatározott áron történő megvásárlására vagy eladására, hogy a jelentő intézmény az opciót megvásárolta vagy kiírta. Az OTC opciók közé ta</w:t>
      </w:r>
      <w:r w:rsidR="00AD3948" w:rsidRPr="00946CF6">
        <w:rPr>
          <w:szCs w:val="24"/>
          <w:lang w:val="hu-HU"/>
        </w:rPr>
        <w:t xml:space="preserve">rtozik az összes </w:t>
      </w:r>
      <w:r w:rsidR="00727DDA" w:rsidRPr="00946CF6">
        <w:rPr>
          <w:szCs w:val="24"/>
          <w:lang w:val="hu-HU"/>
        </w:rPr>
        <w:t xml:space="preserve">tőzsdén </w:t>
      </w:r>
      <w:r w:rsidR="00AD3948" w:rsidRPr="00946CF6">
        <w:rPr>
          <w:szCs w:val="24"/>
          <w:lang w:val="hu-HU"/>
        </w:rPr>
        <w:t xml:space="preserve">kívül </w:t>
      </w:r>
      <w:r w:rsidR="00727DDA" w:rsidRPr="00946CF6">
        <w:rPr>
          <w:szCs w:val="24"/>
          <w:lang w:val="hu-HU"/>
        </w:rPr>
        <w:t xml:space="preserve">kereskedett opció. </w:t>
      </w:r>
      <w:r w:rsidR="001D1709" w:rsidRPr="00946CF6">
        <w:rPr>
          <w:szCs w:val="24"/>
          <w:lang w:val="hu-HU"/>
        </w:rPr>
        <w:t>Ebbe a kategór</w:t>
      </w:r>
      <w:r w:rsidR="00A57337" w:rsidRPr="00946CF6">
        <w:rPr>
          <w:szCs w:val="24"/>
          <w:lang w:val="hu-HU"/>
        </w:rPr>
        <w:t xml:space="preserve">iába tartoznak például a </w:t>
      </w:r>
      <w:r w:rsidR="001D1709" w:rsidRPr="00946CF6">
        <w:rPr>
          <w:szCs w:val="24"/>
          <w:lang w:val="hu-HU"/>
        </w:rPr>
        <w:t xml:space="preserve">csereügylet </w:t>
      </w:r>
      <w:r w:rsidR="00A57337" w:rsidRPr="00946CF6">
        <w:rPr>
          <w:szCs w:val="24"/>
          <w:lang w:val="hu-HU"/>
        </w:rPr>
        <w:t>meg</w:t>
      </w:r>
      <w:r w:rsidR="001D1709" w:rsidRPr="00946CF6">
        <w:rPr>
          <w:szCs w:val="24"/>
          <w:lang w:val="hu-HU"/>
        </w:rPr>
        <w:t>kötésére szóló opciók (</w:t>
      </w:r>
      <w:proofErr w:type="spellStart"/>
      <w:r w:rsidR="001D1709" w:rsidRPr="00946CF6">
        <w:rPr>
          <w:szCs w:val="24"/>
          <w:lang w:val="hu-HU"/>
        </w:rPr>
        <w:t>swaption</w:t>
      </w:r>
      <w:proofErr w:type="spellEnd"/>
      <w:r w:rsidR="001D1709" w:rsidRPr="00946CF6">
        <w:rPr>
          <w:szCs w:val="24"/>
          <w:lang w:val="hu-HU"/>
        </w:rPr>
        <w:t>) illetve a kamatplafon</w:t>
      </w:r>
      <w:r w:rsidR="0022750C" w:rsidRPr="00946CF6">
        <w:rPr>
          <w:szCs w:val="24"/>
          <w:lang w:val="hu-HU"/>
        </w:rPr>
        <w:t>-</w:t>
      </w:r>
      <w:r w:rsidR="001D1709" w:rsidRPr="00946CF6">
        <w:rPr>
          <w:szCs w:val="24"/>
          <w:lang w:val="hu-HU"/>
        </w:rPr>
        <w:t>, kamatpadló</w:t>
      </w:r>
      <w:r w:rsidR="0022750C" w:rsidRPr="00946CF6">
        <w:rPr>
          <w:szCs w:val="24"/>
          <w:lang w:val="hu-HU"/>
        </w:rPr>
        <w:t>-</w:t>
      </w:r>
      <w:r w:rsidR="001D1709" w:rsidRPr="00946CF6">
        <w:rPr>
          <w:szCs w:val="24"/>
          <w:lang w:val="hu-HU"/>
        </w:rPr>
        <w:t>, kamatgallér</w:t>
      </w:r>
      <w:r w:rsidR="0022750C" w:rsidRPr="00946CF6">
        <w:rPr>
          <w:szCs w:val="24"/>
          <w:lang w:val="hu-HU"/>
        </w:rPr>
        <w:t>-, kamatfolyosó-ügyletek is szintén az OTC opciók között kell feltüntetni.</w:t>
      </w:r>
      <w:r w:rsidR="005F793A" w:rsidRPr="00946CF6">
        <w:rPr>
          <w:szCs w:val="24"/>
          <w:lang w:val="hu-HU"/>
        </w:rPr>
        <w:t xml:space="preserve"> A </w:t>
      </w:r>
      <w:r w:rsidR="00A57337" w:rsidRPr="00946CF6">
        <w:rPr>
          <w:szCs w:val="24"/>
          <w:lang w:val="hu-HU"/>
        </w:rPr>
        <w:t xml:space="preserve">hitelekhez, értékpapírokhoz és más egyéb mérlegtételekhez kapcsolódó </w:t>
      </w:r>
      <w:r w:rsidR="005F793A" w:rsidRPr="00946CF6">
        <w:rPr>
          <w:szCs w:val="24"/>
          <w:lang w:val="hu-HU"/>
        </w:rPr>
        <w:t xml:space="preserve">beágyazott </w:t>
      </w:r>
      <w:proofErr w:type="spellStart"/>
      <w:r w:rsidR="005F793A" w:rsidRPr="00946CF6">
        <w:rPr>
          <w:szCs w:val="24"/>
          <w:lang w:val="hu-HU"/>
        </w:rPr>
        <w:t>derivatívák</w:t>
      </w:r>
      <w:proofErr w:type="spellEnd"/>
      <w:r w:rsidR="005F793A" w:rsidRPr="00946CF6">
        <w:rPr>
          <w:szCs w:val="24"/>
          <w:lang w:val="hu-HU"/>
        </w:rPr>
        <w:t xml:space="preserve"> nem képezik részét a jelentésnek, </w:t>
      </w:r>
      <w:r w:rsidR="00A57337" w:rsidRPr="00946CF6">
        <w:rPr>
          <w:szCs w:val="24"/>
          <w:lang w:val="hu-HU"/>
        </w:rPr>
        <w:t>ezért azokat nem kell jelenteni</w:t>
      </w:r>
      <w:r w:rsidR="00893BF3" w:rsidRPr="00946CF6">
        <w:rPr>
          <w:szCs w:val="24"/>
          <w:lang w:val="hu-HU"/>
        </w:rPr>
        <w:t>, e</w:t>
      </w:r>
      <w:r w:rsidR="0000371B" w:rsidRPr="00946CF6">
        <w:rPr>
          <w:szCs w:val="24"/>
          <w:lang w:val="hu-HU"/>
        </w:rPr>
        <w:t>z</w:t>
      </w:r>
      <w:r w:rsidR="00BC3454" w:rsidRPr="00946CF6">
        <w:rPr>
          <w:szCs w:val="24"/>
          <w:lang w:val="hu-HU"/>
        </w:rPr>
        <w:t xml:space="preserve"> alól azonban kivételt képez az az eset, amikor</w:t>
      </w:r>
      <w:r w:rsidR="005F793A" w:rsidRPr="00946CF6">
        <w:rPr>
          <w:szCs w:val="24"/>
          <w:lang w:val="hu-HU"/>
        </w:rPr>
        <w:t xml:space="preserve"> a </w:t>
      </w:r>
      <w:r w:rsidR="00BC3454" w:rsidRPr="00946CF6">
        <w:rPr>
          <w:szCs w:val="24"/>
          <w:lang w:val="hu-HU"/>
        </w:rPr>
        <w:t xml:space="preserve">beágyazott </w:t>
      </w:r>
      <w:proofErr w:type="spellStart"/>
      <w:r w:rsidR="00BC3454" w:rsidRPr="00946CF6">
        <w:rPr>
          <w:szCs w:val="24"/>
          <w:lang w:val="hu-HU"/>
        </w:rPr>
        <w:t>derivatívát</w:t>
      </w:r>
      <w:proofErr w:type="spellEnd"/>
      <w:r w:rsidR="00BC3454" w:rsidRPr="00946CF6">
        <w:rPr>
          <w:szCs w:val="24"/>
          <w:lang w:val="hu-HU"/>
        </w:rPr>
        <w:t xml:space="preserve"> a </w:t>
      </w:r>
      <w:proofErr w:type="spellStart"/>
      <w:r w:rsidR="00BC3454" w:rsidRPr="00946CF6">
        <w:rPr>
          <w:szCs w:val="24"/>
          <w:lang w:val="hu-HU"/>
        </w:rPr>
        <w:t>FAS</w:t>
      </w:r>
      <w:proofErr w:type="spellEnd"/>
      <w:r w:rsidR="00BC3454" w:rsidRPr="00946CF6">
        <w:rPr>
          <w:szCs w:val="24"/>
          <w:lang w:val="hu-HU"/>
        </w:rPr>
        <w:t xml:space="preserve"> 133</w:t>
      </w:r>
      <w:r w:rsidR="00BB1F7C">
        <w:rPr>
          <w:szCs w:val="24"/>
          <w:lang w:val="hu-HU"/>
        </w:rPr>
        <w:t xml:space="preserve">, </w:t>
      </w:r>
      <w:proofErr w:type="spellStart"/>
      <w:r w:rsidR="00BB1F7C">
        <w:rPr>
          <w:szCs w:val="24"/>
          <w:lang w:val="hu-HU"/>
        </w:rPr>
        <w:t>FAS</w:t>
      </w:r>
      <w:proofErr w:type="spellEnd"/>
      <w:r w:rsidR="00BB1F7C">
        <w:rPr>
          <w:szCs w:val="24"/>
          <w:lang w:val="hu-HU"/>
        </w:rPr>
        <w:t xml:space="preserve"> 157</w:t>
      </w:r>
      <w:r w:rsidR="00BC3454" w:rsidRPr="00946CF6">
        <w:rPr>
          <w:szCs w:val="24"/>
          <w:lang w:val="hu-HU"/>
        </w:rPr>
        <w:t xml:space="preserve"> és az </w:t>
      </w:r>
      <w:proofErr w:type="spellStart"/>
      <w:r w:rsidR="00BB1F7C">
        <w:rPr>
          <w:szCs w:val="24"/>
          <w:lang w:val="hu-HU"/>
        </w:rPr>
        <w:t>IFRS</w:t>
      </w:r>
      <w:proofErr w:type="spellEnd"/>
      <w:r w:rsidR="00BC3454" w:rsidRPr="00946CF6">
        <w:rPr>
          <w:szCs w:val="24"/>
          <w:lang w:val="hu-HU"/>
        </w:rPr>
        <w:t xml:space="preserve"> 9 alapján el kell különíteni</w:t>
      </w:r>
      <w:r w:rsidR="0000371B" w:rsidRPr="00946CF6">
        <w:rPr>
          <w:szCs w:val="24"/>
          <w:lang w:val="hu-HU"/>
        </w:rPr>
        <w:t xml:space="preserve"> az alapszerződéstől</w:t>
      </w:r>
      <w:r w:rsidR="00BC3454" w:rsidRPr="00946CF6">
        <w:rPr>
          <w:szCs w:val="24"/>
          <w:lang w:val="hu-HU"/>
        </w:rPr>
        <w:t xml:space="preserve">. Ezek a számviteli sztenderdek megkövetelik azon </w:t>
      </w:r>
      <w:proofErr w:type="spellStart"/>
      <w:r w:rsidR="00BC3454" w:rsidRPr="00946CF6">
        <w:rPr>
          <w:szCs w:val="24"/>
          <w:lang w:val="hu-HU"/>
        </w:rPr>
        <w:t>derivatívák</w:t>
      </w:r>
      <w:proofErr w:type="spellEnd"/>
      <w:r w:rsidR="00BC3454" w:rsidRPr="00946CF6">
        <w:rPr>
          <w:szCs w:val="24"/>
          <w:lang w:val="hu-HU"/>
        </w:rPr>
        <w:t xml:space="preserve"> leválasztását, amelyek nem egyértelműen és szorosan kapcsolódnak az alapszerződéshez.</w:t>
      </w:r>
      <w:r w:rsidR="0000371B" w:rsidRPr="00946CF6">
        <w:rPr>
          <w:szCs w:val="24"/>
          <w:lang w:val="hu-HU"/>
        </w:rPr>
        <w:t xml:space="preserve"> A hitelnyújtásra szóló kötelezettségvállalások (</w:t>
      </w:r>
      <w:proofErr w:type="spellStart"/>
      <w:r w:rsidR="0000371B" w:rsidRPr="00946CF6">
        <w:rPr>
          <w:szCs w:val="24"/>
          <w:lang w:val="hu-HU"/>
        </w:rPr>
        <w:t>commitments</w:t>
      </w:r>
      <w:proofErr w:type="spellEnd"/>
      <w:r w:rsidR="0000371B" w:rsidRPr="00946CF6">
        <w:rPr>
          <w:szCs w:val="24"/>
          <w:lang w:val="hu-HU"/>
        </w:rPr>
        <w:t xml:space="preserve"> </w:t>
      </w:r>
      <w:proofErr w:type="spellStart"/>
      <w:r w:rsidR="0000371B" w:rsidRPr="00946CF6">
        <w:rPr>
          <w:szCs w:val="24"/>
          <w:lang w:val="hu-HU"/>
        </w:rPr>
        <w:t>to</w:t>
      </w:r>
      <w:proofErr w:type="spellEnd"/>
      <w:r w:rsidR="0000371B" w:rsidRPr="00946CF6">
        <w:rPr>
          <w:szCs w:val="24"/>
          <w:lang w:val="hu-HU"/>
        </w:rPr>
        <w:t xml:space="preserve"> </w:t>
      </w:r>
      <w:proofErr w:type="spellStart"/>
      <w:r w:rsidR="007357AC" w:rsidRPr="00946CF6">
        <w:rPr>
          <w:szCs w:val="24"/>
          <w:lang w:val="hu-HU"/>
        </w:rPr>
        <w:t>l</w:t>
      </w:r>
      <w:r w:rsidR="0000371B" w:rsidRPr="000733F0">
        <w:rPr>
          <w:szCs w:val="24"/>
          <w:lang w:val="hu-HU"/>
        </w:rPr>
        <w:t>end</w:t>
      </w:r>
      <w:proofErr w:type="spellEnd"/>
      <w:r w:rsidR="0000371B" w:rsidRPr="000733F0">
        <w:rPr>
          <w:szCs w:val="24"/>
          <w:lang w:val="hu-HU"/>
        </w:rPr>
        <w:t>)</w:t>
      </w:r>
      <w:r w:rsidR="0000371B" w:rsidRPr="000819A0">
        <w:rPr>
          <w:szCs w:val="24"/>
          <w:lang w:val="hu-HU"/>
        </w:rPr>
        <w:t xml:space="preserve"> nem</w:t>
      </w:r>
      <w:r w:rsidR="0000371B">
        <w:rPr>
          <w:szCs w:val="24"/>
          <w:lang w:val="hu-HU"/>
        </w:rPr>
        <w:t xml:space="preserve"> t</w:t>
      </w:r>
      <w:r w:rsidR="007357AC">
        <w:rPr>
          <w:szCs w:val="24"/>
          <w:lang w:val="hu-HU"/>
        </w:rPr>
        <w:t xml:space="preserve">ekintendőek opcióknak ebben a jelentésben. </w:t>
      </w:r>
    </w:p>
    <w:p w14:paraId="2C1D1BE8" w14:textId="77777777" w:rsidR="00B81B30" w:rsidRDefault="0095687C" w:rsidP="00B81B30">
      <w:pPr>
        <w:pStyle w:val="Paragraph"/>
        <w:rPr>
          <w:szCs w:val="24"/>
          <w:lang w:val="hu-HU"/>
        </w:rPr>
      </w:pPr>
      <w:r>
        <w:rPr>
          <w:szCs w:val="24"/>
          <w:lang w:val="hu-HU"/>
        </w:rPr>
        <w:t xml:space="preserve">Kiírt opciók: </w:t>
      </w:r>
      <w:r w:rsidR="00AF7745">
        <w:rPr>
          <w:szCs w:val="24"/>
          <w:lang w:val="hu-HU"/>
        </w:rPr>
        <w:t>a</w:t>
      </w:r>
      <w:r w:rsidR="005B4487">
        <w:rPr>
          <w:szCs w:val="24"/>
          <w:lang w:val="hu-HU"/>
        </w:rPr>
        <w:t xml:space="preserve">zokat az </w:t>
      </w:r>
      <w:r>
        <w:rPr>
          <w:szCs w:val="24"/>
          <w:lang w:val="hu-HU"/>
        </w:rPr>
        <w:t>OTC opciók</w:t>
      </w:r>
      <w:r w:rsidR="005B4487">
        <w:rPr>
          <w:szCs w:val="24"/>
          <w:lang w:val="hu-HU"/>
        </w:rPr>
        <w:t>at szükséges itt szerepeltetni</w:t>
      </w:r>
      <w:r>
        <w:rPr>
          <w:szCs w:val="24"/>
          <w:lang w:val="hu-HU"/>
        </w:rPr>
        <w:t>, amelyek esetében a jelentő bank ellentételezésért (</w:t>
      </w:r>
      <w:r w:rsidR="005B4487">
        <w:rPr>
          <w:szCs w:val="24"/>
          <w:lang w:val="hu-HU"/>
        </w:rPr>
        <w:t xml:space="preserve">opciós díj vagy opciós prémium) cserébe kötelezettséget vállal </w:t>
      </w:r>
      <w:r w:rsidR="008A7EB9">
        <w:rPr>
          <w:szCs w:val="24"/>
          <w:lang w:val="hu-HU"/>
        </w:rPr>
        <w:t xml:space="preserve">a </w:t>
      </w:r>
      <w:r w:rsidR="005B4487">
        <w:rPr>
          <w:szCs w:val="24"/>
          <w:lang w:val="hu-HU"/>
        </w:rPr>
        <w:t xml:space="preserve">pénzügyi eszköz vagy áru megvásárlására vagy eladására. </w:t>
      </w:r>
      <w:r w:rsidR="008A7EB9">
        <w:rPr>
          <w:szCs w:val="24"/>
          <w:lang w:val="hu-HU"/>
        </w:rPr>
        <w:t>Itt kell jelenteni a kiírt kamatplafon-, kamatpadló ügyleteket, a</w:t>
      </w:r>
      <w:r w:rsidR="00CD4D50">
        <w:rPr>
          <w:szCs w:val="24"/>
          <w:lang w:val="hu-HU"/>
        </w:rPr>
        <w:t xml:space="preserve"> csere</w:t>
      </w:r>
      <w:r w:rsidR="008A7EB9">
        <w:rPr>
          <w:szCs w:val="24"/>
          <w:lang w:val="hu-HU"/>
        </w:rPr>
        <w:t xml:space="preserve">ügylet megkötésére szóló </w:t>
      </w:r>
      <w:r w:rsidR="00AF7745">
        <w:rPr>
          <w:szCs w:val="24"/>
          <w:lang w:val="hu-HU"/>
        </w:rPr>
        <w:t xml:space="preserve">kiírt </w:t>
      </w:r>
      <w:r w:rsidR="008A7EB9">
        <w:rPr>
          <w:szCs w:val="24"/>
          <w:lang w:val="hu-HU"/>
        </w:rPr>
        <w:t>opciókat (</w:t>
      </w:r>
      <w:proofErr w:type="spellStart"/>
      <w:r w:rsidR="007F566C">
        <w:rPr>
          <w:szCs w:val="24"/>
          <w:lang w:val="hu-HU"/>
        </w:rPr>
        <w:t>swaption</w:t>
      </w:r>
      <w:proofErr w:type="spellEnd"/>
      <w:r w:rsidR="007F566C">
        <w:rPr>
          <w:szCs w:val="24"/>
          <w:lang w:val="hu-HU"/>
        </w:rPr>
        <w:t>) valamint a</w:t>
      </w:r>
      <w:r w:rsidR="008A7EB9">
        <w:rPr>
          <w:szCs w:val="24"/>
          <w:lang w:val="hu-HU"/>
        </w:rPr>
        <w:t xml:space="preserve"> </w:t>
      </w:r>
      <w:r w:rsidR="007F566C">
        <w:rPr>
          <w:szCs w:val="24"/>
          <w:lang w:val="hu-HU"/>
        </w:rPr>
        <w:t>kamatgallér- és a kamatfoly</w:t>
      </w:r>
      <w:r w:rsidR="00A4157E">
        <w:rPr>
          <w:szCs w:val="24"/>
          <w:lang w:val="hu-HU"/>
        </w:rPr>
        <w:t>osó ügyletek kiírt opció</w:t>
      </w:r>
      <w:r w:rsidR="00EF3E8C">
        <w:rPr>
          <w:szCs w:val="24"/>
          <w:lang w:val="hu-HU"/>
        </w:rPr>
        <w:t xml:space="preserve"> komponensét</w:t>
      </w:r>
      <w:r w:rsidR="007F566C">
        <w:rPr>
          <w:szCs w:val="24"/>
          <w:lang w:val="hu-HU"/>
        </w:rPr>
        <w:t xml:space="preserve"> is.</w:t>
      </w:r>
    </w:p>
    <w:p w14:paraId="73C4519F" w14:textId="77777777" w:rsidR="0095687C" w:rsidRDefault="000D66C6" w:rsidP="00B81B30">
      <w:pPr>
        <w:pStyle w:val="Paragraph"/>
        <w:rPr>
          <w:szCs w:val="24"/>
          <w:lang w:val="hu-HU"/>
        </w:rPr>
      </w:pPr>
      <w:r>
        <w:rPr>
          <w:szCs w:val="24"/>
          <w:lang w:val="hu-HU"/>
        </w:rPr>
        <w:t xml:space="preserve">Megvásárolt opciók: </w:t>
      </w:r>
      <w:r w:rsidR="00AF7745">
        <w:rPr>
          <w:szCs w:val="24"/>
          <w:lang w:val="hu-HU"/>
        </w:rPr>
        <w:t>azokat az OTC opciókat szükséges itt szerepeltetni, amelyek esetében a jelentő bank opciós díj vagy opciós prémium fizetéséért cserébe jogot szerez a pénzügyi eszköz vagy áru megvásárlására vagy eladására. Itt kell jelenteni a megvásárolt kamatplafon-, kamatpadló ügyleteket, a devizacsere ügylet megkötésére szóló megvásárolt opciókat (</w:t>
      </w:r>
      <w:proofErr w:type="spellStart"/>
      <w:r w:rsidR="00AF7745">
        <w:rPr>
          <w:szCs w:val="24"/>
          <w:lang w:val="hu-HU"/>
        </w:rPr>
        <w:t>swaption</w:t>
      </w:r>
      <w:proofErr w:type="spellEnd"/>
      <w:r w:rsidR="00AF7745">
        <w:rPr>
          <w:szCs w:val="24"/>
          <w:lang w:val="hu-HU"/>
        </w:rPr>
        <w:t>) valamint a kamatgallér- és a kamatfolyosó ügyletek megvásárolt</w:t>
      </w:r>
      <w:r w:rsidR="00A4157E">
        <w:rPr>
          <w:szCs w:val="24"/>
          <w:lang w:val="hu-HU"/>
        </w:rPr>
        <w:t xml:space="preserve"> opció komponensét</w:t>
      </w:r>
      <w:r w:rsidR="00AF7745">
        <w:rPr>
          <w:szCs w:val="24"/>
          <w:lang w:val="hu-HU"/>
        </w:rPr>
        <w:t xml:space="preserve"> is.</w:t>
      </w:r>
    </w:p>
    <w:p w14:paraId="4D7C2AE6" w14:textId="77777777" w:rsidR="00B81B30" w:rsidRPr="001B4262" w:rsidRDefault="00AC557B" w:rsidP="00B81B30">
      <w:pPr>
        <w:pStyle w:val="Paragraph"/>
        <w:rPr>
          <w:lang w:val="hu-HU"/>
        </w:rPr>
      </w:pPr>
      <w:r w:rsidRPr="001B4262">
        <w:rPr>
          <w:szCs w:val="24"/>
          <w:lang w:val="hu-HU"/>
        </w:rPr>
        <w:t xml:space="preserve">Egyéb ügyletek: </w:t>
      </w:r>
      <w:r w:rsidRPr="001B4262">
        <w:rPr>
          <w:lang w:val="hu-HU"/>
        </w:rPr>
        <w:t>Az egyéb származékos termékek olyan instrument</w:t>
      </w:r>
      <w:r w:rsidR="001C6DE2" w:rsidRPr="001B4262">
        <w:rPr>
          <w:lang w:val="hu-HU"/>
        </w:rPr>
        <w:t>umok, amelyeket nem lehet különálló</w:t>
      </w:r>
      <w:r w:rsidRPr="001B4262">
        <w:rPr>
          <w:lang w:val="hu-HU"/>
        </w:rPr>
        <w:t xml:space="preserve"> „</w:t>
      </w:r>
      <w:proofErr w:type="spellStart"/>
      <w:r w:rsidRPr="001B4262">
        <w:rPr>
          <w:lang w:val="hu-HU"/>
        </w:rPr>
        <w:t>plain</w:t>
      </w:r>
      <w:proofErr w:type="spellEnd"/>
      <w:r w:rsidRPr="001B4262">
        <w:rPr>
          <w:lang w:val="hu-HU"/>
        </w:rPr>
        <w:t xml:space="preserve"> </w:t>
      </w:r>
      <w:proofErr w:type="spellStart"/>
      <w:r w:rsidRPr="001B4262">
        <w:rPr>
          <w:lang w:val="hu-HU"/>
        </w:rPr>
        <w:t>vanilla</w:t>
      </w:r>
      <w:proofErr w:type="spellEnd"/>
      <w:r w:rsidRPr="001B4262">
        <w:rPr>
          <w:lang w:val="hu-HU"/>
        </w:rPr>
        <w:t>” instrumentumokra</w:t>
      </w:r>
      <w:r w:rsidR="00D862CB" w:rsidRPr="001B4262">
        <w:rPr>
          <w:lang w:val="hu-HU"/>
        </w:rPr>
        <w:t>, azaz</w:t>
      </w:r>
      <w:r w:rsidRPr="001B4262">
        <w:rPr>
          <w:lang w:val="hu-HU"/>
        </w:rPr>
        <w:t xml:space="preserve"> tőzsdén kívüli határidős ügyletekre, csere- vagy opciós ügyletekre bontani, vagy az célszerűtlen, a gyakorlatban megvalósíthatatlan lenne. Az instrumentumtípusok meghatározására és csoportosításra vonatkozóan további információk a G részben találhatóak. </w:t>
      </w:r>
    </w:p>
    <w:p w14:paraId="2F868B9A" w14:textId="77777777" w:rsidR="00A856BF" w:rsidRPr="00FE5851" w:rsidRDefault="00A856BF" w:rsidP="000754A9">
      <w:pPr>
        <w:pStyle w:val="IndentedHeading1"/>
        <w:numPr>
          <w:ilvl w:val="0"/>
          <w:numId w:val="37"/>
        </w:numPr>
        <w:rPr>
          <w:szCs w:val="24"/>
          <w:lang w:val="hu-HU"/>
        </w:rPr>
      </w:pPr>
      <w:r w:rsidRPr="00FE5851">
        <w:rPr>
          <w:szCs w:val="24"/>
          <w:lang w:val="hu-HU"/>
        </w:rPr>
        <w:tab/>
      </w:r>
      <w:bookmarkStart w:id="15" w:name="_Toc89264404"/>
      <w:r w:rsidRPr="00FE5851">
        <w:rPr>
          <w:szCs w:val="24"/>
          <w:lang w:val="hu-HU"/>
        </w:rPr>
        <w:t>Részletes instrumentummeghatározás és -besorolás</w:t>
      </w:r>
      <w:bookmarkEnd w:id="15"/>
      <w:r w:rsidRPr="00FE5851">
        <w:rPr>
          <w:szCs w:val="24"/>
          <w:lang w:val="hu-HU"/>
        </w:rPr>
        <w:t xml:space="preserve"> </w:t>
      </w:r>
    </w:p>
    <w:p w14:paraId="57A668D0" w14:textId="77777777" w:rsidR="00A856BF" w:rsidRPr="00FE5851" w:rsidRDefault="00A856BF" w:rsidP="00A856BF">
      <w:pPr>
        <w:pStyle w:val="Paragraph"/>
        <w:rPr>
          <w:szCs w:val="24"/>
          <w:lang w:val="hu-HU"/>
        </w:rPr>
      </w:pPr>
      <w:r w:rsidRPr="00FE5851">
        <w:rPr>
          <w:szCs w:val="24"/>
          <w:lang w:val="hu-HU"/>
        </w:rPr>
        <w:t xml:space="preserve">Az OTC-derivatívok az egyes kockázati kategóriákban, elméletben, három </w:t>
      </w:r>
      <w:r>
        <w:rPr>
          <w:szCs w:val="24"/>
          <w:lang w:val="hu-HU"/>
        </w:rPr>
        <w:t xml:space="preserve">féle </w:t>
      </w:r>
      <w:r w:rsidRPr="00FE5851">
        <w:rPr>
          <w:szCs w:val="24"/>
          <w:lang w:val="hu-HU"/>
        </w:rPr>
        <w:t>„</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xml:space="preserve">” </w:t>
      </w:r>
      <w:r>
        <w:rPr>
          <w:szCs w:val="24"/>
          <w:lang w:val="hu-HU"/>
        </w:rPr>
        <w:t>instrumentumra</w:t>
      </w:r>
      <w:r w:rsidRPr="00FE5851">
        <w:rPr>
          <w:szCs w:val="24"/>
          <w:lang w:val="hu-HU"/>
        </w:rPr>
        <w:t xml:space="preserve"> (tőzsdén kívüli határidős, csere- és opciós ügyletekre) bonthatók. A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xml:space="preserve">” instrumentumok likvid piacokon, többé-kevésbé szabványosított szerződések és piaci konvenciók szerint kereskedett </w:t>
      </w:r>
      <w:r>
        <w:rPr>
          <w:szCs w:val="24"/>
          <w:lang w:val="hu-HU"/>
        </w:rPr>
        <w:t>instrumentumok</w:t>
      </w:r>
      <w:r w:rsidRPr="00FE5851">
        <w:rPr>
          <w:szCs w:val="24"/>
          <w:lang w:val="hu-HU"/>
        </w:rPr>
        <w:t>. Amennyiben egy ügyletnek több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xml:space="preserve">” összetevője van, elvben, minden összetevőt külön-külön kell jelenteni. Az OTC, devizában fennálló származékos nyitott kötésállományt a következőképpen kell meghatározni és osztályozni: </w:t>
      </w:r>
    </w:p>
    <w:p w14:paraId="260FD38C" w14:textId="77777777" w:rsidR="00A856BF" w:rsidRPr="00FE5851" w:rsidRDefault="003C3738" w:rsidP="00A856BF">
      <w:pPr>
        <w:pStyle w:val="IndentedHeading2"/>
        <w:rPr>
          <w:szCs w:val="24"/>
          <w:lang w:val="hu-HU"/>
        </w:rPr>
      </w:pPr>
      <w:bookmarkStart w:id="16" w:name="_Toc89264405"/>
      <w:r>
        <w:rPr>
          <w:szCs w:val="24"/>
          <w:lang w:val="hu-HU"/>
        </w:rPr>
        <w:t>5.1</w:t>
      </w:r>
      <w:r w:rsidR="00A856BF" w:rsidRPr="00FE5851">
        <w:rPr>
          <w:szCs w:val="24"/>
          <w:lang w:val="hu-HU"/>
        </w:rPr>
        <w:tab/>
      </w:r>
      <w:proofErr w:type="spellStart"/>
      <w:r w:rsidR="00A856BF" w:rsidRPr="00FE5851">
        <w:rPr>
          <w:szCs w:val="24"/>
          <w:lang w:val="hu-HU"/>
        </w:rPr>
        <w:t>FX</w:t>
      </w:r>
      <w:proofErr w:type="spellEnd"/>
      <w:r w:rsidR="00A856BF" w:rsidRPr="00FE5851">
        <w:rPr>
          <w:szCs w:val="24"/>
          <w:lang w:val="hu-HU"/>
        </w:rPr>
        <w:t>-ügyletek</w:t>
      </w:r>
      <w:bookmarkEnd w:id="16"/>
    </w:p>
    <w:p w14:paraId="48336F7C" w14:textId="77777777" w:rsidR="00A856BF" w:rsidRPr="00FE5851" w:rsidRDefault="00A856BF" w:rsidP="00A856BF">
      <w:pPr>
        <w:pStyle w:val="Bulletpoint"/>
        <w:numPr>
          <w:ilvl w:val="0"/>
          <w:numId w:val="0"/>
        </w:numPr>
        <w:jc w:val="left"/>
        <w:rPr>
          <w:szCs w:val="24"/>
          <w:lang w:val="hu-HU"/>
        </w:rPr>
      </w:pPr>
      <w:r w:rsidRPr="00FE5851">
        <w:rPr>
          <w:szCs w:val="24"/>
          <w:lang w:val="hu-HU"/>
        </w:rPr>
        <w:t xml:space="preserve">A felmérésben szereplő </w:t>
      </w:r>
      <w:proofErr w:type="spellStart"/>
      <w:r w:rsidRPr="00FE5851">
        <w:rPr>
          <w:szCs w:val="24"/>
          <w:lang w:val="hu-HU"/>
        </w:rPr>
        <w:t>FX</w:t>
      </w:r>
      <w:proofErr w:type="spellEnd"/>
      <w:r w:rsidRPr="00FE5851">
        <w:rPr>
          <w:szCs w:val="24"/>
          <w:lang w:val="hu-HU"/>
        </w:rPr>
        <w:t>-ügyleteket az alábbiak szerint kell meghatározni és osztályozni: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804"/>
      </w:tblGrid>
      <w:tr w:rsidR="00A856BF" w:rsidRPr="00FE5851" w14:paraId="289DEF6E" w14:textId="77777777" w:rsidTr="00AF7EAE">
        <w:tblPrEx>
          <w:tblCellMar>
            <w:top w:w="0" w:type="dxa"/>
            <w:bottom w:w="0" w:type="dxa"/>
          </w:tblCellMar>
        </w:tblPrEx>
        <w:trPr>
          <w:cantSplit/>
          <w:trHeight w:val="1114"/>
        </w:trPr>
        <w:tc>
          <w:tcPr>
            <w:tcW w:w="2376" w:type="dxa"/>
          </w:tcPr>
          <w:p w14:paraId="7848C8C7" w14:textId="77777777" w:rsidR="00A856BF" w:rsidRPr="00FE5851" w:rsidRDefault="00A856BF" w:rsidP="00AF7EAE">
            <w:pPr>
              <w:pStyle w:val="TableRowHeading"/>
              <w:rPr>
                <w:szCs w:val="24"/>
                <w:lang w:val="hu-HU"/>
              </w:rPr>
            </w:pPr>
            <w:r w:rsidRPr="00FE5851">
              <w:rPr>
                <w:szCs w:val="24"/>
                <w:lang w:val="hu-HU"/>
              </w:rPr>
              <w:t xml:space="preserve">Tőzsdén kívüli, </w:t>
            </w:r>
            <w:r>
              <w:rPr>
                <w:szCs w:val="24"/>
                <w:lang w:val="hu-HU"/>
              </w:rPr>
              <w:t>egyszerű</w:t>
            </w:r>
            <w:r w:rsidRPr="00FE5851">
              <w:rPr>
                <w:szCs w:val="24"/>
                <w:lang w:val="hu-HU"/>
              </w:rPr>
              <w:t xml:space="preserve"> határidős ügyletek</w:t>
            </w:r>
            <w:r>
              <w:rPr>
                <w:szCs w:val="24"/>
                <w:lang w:val="hu-HU"/>
              </w:rPr>
              <w:t xml:space="preserve"> (</w:t>
            </w:r>
            <w:proofErr w:type="spellStart"/>
            <w:r>
              <w:rPr>
                <w:szCs w:val="24"/>
                <w:lang w:val="hu-HU"/>
              </w:rPr>
              <w:t>outright</w:t>
            </w:r>
            <w:proofErr w:type="spellEnd"/>
            <w:r>
              <w:rPr>
                <w:szCs w:val="24"/>
                <w:lang w:val="hu-HU"/>
              </w:rPr>
              <w:t xml:space="preserve"> </w:t>
            </w:r>
            <w:proofErr w:type="spellStart"/>
            <w:r>
              <w:rPr>
                <w:szCs w:val="24"/>
                <w:lang w:val="hu-HU"/>
              </w:rPr>
              <w:t>forward</w:t>
            </w:r>
            <w:proofErr w:type="spellEnd"/>
            <w:r>
              <w:rPr>
                <w:szCs w:val="24"/>
                <w:lang w:val="hu-HU"/>
              </w:rPr>
              <w:t>)</w:t>
            </w:r>
          </w:p>
        </w:tc>
        <w:tc>
          <w:tcPr>
            <w:tcW w:w="6804" w:type="dxa"/>
          </w:tcPr>
          <w:p w14:paraId="1B4B673E" w14:textId="77777777" w:rsidR="00A856BF" w:rsidRPr="00FE5851" w:rsidRDefault="00A856BF" w:rsidP="00AF7EAE">
            <w:pPr>
              <w:pStyle w:val="TableText"/>
              <w:framePr w:wrap="auto" w:yAlign="inline"/>
              <w:rPr>
                <w:szCs w:val="24"/>
                <w:lang w:val="hu-HU"/>
              </w:rPr>
            </w:pPr>
            <w:r w:rsidRPr="00FE5851">
              <w:rPr>
                <w:szCs w:val="24"/>
                <w:lang w:val="hu-HU"/>
              </w:rPr>
              <w:t xml:space="preserve">Két devizának egy jövőbeli (két üzleti napnál későbbi) időpontban olyan árfolyamon történő cseréjét jelentő ügylet – adott jövőbeli dátumra vagy időszakra történő leszállítással (készpénzes kiegyenlítéssel) –, amelyben kontraktus megkötésének időpontjában megállapodnak. Ebbe a kategóriába tartoznak a tőzsdén kívüli határidős </w:t>
            </w:r>
            <w:proofErr w:type="spellStart"/>
            <w:r w:rsidRPr="00FE5851">
              <w:rPr>
                <w:szCs w:val="24"/>
                <w:lang w:val="hu-HU"/>
              </w:rPr>
              <w:t>FX</w:t>
            </w:r>
            <w:proofErr w:type="spellEnd"/>
            <w:r w:rsidRPr="00FE5851">
              <w:rPr>
                <w:szCs w:val="24"/>
                <w:lang w:val="hu-HU"/>
              </w:rPr>
              <w:t>-megállapodások, a nem leszállítandó tőzsdén kívüli határidős termékek és egyéb különbözeti kontraktusok.</w:t>
            </w:r>
          </w:p>
          <w:p w14:paraId="36C46D32" w14:textId="77777777" w:rsidR="00A856BF" w:rsidRPr="00FE5851" w:rsidRDefault="00A856BF" w:rsidP="00AF7EAE">
            <w:pPr>
              <w:pStyle w:val="TableText"/>
              <w:framePr w:wrap="auto" w:yAlign="inline"/>
              <w:rPr>
                <w:szCs w:val="24"/>
                <w:lang w:val="hu-HU"/>
              </w:rPr>
            </w:pPr>
            <w:r w:rsidRPr="00FE5851">
              <w:rPr>
                <w:szCs w:val="24"/>
                <w:lang w:val="hu-HU"/>
              </w:rPr>
              <w:t xml:space="preserve">A tőzsdén kívüli </w:t>
            </w:r>
            <w:r>
              <w:rPr>
                <w:szCs w:val="24"/>
                <w:lang w:val="hu-HU"/>
              </w:rPr>
              <w:t>egyszerű</w:t>
            </w:r>
            <w:r w:rsidRPr="00FE5851">
              <w:rPr>
                <w:szCs w:val="24"/>
                <w:lang w:val="hu-HU"/>
              </w:rPr>
              <w:t xml:space="preserve"> határidős </w:t>
            </w:r>
            <w:r>
              <w:rPr>
                <w:szCs w:val="24"/>
                <w:lang w:val="hu-HU"/>
              </w:rPr>
              <w:t>(</w:t>
            </w:r>
            <w:proofErr w:type="spellStart"/>
            <w:r>
              <w:rPr>
                <w:szCs w:val="24"/>
                <w:lang w:val="hu-HU"/>
              </w:rPr>
              <w:t>outright</w:t>
            </w:r>
            <w:proofErr w:type="spellEnd"/>
            <w:r>
              <w:rPr>
                <w:szCs w:val="24"/>
                <w:lang w:val="hu-HU"/>
              </w:rPr>
              <w:t xml:space="preserve"> </w:t>
            </w:r>
            <w:proofErr w:type="spellStart"/>
            <w:r>
              <w:rPr>
                <w:szCs w:val="24"/>
                <w:lang w:val="hu-HU"/>
              </w:rPr>
              <w:t>forward</w:t>
            </w:r>
            <w:proofErr w:type="spellEnd"/>
            <w:r>
              <w:rPr>
                <w:szCs w:val="24"/>
                <w:lang w:val="hu-HU"/>
              </w:rPr>
              <w:t xml:space="preserve">) </w:t>
            </w:r>
            <w:r w:rsidRPr="00FE5851">
              <w:rPr>
                <w:szCs w:val="24"/>
                <w:lang w:val="hu-HU"/>
              </w:rPr>
              <w:t xml:space="preserve">termékekkel általában nem kereskednek szervezett tőzsdéken, és azok szerződéses feltételei nem szabványosítottak. </w:t>
            </w:r>
          </w:p>
        </w:tc>
      </w:tr>
      <w:tr w:rsidR="00A856BF" w:rsidRPr="00FE5851" w14:paraId="701C245C" w14:textId="77777777" w:rsidTr="00AF7EAE">
        <w:tblPrEx>
          <w:tblCellMar>
            <w:top w:w="0" w:type="dxa"/>
            <w:bottom w:w="0" w:type="dxa"/>
          </w:tblCellMar>
        </w:tblPrEx>
        <w:trPr>
          <w:cantSplit/>
          <w:trHeight w:val="2245"/>
        </w:trPr>
        <w:tc>
          <w:tcPr>
            <w:tcW w:w="2376" w:type="dxa"/>
          </w:tcPr>
          <w:p w14:paraId="4DF727C0" w14:textId="77777777" w:rsidR="00A856BF" w:rsidRPr="00FE5851" w:rsidRDefault="00A856BF" w:rsidP="00AF7EAE">
            <w:pPr>
              <w:pStyle w:val="TableRowHeading"/>
              <w:rPr>
                <w:szCs w:val="24"/>
                <w:lang w:val="hu-HU"/>
              </w:rPr>
            </w:pPr>
            <w:proofErr w:type="spellStart"/>
            <w:r w:rsidRPr="00FE5851">
              <w:rPr>
                <w:szCs w:val="24"/>
                <w:lang w:val="hu-HU"/>
              </w:rPr>
              <w:t>FX-swap</w:t>
            </w:r>
            <w:proofErr w:type="spellEnd"/>
            <w:r w:rsidRPr="00FE5851">
              <w:rPr>
                <w:szCs w:val="24"/>
                <w:lang w:val="hu-HU"/>
              </w:rPr>
              <w:t xml:space="preserve"> (</w:t>
            </w:r>
            <w:r>
              <w:rPr>
                <w:szCs w:val="24"/>
                <w:lang w:val="hu-HU"/>
              </w:rPr>
              <w:t xml:space="preserve">deviza </w:t>
            </w:r>
            <w:r w:rsidRPr="00FE5851">
              <w:rPr>
                <w:szCs w:val="24"/>
                <w:lang w:val="hu-HU"/>
              </w:rPr>
              <w:t>csereügylet)</w:t>
            </w:r>
          </w:p>
        </w:tc>
        <w:tc>
          <w:tcPr>
            <w:tcW w:w="6804" w:type="dxa"/>
          </w:tcPr>
          <w:p w14:paraId="1DBCD3F5" w14:textId="77777777" w:rsidR="00A856BF" w:rsidRPr="00FE5851" w:rsidRDefault="00A856BF" w:rsidP="00AF7EAE">
            <w:pPr>
              <w:pStyle w:val="TableText"/>
              <w:framePr w:wrap="around"/>
              <w:rPr>
                <w:szCs w:val="24"/>
                <w:lang w:val="hu-HU"/>
              </w:rPr>
            </w:pPr>
            <w:r w:rsidRPr="00FE5851">
              <w:rPr>
                <w:szCs w:val="24"/>
                <w:lang w:val="hu-HU"/>
              </w:rPr>
              <w:t xml:space="preserve">Két deviza (csak a tőkeösszeg) tényleges, egy adott napon, a szerződéskötéskor kölcsönösen elfogadott árfolyamon történő cseréjét jelentő ügylet („rövid láb”), és ugyanezen két devizának a fordított cseréje későbbi időpontban, a szerződéskötéskor kölcsönösen elfogadott árfolyamon (amely általában más, mint a rövid lábra alkalmazott árfolyam) („hosszú láb”). Mind a spot </w:t>
            </w:r>
            <w:r>
              <w:rPr>
                <w:szCs w:val="24"/>
                <w:lang w:val="hu-HU"/>
              </w:rPr>
              <w:t>/</w:t>
            </w:r>
            <w:r w:rsidRPr="00FE5851">
              <w:rPr>
                <w:szCs w:val="24"/>
                <w:lang w:val="hu-HU"/>
              </w:rPr>
              <w:t xml:space="preserve">határidős, mind a határidős/ határidős </w:t>
            </w:r>
            <w:proofErr w:type="spellStart"/>
            <w:r w:rsidRPr="00FE5851">
              <w:rPr>
                <w:szCs w:val="24"/>
                <w:lang w:val="hu-HU"/>
              </w:rPr>
              <w:t>swapokat</w:t>
            </w:r>
            <w:proofErr w:type="spellEnd"/>
            <w:r w:rsidRPr="00FE5851">
              <w:rPr>
                <w:szCs w:val="24"/>
                <w:lang w:val="hu-HU"/>
              </w:rPr>
              <w:t xml:space="preserve"> figyelembe kell venni. </w:t>
            </w:r>
            <w:r w:rsidRPr="00E10153">
              <w:rPr>
                <w:szCs w:val="24"/>
                <w:lang w:val="hu-HU"/>
              </w:rPr>
              <w:t>A</w:t>
            </w:r>
            <w:r>
              <w:rPr>
                <w:szCs w:val="24"/>
                <w:lang w:val="hu-HU"/>
              </w:rPr>
              <w:t>z „</w:t>
            </w:r>
            <w:proofErr w:type="spellStart"/>
            <w:r>
              <w:rPr>
                <w:szCs w:val="24"/>
                <w:lang w:val="hu-HU"/>
              </w:rPr>
              <w:t>overnight</w:t>
            </w:r>
            <w:proofErr w:type="spellEnd"/>
            <w:r>
              <w:rPr>
                <w:szCs w:val="24"/>
                <w:lang w:val="hu-HU"/>
              </w:rPr>
              <w:t>” (O/N), „spot/</w:t>
            </w:r>
            <w:proofErr w:type="spellStart"/>
            <w:r>
              <w:rPr>
                <w:szCs w:val="24"/>
                <w:lang w:val="hu-HU"/>
              </w:rPr>
              <w:t>next</w:t>
            </w:r>
            <w:proofErr w:type="spellEnd"/>
            <w:r>
              <w:rPr>
                <w:szCs w:val="24"/>
                <w:lang w:val="hu-HU"/>
              </w:rPr>
              <w:t>”,</w:t>
            </w:r>
            <w:r w:rsidRPr="00E10153">
              <w:rPr>
                <w:szCs w:val="24"/>
                <w:lang w:val="hu-HU"/>
              </w:rPr>
              <w:t xml:space="preserve"> „tom/</w:t>
            </w:r>
            <w:proofErr w:type="spellStart"/>
            <w:r w:rsidRPr="00E10153">
              <w:rPr>
                <w:szCs w:val="24"/>
                <w:lang w:val="hu-HU"/>
              </w:rPr>
              <w:t>next</w:t>
            </w:r>
            <w:proofErr w:type="spellEnd"/>
            <w:r w:rsidRPr="00E10153">
              <w:rPr>
                <w:szCs w:val="24"/>
                <w:lang w:val="hu-HU"/>
              </w:rPr>
              <w:t>” tranzakcióként végrehajtott rövid lejáratú csereügyleteket is ebbe a kategóriába kell sorolni.</w:t>
            </w:r>
          </w:p>
        </w:tc>
      </w:tr>
      <w:tr w:rsidR="00A856BF" w:rsidRPr="00FE5851" w14:paraId="4A07FCE3" w14:textId="77777777" w:rsidTr="00AF7EAE">
        <w:tblPrEx>
          <w:tblCellMar>
            <w:top w:w="0" w:type="dxa"/>
            <w:bottom w:w="0" w:type="dxa"/>
          </w:tblCellMar>
        </w:tblPrEx>
        <w:trPr>
          <w:cantSplit/>
        </w:trPr>
        <w:tc>
          <w:tcPr>
            <w:tcW w:w="2376" w:type="dxa"/>
          </w:tcPr>
          <w:p w14:paraId="02ABCCC5" w14:textId="77777777" w:rsidR="00A856BF" w:rsidRPr="00FE5851" w:rsidRDefault="00A856BF" w:rsidP="00AF7EAE">
            <w:pPr>
              <w:pStyle w:val="TableRowHeading"/>
              <w:rPr>
                <w:szCs w:val="24"/>
                <w:lang w:val="hu-HU"/>
              </w:rPr>
            </w:pPr>
            <w:r>
              <w:rPr>
                <w:szCs w:val="24"/>
                <w:lang w:val="hu-HU"/>
              </w:rPr>
              <w:t>Kamatozó d</w:t>
            </w:r>
            <w:r w:rsidRPr="00FE5851">
              <w:rPr>
                <w:szCs w:val="24"/>
                <w:lang w:val="hu-HU"/>
              </w:rPr>
              <w:t>evizacsere</w:t>
            </w:r>
            <w:r>
              <w:rPr>
                <w:szCs w:val="24"/>
                <w:lang w:val="hu-HU"/>
              </w:rPr>
              <w:t xml:space="preserve"> </w:t>
            </w:r>
            <w:r w:rsidRPr="00FE5851">
              <w:rPr>
                <w:szCs w:val="24"/>
                <w:lang w:val="hu-HU"/>
              </w:rPr>
              <w:t>ügyletek (</w:t>
            </w:r>
            <w:proofErr w:type="spellStart"/>
            <w:r>
              <w:rPr>
                <w:szCs w:val="24"/>
                <w:lang w:val="hu-HU"/>
              </w:rPr>
              <w:t>Cross</w:t>
            </w:r>
            <w:proofErr w:type="spellEnd"/>
            <w:r>
              <w:rPr>
                <w:szCs w:val="24"/>
                <w:lang w:val="hu-HU"/>
              </w:rPr>
              <w:t xml:space="preserve"> </w:t>
            </w:r>
            <w:proofErr w:type="spellStart"/>
            <w:r>
              <w:rPr>
                <w:szCs w:val="24"/>
                <w:lang w:val="hu-HU"/>
              </w:rPr>
              <w:t>Currency</w:t>
            </w:r>
            <w:proofErr w:type="spellEnd"/>
            <w:r>
              <w:rPr>
                <w:szCs w:val="24"/>
                <w:lang w:val="hu-HU"/>
              </w:rPr>
              <w:t xml:space="preserve"> Interest </w:t>
            </w:r>
            <w:proofErr w:type="spellStart"/>
            <w:r>
              <w:rPr>
                <w:szCs w:val="24"/>
                <w:lang w:val="hu-HU"/>
              </w:rPr>
              <w:t>Rate</w:t>
            </w:r>
            <w:proofErr w:type="spellEnd"/>
            <w:r>
              <w:rPr>
                <w:szCs w:val="24"/>
                <w:lang w:val="hu-HU"/>
              </w:rPr>
              <w:t xml:space="preserve"> </w:t>
            </w:r>
            <w:proofErr w:type="spellStart"/>
            <w:r>
              <w:rPr>
                <w:szCs w:val="24"/>
                <w:lang w:val="hu-HU"/>
              </w:rPr>
              <w:t>Swaps</w:t>
            </w:r>
            <w:proofErr w:type="spellEnd"/>
            <w:r>
              <w:rPr>
                <w:szCs w:val="24"/>
                <w:lang w:val="hu-HU"/>
              </w:rPr>
              <w:t>)</w:t>
            </w:r>
          </w:p>
        </w:tc>
        <w:tc>
          <w:tcPr>
            <w:tcW w:w="6804" w:type="dxa"/>
          </w:tcPr>
          <w:p w14:paraId="13DB520C" w14:textId="77777777" w:rsidR="00A856BF" w:rsidRPr="00FE5851" w:rsidRDefault="00A856BF" w:rsidP="00AF7EAE">
            <w:pPr>
              <w:pStyle w:val="TableText"/>
              <w:framePr w:wrap="auto" w:yAlign="inline"/>
              <w:spacing w:before="0" w:after="0"/>
              <w:rPr>
                <w:szCs w:val="24"/>
                <w:lang w:val="hu-HU"/>
              </w:rPr>
            </w:pPr>
            <w:r w:rsidRPr="00FE5851">
              <w:rPr>
                <w:szCs w:val="24"/>
                <w:lang w:val="hu-HU"/>
              </w:rPr>
              <w:t>Kontraktus, amely két felet különböző devizákban történő kamatfizetés-áramlás cseréjére kötelez egy adott időperiódusban, illetve lejáratkori tőkecserére kötelezi őket egy előre meghatározott árfolyamon.</w:t>
            </w:r>
          </w:p>
          <w:p w14:paraId="5FE75DD7" w14:textId="77777777" w:rsidR="00A856BF" w:rsidRPr="00FE5851" w:rsidRDefault="00A856BF" w:rsidP="00AF7EAE">
            <w:pPr>
              <w:pStyle w:val="TableText"/>
              <w:framePr w:wrap="auto" w:yAlign="inline"/>
              <w:spacing w:before="0" w:after="0"/>
              <w:rPr>
                <w:szCs w:val="24"/>
                <w:lang w:val="hu-HU"/>
              </w:rPr>
            </w:pPr>
          </w:p>
        </w:tc>
      </w:tr>
      <w:tr w:rsidR="00A856BF" w:rsidRPr="00FE5851" w14:paraId="1A3479BE" w14:textId="77777777" w:rsidTr="00AF7EAE">
        <w:tblPrEx>
          <w:tblCellMar>
            <w:top w:w="0" w:type="dxa"/>
            <w:bottom w:w="0" w:type="dxa"/>
          </w:tblCellMar>
        </w:tblPrEx>
        <w:trPr>
          <w:cantSplit/>
        </w:trPr>
        <w:tc>
          <w:tcPr>
            <w:tcW w:w="2376" w:type="dxa"/>
          </w:tcPr>
          <w:p w14:paraId="2F7D6D01" w14:textId="77777777" w:rsidR="00A856BF" w:rsidRPr="00FE5851" w:rsidRDefault="00A856BF" w:rsidP="00AF7EAE">
            <w:pPr>
              <w:pStyle w:val="TableRowHeading"/>
              <w:rPr>
                <w:szCs w:val="24"/>
                <w:lang w:val="hu-HU"/>
              </w:rPr>
            </w:pPr>
            <w:r w:rsidRPr="00FE5851">
              <w:rPr>
                <w:szCs w:val="24"/>
                <w:lang w:val="hu-HU"/>
              </w:rPr>
              <w:t>Tőzsdén kívüli (OTC) opciós ügyletek</w:t>
            </w:r>
          </w:p>
        </w:tc>
        <w:tc>
          <w:tcPr>
            <w:tcW w:w="6804" w:type="dxa"/>
          </w:tcPr>
          <w:p w14:paraId="79CB7F59" w14:textId="77777777" w:rsidR="00A856BF" w:rsidRPr="00FE5851" w:rsidRDefault="00A856BF" w:rsidP="00AF7EAE">
            <w:pPr>
              <w:autoSpaceDE w:val="0"/>
              <w:autoSpaceDN w:val="0"/>
              <w:adjustRightInd w:val="0"/>
              <w:rPr>
                <w:szCs w:val="24"/>
                <w:lang w:val="hu-HU"/>
              </w:rPr>
            </w:pPr>
            <w:r w:rsidRPr="00FE5851">
              <w:rPr>
                <w:szCs w:val="24"/>
                <w:lang w:val="hu-HU"/>
              </w:rPr>
              <w:t xml:space="preserve">Vételi vagy eladási jogot / kötelezettséget biztosít egy adott devizára egy másik deviza ellenében egy, a szerződésben előre meghatározott árfolyamon, egy előre meghatározott időszak folyamán. Idetartoznak az egzotikus devizaopciók is, mint pl. az átlagáras vagy </w:t>
            </w:r>
            <w:proofErr w:type="spellStart"/>
            <w:r w:rsidRPr="00FE5851">
              <w:rPr>
                <w:szCs w:val="24"/>
                <w:lang w:val="hu-HU"/>
              </w:rPr>
              <w:t>limitáras</w:t>
            </w:r>
            <w:proofErr w:type="spellEnd"/>
            <w:r w:rsidRPr="00FE5851">
              <w:rPr>
                <w:szCs w:val="24"/>
                <w:lang w:val="hu-HU"/>
              </w:rPr>
              <w:t xml:space="preserve"> opciók.</w:t>
            </w:r>
          </w:p>
          <w:p w14:paraId="0EE17E2F" w14:textId="77777777" w:rsidR="00A856BF" w:rsidRPr="00FE5851" w:rsidRDefault="00A856BF" w:rsidP="00AF7EAE">
            <w:pPr>
              <w:pStyle w:val="TableText"/>
              <w:framePr w:wrap="auto" w:yAlign="inline"/>
              <w:rPr>
                <w:szCs w:val="24"/>
                <w:lang w:val="hu-HU"/>
              </w:rPr>
            </w:pPr>
            <w:r w:rsidRPr="00FE5851">
              <w:rPr>
                <w:szCs w:val="24"/>
                <w:lang w:val="hu-HU"/>
              </w:rPr>
              <w:t xml:space="preserve">Tőzsdén kívüli (OTC) opciós ügyletek </w:t>
            </w:r>
            <w:r>
              <w:rPr>
                <w:szCs w:val="24"/>
                <w:lang w:val="hu-HU"/>
              </w:rPr>
              <w:t>közé tartoznak az alábbi instrumentumok is</w:t>
            </w:r>
            <w:r w:rsidRPr="00FE5851">
              <w:rPr>
                <w:szCs w:val="24"/>
                <w:lang w:val="hu-HU"/>
              </w:rPr>
              <w:t>:</w:t>
            </w:r>
          </w:p>
          <w:p w14:paraId="7BB2867F" w14:textId="77777777" w:rsidR="00A856BF" w:rsidRPr="00FE5851" w:rsidRDefault="00A856BF" w:rsidP="00AF7EAE">
            <w:pPr>
              <w:pStyle w:val="TableText"/>
              <w:framePr w:wrap="auto" w:yAlign="inline"/>
              <w:numPr>
                <w:ilvl w:val="0"/>
                <w:numId w:val="36"/>
              </w:numPr>
              <w:tabs>
                <w:tab w:val="clear" w:pos="710"/>
                <w:tab w:val="num" w:pos="318"/>
              </w:tabs>
              <w:ind w:hanging="676"/>
              <w:rPr>
                <w:szCs w:val="24"/>
                <w:lang w:val="hu-HU"/>
              </w:rPr>
            </w:pPr>
            <w:r w:rsidRPr="00FE5851">
              <w:rPr>
                <w:szCs w:val="24"/>
                <w:lang w:val="hu-HU"/>
              </w:rPr>
              <w:t>Deviza</w:t>
            </w:r>
            <w:r>
              <w:rPr>
                <w:szCs w:val="24"/>
                <w:lang w:val="hu-HU"/>
              </w:rPr>
              <w:t xml:space="preserve"> </w:t>
            </w:r>
            <w:proofErr w:type="spellStart"/>
            <w:r>
              <w:rPr>
                <w:szCs w:val="24"/>
                <w:lang w:val="hu-HU"/>
              </w:rPr>
              <w:t>swa</w:t>
            </w:r>
            <w:r w:rsidRPr="00FE5851">
              <w:rPr>
                <w:szCs w:val="24"/>
                <w:lang w:val="hu-HU"/>
              </w:rPr>
              <w:t>pció</w:t>
            </w:r>
            <w:proofErr w:type="spellEnd"/>
            <w:r w:rsidRPr="00FE5851">
              <w:rPr>
                <w:szCs w:val="24"/>
                <w:lang w:val="hu-HU"/>
              </w:rPr>
              <w:t xml:space="preserve">: Tőzsdén kívüli (OTC) opció </w:t>
            </w:r>
            <w:proofErr w:type="spellStart"/>
            <w:r>
              <w:rPr>
                <w:szCs w:val="24"/>
                <w:lang w:val="hu-HU"/>
              </w:rPr>
              <w:t>FX</w:t>
            </w:r>
            <w:proofErr w:type="spellEnd"/>
            <w:r>
              <w:rPr>
                <w:szCs w:val="24"/>
                <w:lang w:val="hu-HU"/>
              </w:rPr>
              <w:t xml:space="preserve"> </w:t>
            </w:r>
            <w:proofErr w:type="spellStart"/>
            <w:r>
              <w:rPr>
                <w:szCs w:val="24"/>
                <w:lang w:val="hu-HU"/>
              </w:rPr>
              <w:t>swap</w:t>
            </w:r>
            <w:proofErr w:type="spellEnd"/>
            <w:r w:rsidRPr="00FE5851">
              <w:rPr>
                <w:szCs w:val="24"/>
                <w:lang w:val="hu-HU"/>
              </w:rPr>
              <w:t>-szerződés megkötésére</w:t>
            </w:r>
          </w:p>
          <w:p w14:paraId="0ADEA389" w14:textId="77777777" w:rsidR="00A856BF" w:rsidRPr="00FE5851" w:rsidRDefault="00A856BF" w:rsidP="00AF7EAE">
            <w:pPr>
              <w:pStyle w:val="TableText"/>
              <w:framePr w:wrap="auto" w:yAlign="inline"/>
              <w:numPr>
                <w:ilvl w:val="0"/>
                <w:numId w:val="36"/>
              </w:numPr>
              <w:tabs>
                <w:tab w:val="clear" w:pos="710"/>
                <w:tab w:val="num" w:pos="318"/>
              </w:tabs>
              <w:ind w:hanging="676"/>
              <w:rPr>
                <w:szCs w:val="24"/>
                <w:lang w:val="hu-HU"/>
              </w:rPr>
            </w:pPr>
            <w:r w:rsidRPr="00FE5851">
              <w:rPr>
                <w:szCs w:val="24"/>
                <w:lang w:val="hu-HU"/>
              </w:rPr>
              <w:t>Deviza</w:t>
            </w:r>
            <w:r>
              <w:rPr>
                <w:szCs w:val="24"/>
                <w:lang w:val="hu-HU"/>
              </w:rPr>
              <w:t xml:space="preserve"> </w:t>
            </w:r>
            <w:proofErr w:type="spellStart"/>
            <w:r>
              <w:rPr>
                <w:szCs w:val="24"/>
                <w:lang w:val="hu-HU"/>
              </w:rPr>
              <w:t>warrant</w:t>
            </w:r>
            <w:proofErr w:type="spellEnd"/>
            <w:r w:rsidRPr="00FE5851">
              <w:rPr>
                <w:szCs w:val="24"/>
                <w:lang w:val="hu-HU"/>
              </w:rPr>
              <w:t>: Hosszú (éven túli) lejáratú, tőzsdén kívüli (OTC) devizaopció.</w:t>
            </w:r>
          </w:p>
        </w:tc>
      </w:tr>
      <w:tr w:rsidR="00A856BF" w:rsidRPr="00FE5851" w14:paraId="3A31031C" w14:textId="77777777" w:rsidTr="00AF7EAE">
        <w:tblPrEx>
          <w:tblCellMar>
            <w:top w:w="0" w:type="dxa"/>
            <w:bottom w:w="0" w:type="dxa"/>
          </w:tblCellMar>
        </w:tblPrEx>
        <w:trPr>
          <w:cantSplit/>
        </w:trPr>
        <w:tc>
          <w:tcPr>
            <w:tcW w:w="2376" w:type="dxa"/>
          </w:tcPr>
          <w:p w14:paraId="6A2F1FA0" w14:textId="77777777" w:rsidR="00A856BF" w:rsidRPr="00FE5851" w:rsidRDefault="00A856BF" w:rsidP="00AF7EAE">
            <w:pPr>
              <w:pStyle w:val="TableRowHeading"/>
              <w:rPr>
                <w:szCs w:val="24"/>
                <w:lang w:val="hu-HU"/>
              </w:rPr>
            </w:pPr>
            <w:r w:rsidRPr="00FE5851">
              <w:rPr>
                <w:szCs w:val="24"/>
                <w:lang w:val="hu-HU"/>
              </w:rPr>
              <w:t>Egyéb termékek</w:t>
            </w:r>
          </w:p>
        </w:tc>
        <w:tc>
          <w:tcPr>
            <w:tcW w:w="6804" w:type="dxa"/>
          </w:tcPr>
          <w:p w14:paraId="2CDD2068" w14:textId="77777777" w:rsidR="00A856BF" w:rsidRPr="00FE5851" w:rsidRDefault="00A856BF" w:rsidP="00AF7EAE">
            <w:pPr>
              <w:pStyle w:val="TableText"/>
              <w:framePr w:wrap="auto" w:yAlign="inline"/>
              <w:rPr>
                <w:szCs w:val="24"/>
                <w:lang w:val="hu-HU"/>
              </w:rPr>
            </w:pPr>
            <w:r w:rsidRPr="00FE5851">
              <w:rPr>
                <w:szCs w:val="24"/>
                <w:lang w:val="hu-HU"/>
              </w:rPr>
              <w:t>Az egyéb származékos termékek olyan instrumentumok, amelyeket nem lehet lebontani egyedi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xml:space="preserve">” </w:t>
            </w:r>
            <w:r>
              <w:rPr>
                <w:szCs w:val="24"/>
                <w:lang w:val="hu-HU"/>
              </w:rPr>
              <w:t>instrumentumok</w:t>
            </w:r>
            <w:r w:rsidRPr="00FE5851">
              <w:rPr>
                <w:szCs w:val="24"/>
                <w:lang w:val="hu-HU"/>
              </w:rPr>
              <w:t>r</w:t>
            </w:r>
            <w:r>
              <w:rPr>
                <w:szCs w:val="24"/>
                <w:lang w:val="hu-HU"/>
              </w:rPr>
              <w:t>a</w:t>
            </w:r>
            <w:r w:rsidRPr="00FE5851">
              <w:rPr>
                <w:szCs w:val="24"/>
                <w:lang w:val="hu-HU"/>
              </w:rPr>
              <w:t>, például tőzsdén kívüli határidős, csere- vagy opciós ügyletekre, vagy az célszerűtlen, a gyakorlatban megvalósíthatatlan lenne. Az „egyéb” termékek egy példája az a csereügylet, amelyben a névleges tőkéétől különböző devizákban denominált kamat</w:t>
            </w:r>
            <w:r>
              <w:rPr>
                <w:szCs w:val="24"/>
                <w:lang w:val="hu-HU"/>
              </w:rPr>
              <w:t>láb alapján</w:t>
            </w:r>
            <w:r w:rsidRPr="00FE5851">
              <w:rPr>
                <w:szCs w:val="24"/>
                <w:lang w:val="hu-HU"/>
              </w:rPr>
              <w:t xml:space="preserve"> </w:t>
            </w:r>
            <w:r>
              <w:rPr>
                <w:szCs w:val="24"/>
                <w:lang w:val="hu-HU"/>
              </w:rPr>
              <w:t xml:space="preserve">történnek </w:t>
            </w:r>
            <w:proofErr w:type="gramStart"/>
            <w:r>
              <w:rPr>
                <w:szCs w:val="24"/>
                <w:lang w:val="hu-HU"/>
              </w:rPr>
              <w:t>fix,</w:t>
            </w:r>
            <w:proofErr w:type="gramEnd"/>
            <w:r w:rsidRPr="00FE5851">
              <w:rPr>
                <w:szCs w:val="24"/>
                <w:lang w:val="hu-HU"/>
              </w:rPr>
              <w:t xml:space="preserve"> vagy változó kamatozású kifizetések (különbözeti </w:t>
            </w:r>
            <w:proofErr w:type="spellStart"/>
            <w:r>
              <w:rPr>
                <w:szCs w:val="24"/>
                <w:lang w:val="hu-HU"/>
              </w:rPr>
              <w:t>swapok</w:t>
            </w:r>
            <w:proofErr w:type="spellEnd"/>
            <w:r w:rsidRPr="00FE5851">
              <w:rPr>
                <w:szCs w:val="24"/>
                <w:lang w:val="hu-HU"/>
              </w:rPr>
              <w:t>).</w:t>
            </w:r>
          </w:p>
        </w:tc>
      </w:tr>
    </w:tbl>
    <w:p w14:paraId="05510E09" w14:textId="77777777" w:rsidR="00A856BF" w:rsidRPr="00FE5851" w:rsidRDefault="00A856BF" w:rsidP="00A856BF">
      <w:pPr>
        <w:pStyle w:val="Paragraph"/>
        <w:spacing w:before="360"/>
        <w:rPr>
          <w:szCs w:val="24"/>
          <w:lang w:val="hu-HU"/>
        </w:rPr>
      </w:pPr>
      <w:r w:rsidRPr="00FE5851">
        <w:rPr>
          <w:szCs w:val="24"/>
          <w:lang w:val="hu-HU"/>
        </w:rPr>
        <w:t>A tőzsdén kívüli (OTC) származtatott devizaügyletek</w:t>
      </w:r>
      <w:r>
        <w:rPr>
          <w:szCs w:val="24"/>
          <w:lang w:val="hu-HU"/>
        </w:rPr>
        <w:t xml:space="preserve"> általában</w:t>
      </w:r>
      <w:r w:rsidRPr="00FE5851">
        <w:rPr>
          <w:szCs w:val="24"/>
          <w:lang w:val="hu-HU"/>
        </w:rPr>
        <w:t xml:space="preserve"> három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instrumentumra (</w:t>
      </w:r>
      <w:r>
        <w:rPr>
          <w:szCs w:val="24"/>
          <w:lang w:val="hu-HU"/>
        </w:rPr>
        <w:t>egyszerű</w:t>
      </w:r>
      <w:r w:rsidRPr="00FE5851">
        <w:rPr>
          <w:szCs w:val="24"/>
          <w:lang w:val="hu-HU"/>
        </w:rPr>
        <w:t xml:space="preserve"> határidős, </w:t>
      </w:r>
      <w:proofErr w:type="spellStart"/>
      <w:r w:rsidRPr="00FE5851">
        <w:rPr>
          <w:szCs w:val="24"/>
          <w:lang w:val="hu-HU"/>
        </w:rPr>
        <w:t>swap</w:t>
      </w:r>
      <w:proofErr w:type="spellEnd"/>
      <w:r w:rsidRPr="00FE5851">
        <w:rPr>
          <w:szCs w:val="24"/>
          <w:lang w:val="hu-HU"/>
        </w:rPr>
        <w:t>- és opciós ügyletre) bonthatók. A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xml:space="preserve">” instrumentumok likvid piacokon, többé-kevésbé szabványosított szerződések és piaci konvenciók szerint kereskedett </w:t>
      </w:r>
      <w:r>
        <w:rPr>
          <w:szCs w:val="24"/>
          <w:lang w:val="hu-HU"/>
        </w:rPr>
        <w:t>instrumentumok</w:t>
      </w:r>
      <w:r w:rsidRPr="00FE5851">
        <w:rPr>
          <w:szCs w:val="24"/>
          <w:lang w:val="hu-HU"/>
        </w:rPr>
        <w:t>. Amennyiben egy ügyletnek több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xml:space="preserve">” összetevője van, </w:t>
      </w:r>
      <w:r>
        <w:rPr>
          <w:szCs w:val="24"/>
          <w:lang w:val="hu-HU"/>
        </w:rPr>
        <w:t>lehetőség szerint</w:t>
      </w:r>
      <w:r w:rsidRPr="00FE5851">
        <w:rPr>
          <w:szCs w:val="24"/>
          <w:lang w:val="hu-HU"/>
        </w:rPr>
        <w:t xml:space="preserve"> minden összetevőt külön-külön kell jelenteni. </w:t>
      </w:r>
    </w:p>
    <w:p w14:paraId="11941FFA" w14:textId="77777777" w:rsidR="00A856BF" w:rsidRPr="00FE5851" w:rsidRDefault="00A856BF" w:rsidP="00A856BF">
      <w:pPr>
        <w:pStyle w:val="Paragraph"/>
        <w:rPr>
          <w:szCs w:val="24"/>
          <w:lang w:val="hu-HU"/>
        </w:rPr>
      </w:pPr>
      <w:r w:rsidRPr="00FE5851">
        <w:rPr>
          <w:szCs w:val="24"/>
          <w:lang w:val="hu-HU"/>
        </w:rPr>
        <w:t>Elvben a nem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termékek is felbonthatók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xml:space="preserve">” összetevőikre. Ha ez nem lehetséges, akkor a tőzsdén kívüli opciókra vonatkozó rész élvez elsőbbséget az eszközbesorolásban, ezért minden, beágyazott opcióval rendelkező deviza származékos terméket tőzsdén kívüli (OTC) opcióként kell jelenteni. Az összes többi tőzsdén kívüli (OTC) deviza származékos terméket a tőzsdén kívüli határidős ügyletek vagy </w:t>
      </w:r>
      <w:r>
        <w:rPr>
          <w:szCs w:val="24"/>
          <w:lang w:val="hu-HU"/>
        </w:rPr>
        <w:t xml:space="preserve">deviza </w:t>
      </w:r>
      <w:proofErr w:type="spellStart"/>
      <w:r>
        <w:rPr>
          <w:szCs w:val="24"/>
          <w:lang w:val="hu-HU"/>
        </w:rPr>
        <w:t>swap</w:t>
      </w:r>
      <w:r w:rsidRPr="00FE5851">
        <w:rPr>
          <w:szCs w:val="24"/>
          <w:lang w:val="hu-HU"/>
        </w:rPr>
        <w:t>ügyletek</w:t>
      </w:r>
      <w:proofErr w:type="spellEnd"/>
      <w:r w:rsidRPr="00FE5851">
        <w:rPr>
          <w:szCs w:val="24"/>
          <w:lang w:val="hu-HU"/>
        </w:rPr>
        <w:t xml:space="preserve"> részben kell jelenteni. </w:t>
      </w:r>
    </w:p>
    <w:p w14:paraId="7A9B6FD7" w14:textId="77777777" w:rsidR="00A856BF" w:rsidRPr="00FE5851" w:rsidRDefault="003C3738" w:rsidP="00A856BF">
      <w:pPr>
        <w:pStyle w:val="IndentedHeading2"/>
        <w:spacing w:after="240"/>
        <w:rPr>
          <w:szCs w:val="24"/>
          <w:lang w:val="hu-HU"/>
        </w:rPr>
      </w:pPr>
      <w:bookmarkStart w:id="17" w:name="_Toc89264406"/>
      <w:r>
        <w:rPr>
          <w:szCs w:val="24"/>
          <w:lang w:val="hu-HU"/>
        </w:rPr>
        <w:t>5.2</w:t>
      </w:r>
      <w:r w:rsidR="00A856BF" w:rsidRPr="00FE5851">
        <w:rPr>
          <w:szCs w:val="24"/>
          <w:lang w:val="hu-HU"/>
        </w:rPr>
        <w:tab/>
        <w:t>Egydevizás kamatlábalapú származékos ügyletek</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694"/>
      </w:tblGrid>
      <w:tr w:rsidR="00A856BF" w:rsidRPr="00FE5851" w14:paraId="3E6064FB" w14:textId="77777777" w:rsidTr="00AF7EAE">
        <w:tblPrEx>
          <w:tblCellMar>
            <w:top w:w="0" w:type="dxa"/>
            <w:bottom w:w="0" w:type="dxa"/>
          </w:tblCellMar>
        </w:tblPrEx>
        <w:trPr>
          <w:cantSplit/>
        </w:trPr>
        <w:tc>
          <w:tcPr>
            <w:tcW w:w="2376" w:type="dxa"/>
          </w:tcPr>
          <w:p w14:paraId="381E89E3" w14:textId="77777777" w:rsidR="00A856BF" w:rsidRPr="00FE5851" w:rsidRDefault="00A856BF" w:rsidP="00AF7EAE">
            <w:pPr>
              <w:pStyle w:val="TableRowHeading"/>
              <w:rPr>
                <w:szCs w:val="24"/>
                <w:lang w:val="hu-HU"/>
              </w:rPr>
            </w:pPr>
            <w:r w:rsidRPr="00FE5851">
              <w:rPr>
                <w:szCs w:val="24"/>
                <w:lang w:val="hu-HU"/>
              </w:rPr>
              <w:t>Határidős kamatláb-megállapodás (</w:t>
            </w:r>
            <w:proofErr w:type="spellStart"/>
            <w:r w:rsidRPr="00FE5851">
              <w:rPr>
                <w:szCs w:val="24"/>
                <w:lang w:val="hu-HU"/>
              </w:rPr>
              <w:t>FRA</w:t>
            </w:r>
            <w:proofErr w:type="spellEnd"/>
            <w:r w:rsidRPr="00FE5851">
              <w:rPr>
                <w:szCs w:val="24"/>
                <w:lang w:val="hu-HU"/>
              </w:rPr>
              <w:t>):</w:t>
            </w:r>
          </w:p>
        </w:tc>
        <w:tc>
          <w:tcPr>
            <w:tcW w:w="6694" w:type="dxa"/>
          </w:tcPr>
          <w:p w14:paraId="069C89D5" w14:textId="77777777" w:rsidR="00A856BF" w:rsidRPr="00FE5851" w:rsidRDefault="00A856BF" w:rsidP="00AF7EAE">
            <w:pPr>
              <w:pStyle w:val="TableText"/>
              <w:framePr w:wrap="auto" w:yAlign="inline"/>
              <w:rPr>
                <w:szCs w:val="24"/>
                <w:lang w:val="hu-HU"/>
              </w:rPr>
            </w:pPr>
            <w:r w:rsidRPr="00FE5851">
              <w:rPr>
                <w:szCs w:val="24"/>
                <w:lang w:val="hu-HU"/>
              </w:rPr>
              <w:t xml:space="preserve">Határidős kamatlábkontraktus, amelyben egy konkrét kötelezettség után rögzített ideig, valamely jövőbeli időponttól kezdődően fizetendő vagy kapott kamat mértékét a szerződés kezdeményezésekor határozzák meg. </w:t>
            </w:r>
          </w:p>
        </w:tc>
      </w:tr>
      <w:tr w:rsidR="00A856BF" w:rsidRPr="00FE5851" w14:paraId="1F0BF9EC" w14:textId="77777777" w:rsidTr="00AF7EAE">
        <w:tblPrEx>
          <w:tblCellMar>
            <w:top w:w="0" w:type="dxa"/>
            <w:bottom w:w="0" w:type="dxa"/>
          </w:tblCellMar>
        </w:tblPrEx>
        <w:trPr>
          <w:cantSplit/>
        </w:trPr>
        <w:tc>
          <w:tcPr>
            <w:tcW w:w="2376" w:type="dxa"/>
          </w:tcPr>
          <w:p w14:paraId="130EB84B" w14:textId="77777777" w:rsidR="00A856BF" w:rsidRPr="00FE5851" w:rsidRDefault="00A856BF" w:rsidP="00AF7EAE">
            <w:pPr>
              <w:pStyle w:val="TableRowHeading"/>
              <w:rPr>
                <w:szCs w:val="24"/>
                <w:lang w:val="hu-HU"/>
              </w:rPr>
            </w:pPr>
            <w:r>
              <w:rPr>
                <w:szCs w:val="24"/>
                <w:lang w:val="hu-HU"/>
              </w:rPr>
              <w:t>Deviza kamatc</w:t>
            </w:r>
            <w:r w:rsidRPr="00FE5851">
              <w:rPr>
                <w:szCs w:val="24"/>
                <w:lang w:val="hu-HU"/>
              </w:rPr>
              <w:t>sere</w:t>
            </w:r>
            <w:r>
              <w:rPr>
                <w:szCs w:val="24"/>
                <w:lang w:val="hu-HU"/>
              </w:rPr>
              <w:t xml:space="preserve"> </w:t>
            </w:r>
            <w:r w:rsidRPr="00FE5851">
              <w:rPr>
                <w:szCs w:val="24"/>
                <w:lang w:val="hu-HU"/>
              </w:rPr>
              <w:t>ügyletek (</w:t>
            </w:r>
            <w:proofErr w:type="spellStart"/>
            <w:r>
              <w:rPr>
                <w:szCs w:val="24"/>
                <w:lang w:val="hu-HU"/>
              </w:rPr>
              <w:t>kamat</w:t>
            </w:r>
            <w:r w:rsidRPr="00FE5851">
              <w:rPr>
                <w:szCs w:val="24"/>
                <w:lang w:val="hu-HU"/>
              </w:rPr>
              <w:t>swapok</w:t>
            </w:r>
            <w:proofErr w:type="spellEnd"/>
            <w:r w:rsidRPr="00FE5851">
              <w:rPr>
                <w:szCs w:val="24"/>
                <w:lang w:val="hu-HU"/>
              </w:rPr>
              <w:t>):</w:t>
            </w:r>
          </w:p>
        </w:tc>
        <w:tc>
          <w:tcPr>
            <w:tcW w:w="6694" w:type="dxa"/>
          </w:tcPr>
          <w:p w14:paraId="36C0D72F" w14:textId="77777777" w:rsidR="00A856BF" w:rsidRPr="00FE5851" w:rsidRDefault="00A856BF" w:rsidP="00AF7EAE">
            <w:pPr>
              <w:pStyle w:val="TableText"/>
              <w:framePr w:wrap="auto" w:yAlign="inline"/>
              <w:rPr>
                <w:szCs w:val="24"/>
                <w:lang w:val="hu-HU"/>
              </w:rPr>
            </w:pPr>
            <w:r w:rsidRPr="00FE5851">
              <w:rPr>
                <w:szCs w:val="24"/>
                <w:lang w:val="hu-HU"/>
              </w:rPr>
              <w:t xml:space="preserve">Megállapodás időszakos fizetések cseréjéről fizetendő kamatokhoz kapcsolódóan egyetlen devizában; lehet </w:t>
            </w:r>
            <w:r>
              <w:rPr>
                <w:szCs w:val="24"/>
                <w:lang w:val="hu-HU"/>
              </w:rPr>
              <w:t>fix/</w:t>
            </w:r>
            <w:r w:rsidRPr="00FE5851">
              <w:rPr>
                <w:szCs w:val="24"/>
                <w:lang w:val="hu-HU"/>
              </w:rPr>
              <w:t xml:space="preserve"> változó </w:t>
            </w:r>
            <w:proofErr w:type="spellStart"/>
            <w:r w:rsidRPr="00FE5851">
              <w:rPr>
                <w:szCs w:val="24"/>
                <w:lang w:val="hu-HU"/>
              </w:rPr>
              <w:t>kamatozásúra</w:t>
            </w:r>
            <w:proofErr w:type="spellEnd"/>
            <w:r w:rsidRPr="00FE5851">
              <w:rPr>
                <w:szCs w:val="24"/>
                <w:lang w:val="hu-HU"/>
              </w:rPr>
              <w:t xml:space="preserve"> vagy változó</w:t>
            </w:r>
            <w:r>
              <w:rPr>
                <w:szCs w:val="24"/>
                <w:lang w:val="hu-HU"/>
              </w:rPr>
              <w:t>/</w:t>
            </w:r>
            <w:r w:rsidRPr="00FE5851">
              <w:rPr>
                <w:szCs w:val="24"/>
                <w:lang w:val="hu-HU"/>
              </w:rPr>
              <w:t xml:space="preserve">változó </w:t>
            </w:r>
            <w:proofErr w:type="spellStart"/>
            <w:r w:rsidRPr="00FE5851">
              <w:rPr>
                <w:szCs w:val="24"/>
                <w:lang w:val="hu-HU"/>
              </w:rPr>
              <w:t>kamatozásúra</w:t>
            </w:r>
            <w:proofErr w:type="spellEnd"/>
            <w:r w:rsidRPr="00FE5851">
              <w:rPr>
                <w:szCs w:val="24"/>
                <w:lang w:val="hu-HU"/>
              </w:rPr>
              <w:t xml:space="preserve"> különféle indexek alapján. Ebbe a csoportba tartoznak azok a csereügyletek, amelyek névleges tőkéjét rögzített, a kamatokétól független fizetési ütemezés szerint fizetik vissza.</w:t>
            </w:r>
          </w:p>
        </w:tc>
      </w:tr>
      <w:tr w:rsidR="00A856BF" w:rsidRPr="00FE5851" w14:paraId="755E8F52" w14:textId="77777777" w:rsidTr="00AF7EAE">
        <w:tblPrEx>
          <w:tblCellMar>
            <w:top w:w="0" w:type="dxa"/>
            <w:bottom w:w="0" w:type="dxa"/>
          </w:tblCellMar>
        </w:tblPrEx>
        <w:trPr>
          <w:cantSplit/>
        </w:trPr>
        <w:tc>
          <w:tcPr>
            <w:tcW w:w="2376" w:type="dxa"/>
          </w:tcPr>
          <w:p w14:paraId="297F9007" w14:textId="77777777" w:rsidR="00A856BF" w:rsidRPr="00FE5851" w:rsidRDefault="00A856BF" w:rsidP="00AF7EAE">
            <w:pPr>
              <w:pStyle w:val="TableRowHeading"/>
              <w:rPr>
                <w:szCs w:val="24"/>
                <w:lang w:val="hu-HU"/>
              </w:rPr>
            </w:pPr>
            <w:r w:rsidRPr="00FE5851">
              <w:rPr>
                <w:szCs w:val="24"/>
                <w:lang w:val="hu-HU"/>
              </w:rPr>
              <w:t>Tőzsdén kívüli (OTC) opciós ügyletek</w:t>
            </w:r>
          </w:p>
        </w:tc>
        <w:tc>
          <w:tcPr>
            <w:tcW w:w="6694" w:type="dxa"/>
          </w:tcPr>
          <w:p w14:paraId="1DC5265A" w14:textId="77777777" w:rsidR="00A856BF" w:rsidRPr="00FE5851" w:rsidRDefault="00A856BF" w:rsidP="00AF7EAE">
            <w:pPr>
              <w:pStyle w:val="TableText"/>
              <w:framePr w:wrap="auto" w:yAlign="inline"/>
              <w:rPr>
                <w:szCs w:val="24"/>
                <w:lang w:val="hu-HU"/>
              </w:rPr>
            </w:pPr>
            <w:r w:rsidRPr="00FE5851">
              <w:rPr>
                <w:szCs w:val="24"/>
                <w:lang w:val="hu-HU"/>
              </w:rPr>
              <w:t xml:space="preserve">Opciós szerződés, amely, rögzített időn át, előre meghatározott tőke utáni egyedi kamat megfizetésére vagy egyedi kamatra (kapott kamatra) jogosít. </w:t>
            </w:r>
          </w:p>
          <w:p w14:paraId="2F5CFAF3" w14:textId="77777777" w:rsidR="00A856BF" w:rsidRPr="00FE5851" w:rsidRDefault="00A856BF" w:rsidP="00AF7EAE">
            <w:pPr>
              <w:pStyle w:val="TableText"/>
              <w:framePr w:wrap="auto" w:yAlign="inline"/>
              <w:rPr>
                <w:szCs w:val="24"/>
                <w:lang w:val="hu-HU"/>
              </w:rPr>
            </w:pPr>
            <w:r w:rsidRPr="00FE5851">
              <w:rPr>
                <w:szCs w:val="24"/>
                <w:lang w:val="hu-HU"/>
              </w:rPr>
              <w:t>Tőzsdén kívüli (OTC) opciós ügyletek fajtái:</w:t>
            </w:r>
          </w:p>
          <w:p w14:paraId="1D141538" w14:textId="77777777" w:rsidR="00A856BF" w:rsidRPr="00FE5851" w:rsidRDefault="00A856BF" w:rsidP="00AF7EAE">
            <w:pPr>
              <w:pStyle w:val="Paragraph"/>
              <w:numPr>
                <w:ilvl w:val="0"/>
                <w:numId w:val="31"/>
              </w:numPr>
              <w:rPr>
                <w:szCs w:val="24"/>
                <w:lang w:val="hu-HU"/>
              </w:rPr>
            </w:pPr>
            <w:r w:rsidRPr="00FE5851">
              <w:rPr>
                <w:spacing w:val="-3"/>
                <w:sz w:val="20"/>
                <w:szCs w:val="24"/>
                <w:lang w:val="hu-HU"/>
              </w:rPr>
              <w:t>Kamatplafonügylet</w:t>
            </w:r>
            <w:r w:rsidRPr="00FE5851">
              <w:rPr>
                <w:sz w:val="20"/>
                <w:szCs w:val="24"/>
                <w:lang w:val="hu-HU"/>
              </w:rPr>
              <w:t>: Tőzsdén kívüli opciós ügylet, amely a változó kamat és a kamatplafon közötti különbséget fizeti ki.</w:t>
            </w:r>
          </w:p>
          <w:p w14:paraId="267ED020" w14:textId="77777777" w:rsidR="00A856BF" w:rsidRPr="00FE5851" w:rsidRDefault="00A856BF" w:rsidP="00AF7EAE">
            <w:pPr>
              <w:pStyle w:val="Paragraph"/>
              <w:numPr>
                <w:ilvl w:val="0"/>
                <w:numId w:val="31"/>
              </w:numPr>
              <w:rPr>
                <w:szCs w:val="24"/>
                <w:lang w:val="hu-HU"/>
              </w:rPr>
            </w:pPr>
            <w:r w:rsidRPr="00FE5851">
              <w:rPr>
                <w:spacing w:val="-3"/>
                <w:sz w:val="20"/>
                <w:szCs w:val="24"/>
                <w:lang w:val="hu-HU"/>
              </w:rPr>
              <w:t>Kamatpadlóügylet</w:t>
            </w:r>
            <w:r w:rsidRPr="00FE5851">
              <w:rPr>
                <w:sz w:val="20"/>
                <w:szCs w:val="24"/>
                <w:lang w:val="hu-HU"/>
              </w:rPr>
              <w:t>: Tőzsdén kívüli opciós ügylet, amely a változó kamat és a kamatpadló közötti különbséget fizeti ki.</w:t>
            </w:r>
          </w:p>
          <w:p w14:paraId="6A0319BD" w14:textId="77777777" w:rsidR="00A856BF" w:rsidRPr="00FE5851" w:rsidRDefault="00A856BF" w:rsidP="00AF7EAE">
            <w:pPr>
              <w:pStyle w:val="Paragraph"/>
              <w:numPr>
                <w:ilvl w:val="0"/>
                <w:numId w:val="31"/>
              </w:numPr>
              <w:rPr>
                <w:szCs w:val="24"/>
                <w:lang w:val="hu-HU"/>
              </w:rPr>
            </w:pPr>
            <w:r w:rsidRPr="00FE5851">
              <w:rPr>
                <w:spacing w:val="-3"/>
                <w:sz w:val="20"/>
                <w:szCs w:val="24"/>
                <w:lang w:val="hu-HU"/>
              </w:rPr>
              <w:t>Kamatgallérügylet</w:t>
            </w:r>
            <w:r w:rsidRPr="00FE5851">
              <w:rPr>
                <w:sz w:val="20"/>
                <w:szCs w:val="24"/>
                <w:lang w:val="hu-HU"/>
              </w:rPr>
              <w:t>: a plafon és a padló kombinációja</w:t>
            </w:r>
          </w:p>
          <w:p w14:paraId="13FF57C2" w14:textId="77777777" w:rsidR="00A856BF" w:rsidRPr="00FE5851" w:rsidRDefault="00A856BF" w:rsidP="00AF7EAE">
            <w:pPr>
              <w:pStyle w:val="Paragraph"/>
              <w:numPr>
                <w:ilvl w:val="0"/>
                <w:numId w:val="31"/>
              </w:numPr>
              <w:rPr>
                <w:szCs w:val="24"/>
                <w:lang w:val="hu-HU"/>
              </w:rPr>
            </w:pPr>
            <w:r w:rsidRPr="00FE5851">
              <w:rPr>
                <w:spacing w:val="-3"/>
                <w:sz w:val="20"/>
                <w:szCs w:val="24"/>
                <w:lang w:val="hu-HU"/>
              </w:rPr>
              <w:t>Kamatfolyosó-ügylet</w:t>
            </w:r>
            <w:r w:rsidRPr="00FE5851">
              <w:rPr>
                <w:sz w:val="20"/>
                <w:szCs w:val="24"/>
                <w:lang w:val="hu-HU"/>
              </w:rPr>
              <w:t xml:space="preserve">: 1) Két kamatplafonügylet kombinációja: az egyiket egy kölcsön felvevője vásárolja meg egy adott lehívási áron, míg a másikat ő maga adja el egy magasabb lehívási áron, amivel az elsőért fizetett prémiumot valójában ellentételezi. 2) </w:t>
            </w:r>
            <w:r>
              <w:rPr>
                <w:sz w:val="20"/>
                <w:szCs w:val="24"/>
                <w:lang w:val="hu-HU"/>
              </w:rPr>
              <w:t xml:space="preserve">Két </w:t>
            </w:r>
            <w:proofErr w:type="spellStart"/>
            <w:r>
              <w:rPr>
                <w:sz w:val="20"/>
                <w:szCs w:val="24"/>
                <w:lang w:val="hu-HU"/>
              </w:rPr>
              <w:t>swapció</w:t>
            </w:r>
            <w:proofErr w:type="spellEnd"/>
            <w:r>
              <w:rPr>
                <w:sz w:val="20"/>
                <w:szCs w:val="24"/>
                <w:lang w:val="hu-HU"/>
              </w:rPr>
              <w:t xml:space="preserve"> </w:t>
            </w:r>
            <w:proofErr w:type="spellStart"/>
            <w:r>
              <w:rPr>
                <w:sz w:val="20"/>
                <w:szCs w:val="24"/>
                <w:lang w:val="hu-HU"/>
              </w:rPr>
              <w:t>kombinációjábóll</w:t>
            </w:r>
            <w:proofErr w:type="spellEnd"/>
            <w:r>
              <w:rPr>
                <w:sz w:val="20"/>
                <w:szCs w:val="24"/>
                <w:lang w:val="hu-HU"/>
              </w:rPr>
              <w:t xml:space="preserve"> álló kamatgallér</w:t>
            </w:r>
            <w:r w:rsidRPr="00FE5851">
              <w:rPr>
                <w:sz w:val="20"/>
                <w:szCs w:val="24"/>
                <w:lang w:val="hu-HU"/>
              </w:rPr>
              <w:t xml:space="preserve"> – a </w:t>
            </w:r>
            <w:proofErr w:type="spellStart"/>
            <w:r w:rsidRPr="00FE5851">
              <w:rPr>
                <w:sz w:val="20"/>
                <w:szCs w:val="24"/>
                <w:lang w:val="hu-HU"/>
              </w:rPr>
              <w:t>swapció</w:t>
            </w:r>
            <w:proofErr w:type="spellEnd"/>
            <w:r w:rsidRPr="00FE5851">
              <w:rPr>
                <w:sz w:val="20"/>
                <w:szCs w:val="24"/>
                <w:lang w:val="hu-HU"/>
              </w:rPr>
              <w:t xml:space="preserve"> lehívási ára és típusa határozza meg a struktúrát és </w:t>
            </w:r>
            <w:r>
              <w:rPr>
                <w:sz w:val="20"/>
                <w:szCs w:val="24"/>
                <w:lang w:val="hu-HU"/>
              </w:rPr>
              <w:t>az időszakot</w:t>
            </w:r>
            <w:r w:rsidRPr="00FE5851">
              <w:rPr>
                <w:sz w:val="20"/>
                <w:szCs w:val="24"/>
                <w:lang w:val="hu-HU"/>
              </w:rPr>
              <w:t xml:space="preserve"> 3) Digitális „knock-out” opció, amelynél az alsó és a felső korlátot egy hosszú távú kamatláb jelenlegi szintje köré állapítják meg. </w:t>
            </w:r>
          </w:p>
          <w:p w14:paraId="45D656C3" w14:textId="77777777" w:rsidR="00A856BF" w:rsidRPr="00FE5851" w:rsidRDefault="00A856BF" w:rsidP="00AF7EAE">
            <w:pPr>
              <w:pStyle w:val="Paragraph"/>
              <w:numPr>
                <w:ilvl w:val="0"/>
                <w:numId w:val="31"/>
              </w:numPr>
              <w:rPr>
                <w:szCs w:val="24"/>
                <w:lang w:val="hu-HU"/>
              </w:rPr>
            </w:pPr>
            <w:r w:rsidRPr="00FE5851">
              <w:rPr>
                <w:spacing w:val="-3"/>
                <w:sz w:val="20"/>
                <w:szCs w:val="24"/>
                <w:lang w:val="hu-HU"/>
              </w:rPr>
              <w:t>Kamatcserére vonatkozó opció</w:t>
            </w:r>
            <w:r w:rsidRPr="00FE5851">
              <w:rPr>
                <w:sz w:val="20"/>
                <w:szCs w:val="24"/>
                <w:lang w:val="hu-HU"/>
              </w:rPr>
              <w:t>: kamatcsereügyletre (</w:t>
            </w:r>
            <w:proofErr w:type="spellStart"/>
            <w:r w:rsidRPr="00FE5851">
              <w:rPr>
                <w:sz w:val="20"/>
                <w:szCs w:val="24"/>
                <w:lang w:val="hu-HU"/>
              </w:rPr>
              <w:t>swapra</w:t>
            </w:r>
            <w:proofErr w:type="spellEnd"/>
            <w:r w:rsidRPr="00FE5851">
              <w:rPr>
                <w:sz w:val="20"/>
                <w:szCs w:val="24"/>
                <w:lang w:val="hu-HU"/>
              </w:rPr>
              <w:t xml:space="preserve">) vonatkozó tőzsdén kívüli (OTC) opció, amelynél lehetőség nyílik fix kamat fizetésére vagy elfogadására vonatkozó jog megvásárlására. </w:t>
            </w:r>
          </w:p>
          <w:p w14:paraId="4ACB53E7" w14:textId="77777777" w:rsidR="00A856BF" w:rsidRPr="00FE5851" w:rsidRDefault="00A856BF" w:rsidP="00AF7EAE">
            <w:pPr>
              <w:pStyle w:val="Paragraph"/>
              <w:numPr>
                <w:ilvl w:val="0"/>
                <w:numId w:val="31"/>
              </w:numPr>
              <w:rPr>
                <w:szCs w:val="24"/>
                <w:lang w:val="hu-HU"/>
              </w:rPr>
            </w:pPr>
            <w:r w:rsidRPr="00FE5851">
              <w:rPr>
                <w:sz w:val="20"/>
                <w:szCs w:val="24"/>
                <w:lang w:val="hu-HU"/>
              </w:rPr>
              <w:t>Kamat</w:t>
            </w:r>
            <w:r>
              <w:rPr>
                <w:sz w:val="20"/>
                <w:szCs w:val="24"/>
                <w:lang w:val="hu-HU"/>
              </w:rPr>
              <w:t xml:space="preserve"> </w:t>
            </w:r>
            <w:proofErr w:type="spellStart"/>
            <w:r w:rsidRPr="00FE5851">
              <w:rPr>
                <w:sz w:val="20"/>
                <w:szCs w:val="24"/>
                <w:lang w:val="hu-HU"/>
              </w:rPr>
              <w:t>warrant</w:t>
            </w:r>
            <w:proofErr w:type="spellEnd"/>
            <w:r w:rsidRPr="00FE5851">
              <w:rPr>
                <w:sz w:val="20"/>
                <w:szCs w:val="24"/>
                <w:lang w:val="hu-HU"/>
              </w:rPr>
              <w:t>: egy évnél hosszabb távra szóló, tőzsdén kívüli (OTC-) kamatopció.</w:t>
            </w:r>
          </w:p>
        </w:tc>
      </w:tr>
      <w:tr w:rsidR="00A856BF" w:rsidRPr="00FE5851" w14:paraId="578B5B9E" w14:textId="77777777" w:rsidTr="00AF7EAE">
        <w:tblPrEx>
          <w:tblCellMar>
            <w:top w:w="0" w:type="dxa"/>
            <w:bottom w:w="0" w:type="dxa"/>
          </w:tblCellMar>
        </w:tblPrEx>
        <w:trPr>
          <w:cantSplit/>
        </w:trPr>
        <w:tc>
          <w:tcPr>
            <w:tcW w:w="2376" w:type="dxa"/>
          </w:tcPr>
          <w:p w14:paraId="47AD24CA" w14:textId="77777777" w:rsidR="00A856BF" w:rsidRPr="00FE5851" w:rsidRDefault="00A856BF" w:rsidP="00AF7EAE">
            <w:pPr>
              <w:pStyle w:val="TableRowHeading"/>
              <w:rPr>
                <w:szCs w:val="24"/>
                <w:lang w:val="hu-HU"/>
              </w:rPr>
            </w:pPr>
            <w:r w:rsidRPr="00FE5851">
              <w:rPr>
                <w:szCs w:val="24"/>
                <w:lang w:val="hu-HU"/>
              </w:rPr>
              <w:t>Egyéb termékek</w:t>
            </w:r>
          </w:p>
        </w:tc>
        <w:tc>
          <w:tcPr>
            <w:tcW w:w="6694" w:type="dxa"/>
          </w:tcPr>
          <w:p w14:paraId="586937B7" w14:textId="77777777" w:rsidR="00A856BF" w:rsidRPr="00FE5851" w:rsidRDefault="00A856BF" w:rsidP="00AF7EAE">
            <w:pPr>
              <w:pStyle w:val="TableText"/>
              <w:framePr w:wrap="auto" w:yAlign="inline"/>
              <w:rPr>
                <w:szCs w:val="24"/>
                <w:lang w:val="hu-HU"/>
              </w:rPr>
            </w:pPr>
            <w:r w:rsidRPr="00FE5851">
              <w:rPr>
                <w:szCs w:val="24"/>
                <w:lang w:val="hu-HU"/>
              </w:rPr>
              <w:t>Az egyéb származékos termékek olyan instrumentumok, amelyeket nem lehet lebontani egyedi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xml:space="preserve">” </w:t>
            </w:r>
            <w:r>
              <w:rPr>
                <w:szCs w:val="24"/>
                <w:lang w:val="hu-HU"/>
              </w:rPr>
              <w:t>instrumentumok</w:t>
            </w:r>
            <w:r w:rsidRPr="00FE5851">
              <w:rPr>
                <w:szCs w:val="24"/>
                <w:lang w:val="hu-HU"/>
              </w:rPr>
              <w:t>r</w:t>
            </w:r>
            <w:r>
              <w:rPr>
                <w:szCs w:val="24"/>
                <w:lang w:val="hu-HU"/>
              </w:rPr>
              <w:t>a</w:t>
            </w:r>
            <w:r w:rsidRPr="00FE5851">
              <w:rPr>
                <w:szCs w:val="24"/>
                <w:lang w:val="hu-HU"/>
              </w:rPr>
              <w:t xml:space="preserve">, például határidős kamatláb-megállapodásra, csere- vagy opciós ügyletekre, vagy az célszerűtlen, a gyakorlatban megvalósíthatatlan lenne. Az „egyéb” termékek például a tőkeáttételes </w:t>
            </w:r>
            <w:proofErr w:type="spellStart"/>
            <w:r w:rsidRPr="00FE5851">
              <w:rPr>
                <w:szCs w:val="24"/>
                <w:lang w:val="hu-HU"/>
              </w:rPr>
              <w:t>payoff</w:t>
            </w:r>
            <w:proofErr w:type="spellEnd"/>
            <w:r w:rsidRPr="00FE5851">
              <w:rPr>
                <w:szCs w:val="24"/>
                <w:lang w:val="hu-HU"/>
              </w:rPr>
              <w:t xml:space="preserve"> </w:t>
            </w:r>
            <w:r>
              <w:rPr>
                <w:szCs w:val="24"/>
                <w:lang w:val="hu-HU"/>
              </w:rPr>
              <w:t>instrumentumok</w:t>
            </w:r>
            <w:r w:rsidRPr="00FE5851">
              <w:rPr>
                <w:szCs w:val="24"/>
                <w:lang w:val="hu-HU"/>
              </w:rPr>
              <w:t xml:space="preserve"> és/vagy azok az instrumentumok, amelyek névleges tőkéje a kamat függvényében változik, pl. LIBOR</w:t>
            </w:r>
            <w:r w:rsidRPr="00FE5851">
              <w:rPr>
                <w:rFonts w:ascii="Times New Roman" w:hAnsi="Times New Roman"/>
                <w:szCs w:val="24"/>
                <w:lang w:val="hu-HU"/>
              </w:rPr>
              <w:t>²</w:t>
            </w:r>
            <w:r w:rsidRPr="00FE5851">
              <w:rPr>
                <w:szCs w:val="24"/>
                <w:lang w:val="hu-HU"/>
              </w:rPr>
              <w:t xml:space="preserve">-csereügylet vagy a névértéket egy előre meghatározott ráta mozgásának megfelelően folyamatosan csökkentő csereügylet (index </w:t>
            </w:r>
            <w:proofErr w:type="spellStart"/>
            <w:r w:rsidRPr="00FE5851">
              <w:rPr>
                <w:szCs w:val="24"/>
                <w:lang w:val="hu-HU"/>
              </w:rPr>
              <w:t>amortising</w:t>
            </w:r>
            <w:proofErr w:type="spellEnd"/>
            <w:r w:rsidRPr="00FE5851">
              <w:rPr>
                <w:szCs w:val="24"/>
                <w:lang w:val="hu-HU"/>
              </w:rPr>
              <w:t xml:space="preserve"> </w:t>
            </w:r>
            <w:proofErr w:type="spellStart"/>
            <w:r w:rsidRPr="00FE5851">
              <w:rPr>
                <w:szCs w:val="24"/>
                <w:lang w:val="hu-HU"/>
              </w:rPr>
              <w:t>rate</w:t>
            </w:r>
            <w:proofErr w:type="spellEnd"/>
            <w:r w:rsidRPr="00FE5851">
              <w:rPr>
                <w:szCs w:val="24"/>
                <w:lang w:val="hu-HU"/>
              </w:rPr>
              <w:t xml:space="preserve"> </w:t>
            </w:r>
            <w:proofErr w:type="spellStart"/>
            <w:r w:rsidRPr="00FE5851">
              <w:rPr>
                <w:szCs w:val="24"/>
                <w:lang w:val="hu-HU"/>
              </w:rPr>
              <w:t>swap</w:t>
            </w:r>
            <w:proofErr w:type="spellEnd"/>
            <w:r w:rsidRPr="00FE5851">
              <w:rPr>
                <w:szCs w:val="24"/>
                <w:lang w:val="hu-HU"/>
              </w:rPr>
              <w:t>).</w:t>
            </w:r>
          </w:p>
        </w:tc>
      </w:tr>
    </w:tbl>
    <w:p w14:paraId="1846AB12" w14:textId="77777777" w:rsidR="00A856BF" w:rsidRPr="00FE5851" w:rsidRDefault="00A856BF" w:rsidP="00A856BF">
      <w:pPr>
        <w:pStyle w:val="Paragraph"/>
        <w:spacing w:before="360"/>
        <w:rPr>
          <w:szCs w:val="24"/>
          <w:lang w:val="hu-HU"/>
        </w:rPr>
      </w:pPr>
      <w:r w:rsidRPr="00FE5851">
        <w:rPr>
          <w:szCs w:val="24"/>
          <w:lang w:val="hu-HU"/>
        </w:rPr>
        <w:t xml:space="preserve">A tőzsdén kívüli (OTC) származtatott </w:t>
      </w:r>
      <w:r>
        <w:rPr>
          <w:szCs w:val="24"/>
          <w:lang w:val="hu-HU"/>
        </w:rPr>
        <w:t>kamat</w:t>
      </w:r>
      <w:r w:rsidRPr="00FE5851">
        <w:rPr>
          <w:szCs w:val="24"/>
          <w:lang w:val="hu-HU"/>
        </w:rPr>
        <w:t>ügyletek</w:t>
      </w:r>
      <w:r>
        <w:rPr>
          <w:szCs w:val="24"/>
          <w:lang w:val="hu-HU"/>
        </w:rPr>
        <w:t xml:space="preserve"> általában</w:t>
      </w:r>
      <w:r w:rsidRPr="00FE5851">
        <w:rPr>
          <w:szCs w:val="24"/>
          <w:lang w:val="hu-HU"/>
        </w:rPr>
        <w:t xml:space="preserve"> három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instrumentumra (</w:t>
      </w:r>
      <w:r>
        <w:rPr>
          <w:szCs w:val="24"/>
          <w:lang w:val="hu-HU"/>
        </w:rPr>
        <w:t>egyszerű</w:t>
      </w:r>
      <w:r w:rsidRPr="00FE5851">
        <w:rPr>
          <w:szCs w:val="24"/>
          <w:lang w:val="hu-HU"/>
        </w:rPr>
        <w:t xml:space="preserve"> határidős, </w:t>
      </w:r>
      <w:proofErr w:type="spellStart"/>
      <w:r w:rsidRPr="00FE5851">
        <w:rPr>
          <w:szCs w:val="24"/>
          <w:lang w:val="hu-HU"/>
        </w:rPr>
        <w:t>swap</w:t>
      </w:r>
      <w:proofErr w:type="spellEnd"/>
      <w:r w:rsidRPr="00FE5851">
        <w:rPr>
          <w:szCs w:val="24"/>
          <w:lang w:val="hu-HU"/>
        </w:rPr>
        <w:t>- és opciós ügyletre) bonthatók. A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xml:space="preserve">” instrumentumok likvid piacokon, többé-kevésbé szabványosított szerződések és piaci konvenciók szerint kereskedett </w:t>
      </w:r>
      <w:r>
        <w:rPr>
          <w:szCs w:val="24"/>
          <w:lang w:val="hu-HU"/>
        </w:rPr>
        <w:t>instrumentumok</w:t>
      </w:r>
      <w:r w:rsidRPr="00FE5851">
        <w:rPr>
          <w:szCs w:val="24"/>
          <w:lang w:val="hu-HU"/>
        </w:rPr>
        <w:t>. Amennyiben egy ügyletnek több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xml:space="preserve">” összetevője van, </w:t>
      </w:r>
      <w:r>
        <w:rPr>
          <w:szCs w:val="24"/>
          <w:lang w:val="hu-HU"/>
        </w:rPr>
        <w:t>lehetőség szerint</w:t>
      </w:r>
      <w:r w:rsidRPr="00FE5851">
        <w:rPr>
          <w:szCs w:val="24"/>
          <w:lang w:val="hu-HU"/>
        </w:rPr>
        <w:t xml:space="preserve"> minden összetevőt külön-külön kell jelenteni. </w:t>
      </w:r>
    </w:p>
    <w:p w14:paraId="6A1D8FE1" w14:textId="77777777" w:rsidR="00A856BF" w:rsidRPr="00FE5851" w:rsidRDefault="00A856BF" w:rsidP="00A856BF">
      <w:pPr>
        <w:pStyle w:val="Paragraph"/>
        <w:tabs>
          <w:tab w:val="left" w:pos="851"/>
        </w:tabs>
        <w:rPr>
          <w:szCs w:val="24"/>
          <w:lang w:val="hu-HU"/>
        </w:rPr>
      </w:pPr>
      <w:r w:rsidRPr="00FE5851">
        <w:rPr>
          <w:szCs w:val="24"/>
          <w:lang w:val="hu-HU"/>
        </w:rPr>
        <w:t>Elvben a nem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termékek is felbonthatók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xml:space="preserve">” összetevőikre. Ha ez nem lehetséges, akkor a tőzsdén kívüli opciókra vonatkozó rész élvez elsőbbséget az eszközbesorolásban, ezért minden, beágyazott opcióval rendelkező kamatlábalapú származtatott terméket tőzsdén kívüli (OTC) opcióként kell jelenteni. Az összes többi tőzsdén kívüli (OTC) kamatlábalapú származtatott terméket határidős kamatláb-megállapodás vagy csereügyletek részben kell jelenteni. </w:t>
      </w:r>
    </w:p>
    <w:p w14:paraId="0B258960" w14:textId="77777777" w:rsidR="00A856BF" w:rsidRPr="00FE5851" w:rsidRDefault="003C3738" w:rsidP="00A856BF">
      <w:pPr>
        <w:pStyle w:val="IndentedHeading2"/>
        <w:spacing w:after="240"/>
        <w:rPr>
          <w:szCs w:val="24"/>
          <w:lang w:val="hu-HU"/>
        </w:rPr>
      </w:pPr>
      <w:bookmarkStart w:id="18" w:name="_Toc89264407"/>
      <w:r>
        <w:rPr>
          <w:szCs w:val="24"/>
          <w:lang w:val="hu-HU"/>
        </w:rPr>
        <w:t>5.</w:t>
      </w:r>
      <w:r w:rsidR="00A856BF" w:rsidRPr="00FE5851">
        <w:rPr>
          <w:szCs w:val="24"/>
          <w:lang w:val="hu-HU"/>
        </w:rPr>
        <w:t>3.</w:t>
      </w:r>
      <w:r w:rsidR="00A856BF" w:rsidRPr="00FE5851">
        <w:rPr>
          <w:szCs w:val="24"/>
          <w:lang w:val="hu-HU"/>
        </w:rPr>
        <w:tab/>
        <w:t>Részvény- és tőzsdeindex-alapú származékos termékek</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694"/>
      </w:tblGrid>
      <w:tr w:rsidR="00A856BF" w:rsidRPr="00FE5851" w14:paraId="668C7F77" w14:textId="77777777" w:rsidTr="00AF7EAE">
        <w:tblPrEx>
          <w:tblCellMar>
            <w:top w:w="0" w:type="dxa"/>
            <w:bottom w:w="0" w:type="dxa"/>
          </w:tblCellMar>
        </w:tblPrEx>
        <w:trPr>
          <w:cantSplit/>
        </w:trPr>
        <w:tc>
          <w:tcPr>
            <w:tcW w:w="2376" w:type="dxa"/>
          </w:tcPr>
          <w:p w14:paraId="3A13EB29" w14:textId="77777777" w:rsidR="00A856BF" w:rsidRPr="00FE5851" w:rsidRDefault="00A856BF" w:rsidP="00AF7EAE">
            <w:pPr>
              <w:pStyle w:val="TableRowHeading"/>
              <w:rPr>
                <w:szCs w:val="24"/>
                <w:lang w:val="hu-HU"/>
              </w:rPr>
            </w:pPr>
            <w:r w:rsidRPr="00FE5851">
              <w:rPr>
                <w:szCs w:val="24"/>
                <w:lang w:val="hu-HU"/>
              </w:rPr>
              <w:t>Tőzsdén kívüli határidős ügyletek</w:t>
            </w:r>
          </w:p>
        </w:tc>
        <w:tc>
          <w:tcPr>
            <w:tcW w:w="6694" w:type="dxa"/>
          </w:tcPr>
          <w:p w14:paraId="29316215" w14:textId="77777777" w:rsidR="00A856BF" w:rsidRPr="00FE5851" w:rsidRDefault="00A856BF" w:rsidP="00AF7EAE">
            <w:pPr>
              <w:pStyle w:val="TableText"/>
              <w:framePr w:wrap="auto" w:yAlign="inline"/>
              <w:rPr>
                <w:szCs w:val="24"/>
                <w:lang w:val="hu-HU"/>
              </w:rPr>
            </w:pPr>
            <w:r w:rsidRPr="00FE5851">
              <w:rPr>
                <w:spacing w:val="-6"/>
                <w:szCs w:val="24"/>
                <w:lang w:val="hu-HU"/>
              </w:rPr>
              <w:t>Részvény vagy részvénykosár rögzített áron és egy adott jövőbeli időpontban történő cseréjére irányuló kontraktus.</w:t>
            </w:r>
          </w:p>
        </w:tc>
      </w:tr>
      <w:tr w:rsidR="00A856BF" w:rsidRPr="00FE5851" w14:paraId="54494495" w14:textId="77777777" w:rsidTr="00AF7EAE">
        <w:tblPrEx>
          <w:tblCellMar>
            <w:top w:w="0" w:type="dxa"/>
            <w:bottom w:w="0" w:type="dxa"/>
          </w:tblCellMar>
        </w:tblPrEx>
        <w:trPr>
          <w:cantSplit/>
        </w:trPr>
        <w:tc>
          <w:tcPr>
            <w:tcW w:w="2376" w:type="dxa"/>
          </w:tcPr>
          <w:p w14:paraId="3702EF24" w14:textId="77777777" w:rsidR="00A856BF" w:rsidRPr="00FE5851" w:rsidRDefault="00A856BF" w:rsidP="00AF7EAE">
            <w:pPr>
              <w:pStyle w:val="TableRowHeading"/>
              <w:rPr>
                <w:szCs w:val="24"/>
                <w:lang w:val="hu-HU"/>
              </w:rPr>
            </w:pPr>
            <w:r w:rsidRPr="00FE5851">
              <w:rPr>
                <w:szCs w:val="24"/>
                <w:lang w:val="hu-HU"/>
              </w:rPr>
              <w:t>Csereügyletek (</w:t>
            </w:r>
            <w:proofErr w:type="spellStart"/>
            <w:r w:rsidRPr="00FE5851">
              <w:rPr>
                <w:szCs w:val="24"/>
                <w:lang w:val="hu-HU"/>
              </w:rPr>
              <w:t>swapok</w:t>
            </w:r>
            <w:proofErr w:type="spellEnd"/>
            <w:r w:rsidRPr="00FE5851">
              <w:rPr>
                <w:szCs w:val="24"/>
                <w:lang w:val="hu-HU"/>
              </w:rPr>
              <w:t>):</w:t>
            </w:r>
          </w:p>
        </w:tc>
        <w:tc>
          <w:tcPr>
            <w:tcW w:w="6694" w:type="dxa"/>
          </w:tcPr>
          <w:p w14:paraId="069D1C09" w14:textId="77777777" w:rsidR="00A856BF" w:rsidRPr="00FE5851" w:rsidRDefault="00A856BF" w:rsidP="00AF7EAE">
            <w:pPr>
              <w:pStyle w:val="TableText"/>
              <w:framePr w:wrap="auto" w:yAlign="inline"/>
              <w:rPr>
                <w:szCs w:val="24"/>
                <w:lang w:val="hu-HU"/>
              </w:rPr>
            </w:pPr>
            <w:r w:rsidRPr="00FE5851">
              <w:rPr>
                <w:szCs w:val="24"/>
                <w:lang w:val="hu-HU"/>
              </w:rPr>
              <w:t xml:space="preserve">Olyan kontraktus, ahol az egyik vagy mindkét kifizetés részvények vagy részvényekből képzett index (pl. </w:t>
            </w:r>
            <w:proofErr w:type="spellStart"/>
            <w:r w:rsidRPr="00FE5851">
              <w:rPr>
                <w:szCs w:val="24"/>
                <w:lang w:val="hu-HU"/>
              </w:rPr>
              <w:t>S&amp;P</w:t>
            </w:r>
            <w:proofErr w:type="spellEnd"/>
            <w:r w:rsidRPr="00FE5851">
              <w:rPr>
                <w:szCs w:val="24"/>
                <w:lang w:val="hu-HU"/>
              </w:rPr>
              <w:t xml:space="preserve"> 500) teljesítményéhez kötött. Az ügylet része egy adott részvény vagy részvényindex cseréje egy másikra vagy egy adott részvény vagy részvényindex cseréje változó vagy rögzített kamatra.</w:t>
            </w:r>
          </w:p>
        </w:tc>
      </w:tr>
      <w:tr w:rsidR="00A856BF" w:rsidRPr="00FE5851" w14:paraId="5C9567EE" w14:textId="77777777" w:rsidTr="00AF7EAE">
        <w:tblPrEx>
          <w:tblCellMar>
            <w:top w:w="0" w:type="dxa"/>
            <w:bottom w:w="0" w:type="dxa"/>
          </w:tblCellMar>
        </w:tblPrEx>
        <w:trPr>
          <w:cantSplit/>
        </w:trPr>
        <w:tc>
          <w:tcPr>
            <w:tcW w:w="2376" w:type="dxa"/>
          </w:tcPr>
          <w:p w14:paraId="19D8F4A1" w14:textId="77777777" w:rsidR="00A856BF" w:rsidRPr="00FE5851" w:rsidRDefault="00A856BF" w:rsidP="00AF7EAE">
            <w:pPr>
              <w:pStyle w:val="TableRowHeading"/>
              <w:rPr>
                <w:szCs w:val="24"/>
                <w:lang w:val="hu-HU"/>
              </w:rPr>
            </w:pPr>
            <w:r w:rsidRPr="00FE5851">
              <w:rPr>
                <w:szCs w:val="24"/>
                <w:lang w:val="hu-HU"/>
              </w:rPr>
              <w:t>Tőzsdén kívüli (OTC) opciós ügyletek</w:t>
            </w:r>
          </w:p>
        </w:tc>
        <w:tc>
          <w:tcPr>
            <w:tcW w:w="6694" w:type="dxa"/>
          </w:tcPr>
          <w:p w14:paraId="332D7891" w14:textId="77777777" w:rsidR="00A856BF" w:rsidRPr="00FE5851" w:rsidRDefault="00A856BF" w:rsidP="00AF7EAE">
            <w:pPr>
              <w:pStyle w:val="TableText"/>
              <w:framePr w:wrap="auto" w:yAlign="inline"/>
              <w:rPr>
                <w:szCs w:val="24"/>
                <w:lang w:val="hu-HU"/>
              </w:rPr>
            </w:pPr>
            <w:r w:rsidRPr="00FE5851">
              <w:rPr>
                <w:szCs w:val="24"/>
                <w:lang w:val="hu-HU"/>
              </w:rPr>
              <w:t>Az opciós szerződések egy konkrét részvény vagy részvénykosár átadására vagy átvételére biztosítanak jogot rögzített áron egy adott jövőbeli időpontban.</w:t>
            </w:r>
          </w:p>
          <w:p w14:paraId="72770F5D" w14:textId="77777777" w:rsidR="00A856BF" w:rsidRPr="00FE5851" w:rsidRDefault="00A856BF" w:rsidP="00AF7EAE">
            <w:pPr>
              <w:pStyle w:val="TableText"/>
              <w:framePr w:wrap="auto" w:yAlign="inline"/>
              <w:rPr>
                <w:szCs w:val="24"/>
                <w:lang w:val="hu-HU"/>
              </w:rPr>
            </w:pPr>
            <w:r w:rsidRPr="00FE5851">
              <w:rPr>
                <w:szCs w:val="24"/>
                <w:lang w:val="hu-HU"/>
              </w:rPr>
              <w:t xml:space="preserve">Az OTC-opciók közé tartoznak a </w:t>
            </w:r>
            <w:proofErr w:type="spellStart"/>
            <w:r w:rsidRPr="00FE5851">
              <w:rPr>
                <w:szCs w:val="24"/>
                <w:lang w:val="hu-HU"/>
              </w:rPr>
              <w:t>részvénywarrantok</w:t>
            </w:r>
            <w:proofErr w:type="spellEnd"/>
            <w:r w:rsidRPr="00FE5851">
              <w:rPr>
                <w:szCs w:val="24"/>
                <w:lang w:val="hu-HU"/>
              </w:rPr>
              <w:t>, amelyek hosszú (egy évnél hosszabb) lejáratú tőzsdén kívüli részvényopciók.</w:t>
            </w:r>
          </w:p>
        </w:tc>
      </w:tr>
    </w:tbl>
    <w:p w14:paraId="6AC10D1E" w14:textId="77777777" w:rsidR="00A856BF" w:rsidRPr="00FE5851" w:rsidRDefault="00A856BF" w:rsidP="00A856BF">
      <w:pPr>
        <w:pStyle w:val="Paragraph"/>
        <w:spacing w:before="360"/>
        <w:rPr>
          <w:szCs w:val="24"/>
          <w:lang w:val="hu-HU"/>
        </w:rPr>
      </w:pPr>
      <w:r w:rsidRPr="00FE5851">
        <w:rPr>
          <w:szCs w:val="24"/>
          <w:lang w:val="hu-HU"/>
        </w:rPr>
        <w:t>Elvben a nem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termékek is felbonthatók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xml:space="preserve">” összetevőikre. Ha ez nem lehetséges, akkor a tőzsdén kívüli opciókra vonatkozó rész élvez elsőbbséget az eszközbesorolásban, ezért minden, beágyazott opcióval rendelkező részvényalapú származtatott terméket tőzsdén kívüli (OTC) opcióként kell jelenteni. Az összes többi tőzsdén kívüli (OTC) részvényalapú származtatott terméket a tőzsdén kívüli határidős ügyletek és a csereügyletek részben kell jelenteni. </w:t>
      </w:r>
    </w:p>
    <w:p w14:paraId="0B213B2D" w14:textId="77777777" w:rsidR="00A856BF" w:rsidRPr="00FE5851" w:rsidRDefault="003C3738" w:rsidP="00A856BF">
      <w:pPr>
        <w:pStyle w:val="IndentedHeading2"/>
        <w:spacing w:after="240"/>
        <w:rPr>
          <w:szCs w:val="24"/>
          <w:lang w:val="hu-HU"/>
        </w:rPr>
      </w:pPr>
      <w:bookmarkStart w:id="19" w:name="_Toc89264408"/>
      <w:r>
        <w:rPr>
          <w:szCs w:val="24"/>
          <w:lang w:val="hu-HU"/>
        </w:rPr>
        <w:t>5.</w:t>
      </w:r>
      <w:r w:rsidR="00A856BF" w:rsidRPr="00FE5851">
        <w:rPr>
          <w:szCs w:val="24"/>
          <w:lang w:val="hu-HU"/>
        </w:rPr>
        <w:t>4.</w:t>
      </w:r>
      <w:r w:rsidR="00A856BF" w:rsidRPr="00FE5851">
        <w:rPr>
          <w:szCs w:val="24"/>
          <w:lang w:val="hu-HU"/>
        </w:rPr>
        <w:tab/>
        <w:t>Árualapú származékos termékek</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694"/>
      </w:tblGrid>
      <w:tr w:rsidR="00A856BF" w:rsidRPr="00FE5851" w14:paraId="7E4E7C6B" w14:textId="77777777" w:rsidTr="00AF7EAE">
        <w:tblPrEx>
          <w:tblCellMar>
            <w:top w:w="0" w:type="dxa"/>
            <w:bottom w:w="0" w:type="dxa"/>
          </w:tblCellMar>
        </w:tblPrEx>
        <w:trPr>
          <w:cantSplit/>
        </w:trPr>
        <w:tc>
          <w:tcPr>
            <w:tcW w:w="2376" w:type="dxa"/>
          </w:tcPr>
          <w:p w14:paraId="14E7E9D1" w14:textId="77777777" w:rsidR="00A856BF" w:rsidRPr="00FE5851" w:rsidRDefault="00A856BF" w:rsidP="00AF7EAE">
            <w:pPr>
              <w:pStyle w:val="TableRowHeading"/>
              <w:rPr>
                <w:szCs w:val="24"/>
                <w:lang w:val="hu-HU"/>
              </w:rPr>
            </w:pPr>
            <w:r w:rsidRPr="00FE5851">
              <w:rPr>
                <w:szCs w:val="24"/>
                <w:lang w:val="hu-HU"/>
              </w:rPr>
              <w:t>Tőzsdén kívüli határidős ügyletek</w:t>
            </w:r>
          </w:p>
        </w:tc>
        <w:tc>
          <w:tcPr>
            <w:tcW w:w="6694" w:type="dxa"/>
          </w:tcPr>
          <w:p w14:paraId="2001C0CF" w14:textId="77777777" w:rsidR="00A856BF" w:rsidRPr="00FE5851" w:rsidRDefault="00A856BF" w:rsidP="00AF7EAE">
            <w:pPr>
              <w:pStyle w:val="TableText"/>
              <w:framePr w:wrap="auto" w:yAlign="inline"/>
              <w:rPr>
                <w:szCs w:val="24"/>
                <w:lang w:val="hu-HU"/>
              </w:rPr>
            </w:pPr>
            <w:r w:rsidRPr="00FE5851">
              <w:rPr>
                <w:szCs w:val="24"/>
                <w:lang w:val="hu-HU"/>
              </w:rPr>
              <w:t>Határidős kontraktus valamely árucikk vagy árucikkekből képzett index előre meghatározott áron a jövőben történő adásvételére.</w:t>
            </w:r>
          </w:p>
        </w:tc>
      </w:tr>
      <w:tr w:rsidR="00A856BF" w:rsidRPr="00FE5851" w14:paraId="537B691E" w14:textId="77777777" w:rsidTr="00AF7EAE">
        <w:tblPrEx>
          <w:tblCellMar>
            <w:top w:w="0" w:type="dxa"/>
            <w:bottom w:w="0" w:type="dxa"/>
          </w:tblCellMar>
        </w:tblPrEx>
        <w:trPr>
          <w:cantSplit/>
        </w:trPr>
        <w:tc>
          <w:tcPr>
            <w:tcW w:w="2376" w:type="dxa"/>
          </w:tcPr>
          <w:p w14:paraId="2408100E" w14:textId="77777777" w:rsidR="00A856BF" w:rsidRPr="00FE5851" w:rsidRDefault="00A856BF" w:rsidP="00AF7EAE">
            <w:pPr>
              <w:pStyle w:val="TableRowHeading"/>
              <w:rPr>
                <w:szCs w:val="24"/>
                <w:lang w:val="hu-HU"/>
              </w:rPr>
            </w:pPr>
            <w:r w:rsidRPr="00FE5851">
              <w:rPr>
                <w:szCs w:val="24"/>
                <w:lang w:val="hu-HU"/>
              </w:rPr>
              <w:t>Csereügyletek (</w:t>
            </w:r>
            <w:proofErr w:type="spellStart"/>
            <w:r w:rsidRPr="00FE5851">
              <w:rPr>
                <w:szCs w:val="24"/>
                <w:lang w:val="hu-HU"/>
              </w:rPr>
              <w:t>swapok</w:t>
            </w:r>
            <w:proofErr w:type="spellEnd"/>
            <w:r w:rsidRPr="00FE5851">
              <w:rPr>
                <w:szCs w:val="24"/>
                <w:lang w:val="hu-HU"/>
              </w:rPr>
              <w:t>):</w:t>
            </w:r>
          </w:p>
        </w:tc>
        <w:tc>
          <w:tcPr>
            <w:tcW w:w="6694" w:type="dxa"/>
          </w:tcPr>
          <w:p w14:paraId="645CB43D" w14:textId="77777777" w:rsidR="00A856BF" w:rsidRPr="00FE5851" w:rsidRDefault="00A856BF" w:rsidP="00AF7EAE">
            <w:pPr>
              <w:pStyle w:val="TableText"/>
              <w:framePr w:wrap="auto" w:yAlign="inline"/>
              <w:rPr>
                <w:szCs w:val="24"/>
                <w:lang w:val="hu-HU"/>
              </w:rPr>
            </w:pPr>
            <w:r w:rsidRPr="00FE5851">
              <w:rPr>
                <w:szCs w:val="24"/>
                <w:lang w:val="hu-HU"/>
              </w:rPr>
              <w:t xml:space="preserve">Olyan kontraktus, ahol az egyik vagy mindkét kifizetés árucikk árának vagy árucikkekből képzett index teljesítményéhez kötött. Ennek része árucikk vagy árucikkekből képzett index hozamának egy másik árucikk vagy árucikkekből képzett index hozamára vagy fix/változó kamatra történő cseréje. </w:t>
            </w:r>
          </w:p>
        </w:tc>
      </w:tr>
      <w:tr w:rsidR="00A856BF" w:rsidRPr="00FE5851" w14:paraId="5B77E8DD" w14:textId="77777777" w:rsidTr="00AF7EAE">
        <w:tblPrEx>
          <w:tblCellMar>
            <w:top w:w="0" w:type="dxa"/>
            <w:bottom w:w="0" w:type="dxa"/>
          </w:tblCellMar>
        </w:tblPrEx>
        <w:trPr>
          <w:cantSplit/>
        </w:trPr>
        <w:tc>
          <w:tcPr>
            <w:tcW w:w="2376" w:type="dxa"/>
          </w:tcPr>
          <w:p w14:paraId="407C7F63" w14:textId="77777777" w:rsidR="00A856BF" w:rsidRPr="00FE5851" w:rsidRDefault="00A856BF" w:rsidP="00AF7EAE">
            <w:pPr>
              <w:pStyle w:val="TableRowHeading"/>
              <w:rPr>
                <w:szCs w:val="24"/>
                <w:lang w:val="hu-HU"/>
              </w:rPr>
            </w:pPr>
            <w:r w:rsidRPr="00FE5851">
              <w:rPr>
                <w:szCs w:val="24"/>
                <w:lang w:val="hu-HU"/>
              </w:rPr>
              <w:t>Tőzsdén kívüli (OTC) opciós ügyletek</w:t>
            </w:r>
          </w:p>
        </w:tc>
        <w:tc>
          <w:tcPr>
            <w:tcW w:w="6694" w:type="dxa"/>
          </w:tcPr>
          <w:p w14:paraId="032FCA7E" w14:textId="77777777" w:rsidR="00A856BF" w:rsidRPr="00FE5851" w:rsidRDefault="00A856BF" w:rsidP="00AF7EAE">
            <w:pPr>
              <w:pStyle w:val="TableText"/>
              <w:framePr w:wrap="auto" w:yAlign="inline"/>
              <w:rPr>
                <w:szCs w:val="24"/>
                <w:lang w:val="hu-HU"/>
              </w:rPr>
            </w:pPr>
            <w:r w:rsidRPr="00FE5851">
              <w:rPr>
                <w:szCs w:val="24"/>
                <w:lang w:val="hu-HU"/>
              </w:rPr>
              <w:t>Árucikk vagy árucikkekből képzett index előre meghatározott áron és jövőbeli időpontban történő vételére vagy eladására vonatkozó jog, illetve kötelezettség.</w:t>
            </w:r>
          </w:p>
        </w:tc>
      </w:tr>
    </w:tbl>
    <w:p w14:paraId="222D3CC2" w14:textId="77777777" w:rsidR="00A856BF" w:rsidRPr="00FE5851" w:rsidRDefault="00A856BF" w:rsidP="00A856BF">
      <w:pPr>
        <w:pStyle w:val="Paragraph"/>
        <w:spacing w:before="360"/>
        <w:rPr>
          <w:szCs w:val="24"/>
          <w:lang w:val="hu-HU"/>
        </w:rPr>
      </w:pPr>
      <w:r w:rsidRPr="00FE5851">
        <w:rPr>
          <w:szCs w:val="24"/>
          <w:lang w:val="hu-HU"/>
        </w:rPr>
        <w:t>Elvben a nem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termékek is felbonthatók „</w:t>
      </w:r>
      <w:proofErr w:type="spellStart"/>
      <w:r w:rsidRPr="00FE5851">
        <w:rPr>
          <w:szCs w:val="24"/>
          <w:lang w:val="hu-HU"/>
        </w:rPr>
        <w:t>plain</w:t>
      </w:r>
      <w:proofErr w:type="spellEnd"/>
      <w:r w:rsidRPr="00FE5851">
        <w:rPr>
          <w:szCs w:val="24"/>
          <w:lang w:val="hu-HU"/>
        </w:rPr>
        <w:t xml:space="preserve"> </w:t>
      </w:r>
      <w:proofErr w:type="spellStart"/>
      <w:r w:rsidRPr="00FE5851">
        <w:rPr>
          <w:szCs w:val="24"/>
          <w:lang w:val="hu-HU"/>
        </w:rPr>
        <w:t>vanilla</w:t>
      </w:r>
      <w:proofErr w:type="spellEnd"/>
      <w:r w:rsidRPr="00FE5851">
        <w:rPr>
          <w:szCs w:val="24"/>
          <w:lang w:val="hu-HU"/>
        </w:rPr>
        <w:t xml:space="preserve">” összetevőikre. Ha ez nem lehetséges, akkor a tőzsdén kívüli opciókra vonatkozó rész élvez elsőbbséget az eszközbesorolásban, ezért minden, beágyazott opcióval rendelkező árucikkalapú származtatott terméket tőzsdén kívüli (OTC) opcióként kell jelenteni. Az összes többi tőzsdén kívüli (OTC) árucikkalapú származtatott terméket a tőzsdén kívüli határidős ügyletek és a csereügyletek részben kell jelenteni. </w:t>
      </w:r>
    </w:p>
    <w:p w14:paraId="3C809A1F" w14:textId="77777777" w:rsidR="00A856BF" w:rsidRPr="00FE5851" w:rsidRDefault="003C3738" w:rsidP="00A856BF">
      <w:pPr>
        <w:pStyle w:val="IndentedHeading2"/>
        <w:spacing w:after="240"/>
        <w:rPr>
          <w:szCs w:val="24"/>
          <w:lang w:val="hu-HU"/>
        </w:rPr>
      </w:pPr>
      <w:bookmarkStart w:id="20" w:name="_Toc89264409"/>
      <w:r>
        <w:rPr>
          <w:szCs w:val="24"/>
          <w:lang w:val="hu-HU"/>
        </w:rPr>
        <w:t>5.</w:t>
      </w:r>
      <w:r w:rsidR="00A856BF" w:rsidRPr="00FE5851">
        <w:rPr>
          <w:szCs w:val="24"/>
          <w:lang w:val="hu-HU"/>
        </w:rPr>
        <w:t>5.</w:t>
      </w:r>
      <w:r w:rsidR="00A856BF" w:rsidRPr="00FE5851">
        <w:rPr>
          <w:szCs w:val="24"/>
          <w:lang w:val="hu-HU"/>
        </w:rPr>
        <w:tab/>
      </w:r>
      <w:proofErr w:type="spellStart"/>
      <w:r w:rsidR="00A856BF" w:rsidRPr="00FE5851">
        <w:rPr>
          <w:szCs w:val="24"/>
          <w:lang w:val="hu-HU"/>
        </w:rPr>
        <w:t>Hitelderivatívák</w:t>
      </w:r>
      <w:bookmarkEnd w:id="20"/>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694"/>
      </w:tblGrid>
      <w:tr w:rsidR="00A856BF" w:rsidRPr="00FE5851" w14:paraId="1A50DB78" w14:textId="77777777" w:rsidTr="00AF7EAE">
        <w:tblPrEx>
          <w:tblCellMar>
            <w:top w:w="0" w:type="dxa"/>
            <w:bottom w:w="0" w:type="dxa"/>
          </w:tblCellMar>
        </w:tblPrEx>
        <w:trPr>
          <w:cantSplit/>
        </w:trPr>
        <w:tc>
          <w:tcPr>
            <w:tcW w:w="2376" w:type="dxa"/>
          </w:tcPr>
          <w:p w14:paraId="2CA56138" w14:textId="77777777" w:rsidR="00A856BF" w:rsidRPr="00FE5851" w:rsidRDefault="00A856BF" w:rsidP="00AF7EAE">
            <w:pPr>
              <w:pStyle w:val="TableRowHeading"/>
              <w:rPr>
                <w:szCs w:val="24"/>
                <w:lang w:val="hu-HU"/>
              </w:rPr>
            </w:pPr>
            <w:r>
              <w:rPr>
                <w:szCs w:val="24"/>
                <w:lang w:val="hu-HU"/>
              </w:rPr>
              <w:t>Egyszerű</w:t>
            </w:r>
            <w:r w:rsidRPr="00FE5851">
              <w:rPr>
                <w:szCs w:val="24"/>
                <w:lang w:val="hu-HU"/>
              </w:rPr>
              <w:t xml:space="preserve"> határidős ügyletek</w:t>
            </w:r>
          </w:p>
        </w:tc>
        <w:tc>
          <w:tcPr>
            <w:tcW w:w="6694" w:type="dxa"/>
          </w:tcPr>
          <w:p w14:paraId="5F8F5F88" w14:textId="77777777" w:rsidR="00A856BF" w:rsidRPr="00FE5851" w:rsidRDefault="00A856BF" w:rsidP="00AF7EAE">
            <w:pPr>
              <w:pStyle w:val="TableText"/>
              <w:framePr w:wrap="auto" w:yAlign="inline"/>
              <w:rPr>
                <w:szCs w:val="24"/>
                <w:lang w:val="hu-HU"/>
              </w:rPr>
            </w:pPr>
            <w:r w:rsidRPr="00FE5851">
              <w:rPr>
                <w:szCs w:val="24"/>
                <w:lang w:val="hu-HU"/>
              </w:rPr>
              <w:t>Megállapodás valamely jövőbeli időpontban történő készpénzkifizetésről, amely két pénzügyi eszköz szerződéskötéskor rögzített és elszámoláskori hozamkülönbözetének eltérésétől függ</w:t>
            </w:r>
            <w:r w:rsidRPr="00FE5851">
              <w:rPr>
                <w:rFonts w:ascii="Garamond" w:hAnsi="Garamond"/>
                <w:szCs w:val="24"/>
                <w:lang w:val="hu-HU"/>
              </w:rPr>
              <w:t>.</w:t>
            </w:r>
          </w:p>
        </w:tc>
      </w:tr>
      <w:tr w:rsidR="00A856BF" w:rsidRPr="00FE5851" w14:paraId="1F6E46D8" w14:textId="77777777" w:rsidTr="00AF7EAE">
        <w:tblPrEx>
          <w:tblCellMar>
            <w:top w:w="0" w:type="dxa"/>
            <w:bottom w:w="0" w:type="dxa"/>
          </w:tblCellMar>
        </w:tblPrEx>
        <w:trPr>
          <w:cantSplit/>
        </w:trPr>
        <w:tc>
          <w:tcPr>
            <w:tcW w:w="2376" w:type="dxa"/>
          </w:tcPr>
          <w:p w14:paraId="2B005620" w14:textId="77777777" w:rsidR="00A856BF" w:rsidRPr="00FE5851" w:rsidRDefault="00A856BF" w:rsidP="00AF7EAE">
            <w:pPr>
              <w:pStyle w:val="TableRowHeading"/>
              <w:rPr>
                <w:szCs w:val="24"/>
                <w:lang w:val="hu-HU"/>
              </w:rPr>
            </w:pPr>
            <w:r w:rsidRPr="00FE5851">
              <w:rPr>
                <w:szCs w:val="24"/>
                <w:lang w:val="hu-HU"/>
              </w:rPr>
              <w:t>Csereügyletek (</w:t>
            </w:r>
            <w:proofErr w:type="spellStart"/>
            <w:r w:rsidRPr="00FE5851">
              <w:rPr>
                <w:szCs w:val="24"/>
                <w:lang w:val="hu-HU"/>
              </w:rPr>
              <w:t>swapok</w:t>
            </w:r>
            <w:proofErr w:type="spellEnd"/>
            <w:r w:rsidRPr="00FE5851">
              <w:rPr>
                <w:szCs w:val="24"/>
                <w:lang w:val="hu-HU"/>
              </w:rPr>
              <w:t>):</w:t>
            </w:r>
          </w:p>
        </w:tc>
        <w:tc>
          <w:tcPr>
            <w:tcW w:w="6694" w:type="dxa"/>
          </w:tcPr>
          <w:p w14:paraId="46F4C0B2" w14:textId="77777777" w:rsidR="00A856BF" w:rsidRPr="00FE5851" w:rsidRDefault="00A856BF" w:rsidP="00AF7EAE">
            <w:pPr>
              <w:pStyle w:val="TableText"/>
              <w:framePr w:wrap="auto" w:yAlign="inline"/>
              <w:rPr>
                <w:szCs w:val="24"/>
                <w:lang w:val="hu-HU"/>
              </w:rPr>
            </w:pPr>
            <w:r w:rsidRPr="00FE5851">
              <w:rPr>
                <w:szCs w:val="24"/>
                <w:lang w:val="hu-HU"/>
              </w:rPr>
              <w:t xml:space="preserve">A </w:t>
            </w:r>
            <w:proofErr w:type="spellStart"/>
            <w:r w:rsidRPr="00FE5851">
              <w:rPr>
                <w:szCs w:val="24"/>
                <w:lang w:val="hu-HU"/>
              </w:rPr>
              <w:t>hitelderivatíva</w:t>
            </w:r>
            <w:proofErr w:type="spellEnd"/>
            <w:r w:rsidRPr="00FE5851">
              <w:rPr>
                <w:szCs w:val="24"/>
                <w:lang w:val="hu-HU"/>
              </w:rPr>
              <w:t>-csereügyletek típusai:</w:t>
            </w:r>
          </w:p>
          <w:p w14:paraId="369159E9" w14:textId="77777777" w:rsidR="00A856BF" w:rsidRPr="00FE5851" w:rsidRDefault="00A856BF" w:rsidP="00AF7EAE">
            <w:pPr>
              <w:pStyle w:val="TableText"/>
              <w:framePr w:wrap="auto" w:yAlign="inline"/>
              <w:numPr>
                <w:ilvl w:val="0"/>
                <w:numId w:val="32"/>
              </w:numPr>
              <w:tabs>
                <w:tab w:val="clear" w:pos="710"/>
                <w:tab w:val="num" w:pos="176"/>
              </w:tabs>
              <w:ind w:left="176" w:hanging="176"/>
              <w:rPr>
                <w:szCs w:val="24"/>
                <w:lang w:val="hu-HU"/>
              </w:rPr>
            </w:pPr>
            <w:proofErr w:type="spellStart"/>
            <w:r>
              <w:rPr>
                <w:szCs w:val="24"/>
                <w:lang w:val="hu-HU"/>
              </w:rPr>
              <w:t>CDS</w:t>
            </w:r>
            <w:proofErr w:type="spellEnd"/>
            <w:r>
              <w:rPr>
                <w:szCs w:val="24"/>
                <w:lang w:val="hu-HU"/>
              </w:rPr>
              <w:t xml:space="preserve"> (</w:t>
            </w:r>
            <w:r w:rsidRPr="00FE5851">
              <w:rPr>
                <w:szCs w:val="24"/>
                <w:lang w:val="hu-HU"/>
              </w:rPr>
              <w:t>Hitel-nemfizetési csereügylet</w:t>
            </w:r>
            <w:r>
              <w:rPr>
                <w:szCs w:val="24"/>
                <w:lang w:val="hu-HU"/>
              </w:rPr>
              <w:t>)</w:t>
            </w:r>
            <w:r w:rsidRPr="00FE5851">
              <w:rPr>
                <w:szCs w:val="24"/>
                <w:lang w:val="hu-HU"/>
              </w:rPr>
              <w:t xml:space="preserve">: olyan kontraktus, amely időszakos díjfizetésre kötelez két felet nemteljesítési eseménytől vagy a referenciaeszköz hitelminőségében bekövetkező bármely egyéb, előre kikötött változástól függő fizetés ellenében egy meghatározott időn keresztül. Kérjük, ne feledje, hogy további információt kérünk a </w:t>
            </w:r>
            <w:proofErr w:type="spellStart"/>
            <w:r>
              <w:rPr>
                <w:szCs w:val="24"/>
                <w:lang w:val="hu-HU"/>
              </w:rPr>
              <w:t>CDS-ekre</w:t>
            </w:r>
            <w:proofErr w:type="spellEnd"/>
            <w:r w:rsidRPr="00FE5851">
              <w:rPr>
                <w:szCs w:val="24"/>
                <w:lang w:val="hu-HU"/>
              </w:rPr>
              <w:t xml:space="preserve"> vonatkozóan. A további részleteket lásd a H-részben.</w:t>
            </w:r>
          </w:p>
          <w:p w14:paraId="0133130B" w14:textId="77777777" w:rsidR="00A856BF" w:rsidRPr="00FE5851" w:rsidRDefault="00A856BF" w:rsidP="00AF7EAE">
            <w:pPr>
              <w:pStyle w:val="TableText"/>
              <w:framePr w:wrap="auto" w:yAlign="inline"/>
              <w:numPr>
                <w:ilvl w:val="0"/>
                <w:numId w:val="32"/>
              </w:numPr>
              <w:tabs>
                <w:tab w:val="clear" w:pos="710"/>
                <w:tab w:val="num" w:pos="176"/>
              </w:tabs>
              <w:ind w:left="176" w:hanging="176"/>
              <w:rPr>
                <w:szCs w:val="24"/>
                <w:lang w:val="hu-HU"/>
              </w:rPr>
            </w:pPr>
            <w:r w:rsidRPr="00FE5851">
              <w:rPr>
                <w:szCs w:val="24"/>
                <w:lang w:val="hu-HU"/>
              </w:rPr>
              <w:t xml:space="preserve">Teljeshozamcsere-ügyletek: Feleket egy pénzügyi eszköz teljes eredményének/hozamának (kamatoknak, díjaknak és </w:t>
            </w:r>
            <w:proofErr w:type="spellStart"/>
            <w:r w:rsidRPr="00FE5851">
              <w:rPr>
                <w:szCs w:val="24"/>
                <w:lang w:val="hu-HU"/>
              </w:rPr>
              <w:t>tőkeátértékelődésnek</w:t>
            </w:r>
            <w:proofErr w:type="spellEnd"/>
            <w:r w:rsidRPr="00FE5851">
              <w:rPr>
                <w:szCs w:val="24"/>
                <w:lang w:val="hu-HU"/>
              </w:rPr>
              <w:t xml:space="preserve">) egy referenciaindexen alapuló változó hozamra történő cseréjére kötelező kontraktus. (A referenciaindex rendszerint a LIBOR plusz a partner hitelképességét és a mögöttes eszköz hitelminősítését és likviditását tükröző </w:t>
            </w:r>
            <w:proofErr w:type="spellStart"/>
            <w:r w:rsidRPr="00FE5851">
              <w:rPr>
                <w:szCs w:val="24"/>
                <w:lang w:val="hu-HU"/>
              </w:rPr>
              <w:t>szpred</w:t>
            </w:r>
            <w:proofErr w:type="spellEnd"/>
            <w:r w:rsidRPr="00FE5851">
              <w:rPr>
                <w:szCs w:val="24"/>
                <w:lang w:val="hu-HU"/>
              </w:rPr>
              <w:t>.)</w:t>
            </w:r>
          </w:p>
        </w:tc>
      </w:tr>
      <w:tr w:rsidR="00A856BF" w:rsidRPr="00FE5851" w14:paraId="7F7DE34E" w14:textId="77777777" w:rsidTr="00AF7EAE">
        <w:tblPrEx>
          <w:tblCellMar>
            <w:top w:w="0" w:type="dxa"/>
            <w:bottom w:w="0" w:type="dxa"/>
          </w:tblCellMar>
        </w:tblPrEx>
        <w:trPr>
          <w:cantSplit/>
        </w:trPr>
        <w:tc>
          <w:tcPr>
            <w:tcW w:w="2376" w:type="dxa"/>
          </w:tcPr>
          <w:p w14:paraId="64A088A3" w14:textId="77777777" w:rsidR="00A856BF" w:rsidRPr="00FE5851" w:rsidRDefault="00A856BF" w:rsidP="00AF7EAE">
            <w:pPr>
              <w:pStyle w:val="TableRowHeading"/>
              <w:rPr>
                <w:szCs w:val="24"/>
                <w:lang w:val="hu-HU"/>
              </w:rPr>
            </w:pPr>
            <w:r w:rsidRPr="00FE5851">
              <w:rPr>
                <w:szCs w:val="24"/>
                <w:lang w:val="hu-HU"/>
              </w:rPr>
              <w:t>Tőzsdén kívüli (OTC) opciós ügyletek</w:t>
            </w:r>
          </w:p>
        </w:tc>
        <w:tc>
          <w:tcPr>
            <w:tcW w:w="6694" w:type="dxa"/>
          </w:tcPr>
          <w:p w14:paraId="7DA6B515" w14:textId="77777777" w:rsidR="00A856BF" w:rsidRPr="00FE5851" w:rsidRDefault="00A856BF" w:rsidP="00AF7EAE">
            <w:pPr>
              <w:pStyle w:val="TableText"/>
              <w:framePr w:wrap="auto" w:yAlign="inline"/>
              <w:rPr>
                <w:szCs w:val="24"/>
                <w:lang w:val="hu-HU"/>
              </w:rPr>
            </w:pPr>
            <w:r w:rsidRPr="00FE5851">
              <w:rPr>
                <w:szCs w:val="24"/>
                <w:lang w:val="hu-HU"/>
              </w:rPr>
              <w:t>Tőzsdén kívüli (OTC) opciós ügyletek közé tartoznak az opciós kontraktusként meghatározható hitelkockázati hozamfelár-opciók, amelyek opciós jogot/kötelezettséget jelent egy adott pénzáram megszerzésére /kifizetésére, ha két pénzügyi eszköz hozama közötti különbség egy adott időszak alatt meghalad egy előre meghatározott szintet.</w:t>
            </w:r>
          </w:p>
        </w:tc>
      </w:tr>
    </w:tbl>
    <w:p w14:paraId="1B863122" w14:textId="77777777" w:rsidR="00A856BF" w:rsidRDefault="00A856BF" w:rsidP="00B81B30">
      <w:pPr>
        <w:pStyle w:val="Paragraph"/>
        <w:rPr>
          <w:szCs w:val="24"/>
          <w:lang w:val="hu-HU"/>
        </w:rPr>
      </w:pPr>
    </w:p>
    <w:p w14:paraId="06179A54" w14:textId="77777777" w:rsidR="00A856BF" w:rsidRPr="00FE5851" w:rsidRDefault="003C3738" w:rsidP="00A856BF">
      <w:pPr>
        <w:pStyle w:val="IndentedHeading1"/>
        <w:rPr>
          <w:szCs w:val="24"/>
          <w:lang w:val="hu-HU"/>
        </w:rPr>
      </w:pPr>
      <w:bookmarkStart w:id="21" w:name="_Toc89264410"/>
      <w:r>
        <w:rPr>
          <w:szCs w:val="24"/>
          <w:lang w:val="hu-HU"/>
        </w:rPr>
        <w:t>6.</w:t>
      </w:r>
      <w:r w:rsidR="00A856BF" w:rsidRPr="00FE5851">
        <w:rPr>
          <w:szCs w:val="24"/>
          <w:lang w:val="hu-HU"/>
        </w:rPr>
        <w:tab/>
        <w:t>Devizák és egyéb kockázati tényezők bontása</w:t>
      </w:r>
      <w:bookmarkEnd w:id="21"/>
    </w:p>
    <w:p w14:paraId="52884C1A" w14:textId="77777777" w:rsidR="00A856BF" w:rsidRPr="00FE5851" w:rsidRDefault="00A856BF" w:rsidP="00A856BF">
      <w:pPr>
        <w:pStyle w:val="Paragraph"/>
        <w:rPr>
          <w:szCs w:val="24"/>
          <w:lang w:val="hu-HU"/>
        </w:rPr>
      </w:pPr>
      <w:r w:rsidRPr="00FE5851">
        <w:rPr>
          <w:szCs w:val="24"/>
          <w:lang w:val="hu-HU"/>
        </w:rPr>
        <w:t xml:space="preserve">A </w:t>
      </w:r>
      <w:r w:rsidRPr="00FE5851">
        <w:rPr>
          <w:i/>
          <w:szCs w:val="24"/>
          <w:lang w:val="hu-HU"/>
        </w:rPr>
        <w:t>deviza-</w:t>
      </w:r>
      <w:r w:rsidRPr="00FE5851">
        <w:rPr>
          <w:szCs w:val="24"/>
          <w:lang w:val="hu-HU"/>
        </w:rPr>
        <w:t xml:space="preserve"> és kamat</w:t>
      </w:r>
      <w:r w:rsidRPr="00FE5851">
        <w:rPr>
          <w:i/>
          <w:szCs w:val="24"/>
          <w:lang w:val="hu-HU"/>
        </w:rPr>
        <w:t>kontraktusok</w:t>
      </w:r>
      <w:r w:rsidRPr="00FE5851">
        <w:rPr>
          <w:szCs w:val="24"/>
          <w:lang w:val="hu-HU"/>
        </w:rPr>
        <w:t xml:space="preserve"> </w:t>
      </w:r>
      <w:r w:rsidRPr="00FE5851">
        <w:rPr>
          <w:i/>
          <w:szCs w:val="24"/>
          <w:lang w:val="hu-HU"/>
        </w:rPr>
        <w:t>nyitott kötésállományát</w:t>
      </w:r>
      <w:r w:rsidRPr="00FE5851">
        <w:rPr>
          <w:szCs w:val="24"/>
          <w:lang w:val="hu-HU"/>
        </w:rPr>
        <w:t xml:space="preserve"> az alábbi devizák szerinti bontásban kell megadni: </w:t>
      </w:r>
    </w:p>
    <w:p w14:paraId="51DC5524" w14:textId="77777777" w:rsidR="00A856BF" w:rsidRPr="00FE5851" w:rsidRDefault="00A856BF" w:rsidP="00A856BF">
      <w:pPr>
        <w:pStyle w:val="Paragraph"/>
        <w:rPr>
          <w:szCs w:val="24"/>
          <w:lang w:val="hu-HU"/>
        </w:rPr>
      </w:pPr>
      <w:r w:rsidRPr="00FE5851">
        <w:rPr>
          <w:szCs w:val="24"/>
          <w:lang w:val="hu-HU"/>
        </w:rPr>
        <w:t xml:space="preserve">USD, EUR, </w:t>
      </w:r>
      <w:proofErr w:type="spellStart"/>
      <w:r w:rsidRPr="00FE5851">
        <w:rPr>
          <w:szCs w:val="24"/>
          <w:lang w:val="hu-HU"/>
        </w:rPr>
        <w:t>JPY</w:t>
      </w:r>
      <w:proofErr w:type="spellEnd"/>
      <w:r w:rsidRPr="00FE5851">
        <w:rPr>
          <w:szCs w:val="24"/>
          <w:lang w:val="hu-HU"/>
        </w:rPr>
        <w:t xml:space="preserve">, </w:t>
      </w:r>
      <w:proofErr w:type="spellStart"/>
      <w:r w:rsidRPr="00FE5851">
        <w:rPr>
          <w:szCs w:val="24"/>
          <w:lang w:val="hu-HU"/>
        </w:rPr>
        <w:t>GBP</w:t>
      </w:r>
      <w:proofErr w:type="spellEnd"/>
      <w:r w:rsidRPr="00FE5851">
        <w:rPr>
          <w:szCs w:val="24"/>
          <w:lang w:val="hu-HU"/>
        </w:rPr>
        <w:t>, CHF</w:t>
      </w:r>
      <w:r>
        <w:rPr>
          <w:szCs w:val="24"/>
          <w:lang w:val="hu-HU"/>
        </w:rPr>
        <w:t xml:space="preserve">, </w:t>
      </w:r>
      <w:proofErr w:type="spellStart"/>
      <w:r>
        <w:rPr>
          <w:szCs w:val="24"/>
          <w:lang w:val="hu-HU"/>
        </w:rPr>
        <w:t>CAD</w:t>
      </w:r>
      <w:proofErr w:type="spellEnd"/>
      <w:r>
        <w:rPr>
          <w:szCs w:val="24"/>
          <w:lang w:val="hu-HU"/>
        </w:rPr>
        <w:t xml:space="preserve">, </w:t>
      </w:r>
      <w:proofErr w:type="spellStart"/>
      <w:r>
        <w:rPr>
          <w:szCs w:val="24"/>
          <w:lang w:val="hu-HU"/>
        </w:rPr>
        <w:t>SEK</w:t>
      </w:r>
      <w:proofErr w:type="spellEnd"/>
      <w:r w:rsidRPr="00FE5851">
        <w:rPr>
          <w:szCs w:val="24"/>
          <w:lang w:val="hu-HU"/>
        </w:rPr>
        <w:t xml:space="preserve"> és egyéb devizák.</w:t>
      </w:r>
    </w:p>
    <w:p w14:paraId="0CBB1BCD" w14:textId="77777777" w:rsidR="00A856BF" w:rsidRDefault="00A856BF" w:rsidP="00A856BF">
      <w:pPr>
        <w:pStyle w:val="Paragraph"/>
        <w:rPr>
          <w:szCs w:val="24"/>
          <w:lang w:val="hu-HU"/>
        </w:rPr>
      </w:pPr>
      <w:r w:rsidRPr="00FE5851">
        <w:rPr>
          <w:szCs w:val="24"/>
          <w:lang w:val="hu-HU"/>
        </w:rPr>
        <w:t>A jelentő intézményeknek külön-külön kell jelezniük az egyes egyéb devizákat</w:t>
      </w:r>
      <w:r>
        <w:rPr>
          <w:szCs w:val="24"/>
          <w:lang w:val="hu-HU"/>
        </w:rPr>
        <w:t>,</w:t>
      </w:r>
      <w:r w:rsidRPr="00FE5851">
        <w:rPr>
          <w:szCs w:val="24"/>
          <w:lang w:val="hu-HU"/>
        </w:rPr>
        <w:t xml:space="preserve"> </w:t>
      </w:r>
      <w:r>
        <w:rPr>
          <w:szCs w:val="24"/>
          <w:lang w:val="hu-HU"/>
        </w:rPr>
        <w:t>ha</w:t>
      </w:r>
      <w:r w:rsidRPr="00FE5851">
        <w:rPr>
          <w:szCs w:val="24"/>
          <w:lang w:val="hu-HU"/>
        </w:rPr>
        <w:t xml:space="preserve"> a nyitott kötésállomány egy adott devizában denominált névleges összege egy adott instrumentumra vonatkozóan meghaladja a nyitott kötésállomány teljes névleges összegének </w:t>
      </w:r>
      <w:r>
        <w:rPr>
          <w:szCs w:val="24"/>
          <w:lang w:val="hu-HU"/>
        </w:rPr>
        <w:t>2</w:t>
      </w:r>
      <w:r w:rsidRPr="00FE5851">
        <w:rPr>
          <w:szCs w:val="24"/>
          <w:lang w:val="hu-HU"/>
        </w:rPr>
        <w:t xml:space="preserve">%-át. </w:t>
      </w:r>
    </w:p>
    <w:p w14:paraId="01263329" w14:textId="77777777" w:rsidR="00A856BF" w:rsidRPr="00FE5851" w:rsidRDefault="00A856BF" w:rsidP="00A856BF">
      <w:pPr>
        <w:pStyle w:val="Paragraph"/>
        <w:rPr>
          <w:szCs w:val="24"/>
          <w:lang w:val="hu-HU"/>
        </w:rPr>
      </w:pPr>
      <w:r w:rsidRPr="00FE5851">
        <w:rPr>
          <w:szCs w:val="24"/>
          <w:lang w:val="hu-HU"/>
        </w:rPr>
        <w:t xml:space="preserve">A </w:t>
      </w:r>
      <w:r w:rsidRPr="00FE5851">
        <w:rPr>
          <w:i/>
          <w:szCs w:val="24"/>
          <w:lang w:val="hu-HU"/>
        </w:rPr>
        <w:t>devizakontraktusok</w:t>
      </w:r>
      <w:r w:rsidRPr="00FE5851">
        <w:rPr>
          <w:szCs w:val="24"/>
          <w:lang w:val="hu-HU"/>
        </w:rPr>
        <w:t xml:space="preserve"> nyitott kötésállományát egydevizás alapon kell megbontani. Ez azt jelenti, hogy minden kontraktus névleges nyitott kötésállományát és bruttó pozitív vagy negatív piaci értékét kétszer kell jelenteni a szerződés két „</w:t>
      </w:r>
      <w:proofErr w:type="gramStart"/>
      <w:r w:rsidRPr="00FE5851">
        <w:rPr>
          <w:szCs w:val="24"/>
          <w:lang w:val="hu-HU"/>
        </w:rPr>
        <w:t>láb”-</w:t>
      </w:r>
      <w:proofErr w:type="gramEnd"/>
      <w:r w:rsidRPr="00FE5851">
        <w:rPr>
          <w:szCs w:val="24"/>
          <w:lang w:val="hu-HU"/>
        </w:rPr>
        <w:t xml:space="preserve">át alkotó devizák szerint. Az egyes devizákra vonatkozóan megadott teljes összeg tehát a teljes nyitott kötésállomány 200%-a lesz. Például, ha egy jelentő intézmény határidős kontraktust köt USD vételére euro ellenében, 100 millió USD névleges tőkeösszegben, akkor 100 millió USD-t az USD-oszlopban és egy másik 100 millió USD-t az EUR-oszlopban kell szerepeltetnie. </w:t>
      </w:r>
    </w:p>
    <w:p w14:paraId="31855B66" w14:textId="77777777" w:rsidR="00A856BF" w:rsidRPr="00FE5851" w:rsidRDefault="00A856BF" w:rsidP="00A856BF">
      <w:pPr>
        <w:pStyle w:val="Paragraph"/>
        <w:rPr>
          <w:szCs w:val="24"/>
          <w:lang w:val="hu-HU"/>
        </w:rPr>
      </w:pPr>
      <w:r w:rsidRPr="00FE5851">
        <w:rPr>
          <w:szCs w:val="24"/>
          <w:lang w:val="hu-HU"/>
        </w:rPr>
        <w:t xml:space="preserve">A részvénykapcsolt kontraktusokat annak megfelelően kell kategorizálni, hogy az USA, Japán, (Kelet-Európa kivételével) Európa, Latin-Amerika, Ázsia vagy egyéb országok részvény- vagy tőzsdeindexeihez kapcsolódnak-e. A kontraktusokat a mögöttes eszköz kibocsátójának nemzetisége szerint kell allokálni, nem pedig a kereskedés helyszíne szerint kell besorolni az egyes kategóriákba. Az árupiaci, hitel- és „egyéb” </w:t>
      </w:r>
      <w:proofErr w:type="spellStart"/>
      <w:r w:rsidRPr="00FE5851">
        <w:rPr>
          <w:szCs w:val="24"/>
          <w:lang w:val="hu-HU"/>
        </w:rPr>
        <w:t>derivatívákat</w:t>
      </w:r>
      <w:proofErr w:type="spellEnd"/>
      <w:r w:rsidRPr="00FE5851">
        <w:rPr>
          <w:szCs w:val="24"/>
          <w:lang w:val="hu-HU"/>
        </w:rPr>
        <w:t xml:space="preserve"> nem kell kockázati </w:t>
      </w:r>
      <w:proofErr w:type="spellStart"/>
      <w:r w:rsidRPr="00FE5851">
        <w:rPr>
          <w:szCs w:val="24"/>
          <w:lang w:val="hu-HU"/>
        </w:rPr>
        <w:t>tényezőnként</w:t>
      </w:r>
      <w:proofErr w:type="spellEnd"/>
      <w:r w:rsidRPr="00FE5851">
        <w:rPr>
          <w:szCs w:val="24"/>
          <w:lang w:val="hu-HU"/>
        </w:rPr>
        <w:t xml:space="preserve"> tovább bontani. </w:t>
      </w:r>
    </w:p>
    <w:p w14:paraId="6410380A" w14:textId="77777777" w:rsidR="00A856BF" w:rsidRPr="00FE5851" w:rsidRDefault="003C3738" w:rsidP="00A856BF">
      <w:pPr>
        <w:pStyle w:val="IndentedHeading1"/>
        <w:rPr>
          <w:szCs w:val="24"/>
          <w:lang w:val="hu-HU"/>
        </w:rPr>
      </w:pPr>
      <w:bookmarkStart w:id="22" w:name="_Toc89264411"/>
      <w:r>
        <w:rPr>
          <w:szCs w:val="24"/>
          <w:lang w:val="hu-HU"/>
        </w:rPr>
        <w:t>7</w:t>
      </w:r>
      <w:r w:rsidR="00A856BF" w:rsidRPr="00FE5851">
        <w:rPr>
          <w:szCs w:val="24"/>
          <w:lang w:val="hu-HU"/>
        </w:rPr>
        <w:t>.</w:t>
      </w:r>
      <w:r w:rsidR="00A856BF" w:rsidRPr="00FE5851">
        <w:rPr>
          <w:szCs w:val="24"/>
          <w:lang w:val="hu-HU"/>
        </w:rPr>
        <w:tab/>
        <w:t>Lejáratok</w:t>
      </w:r>
      <w:bookmarkEnd w:id="22"/>
    </w:p>
    <w:p w14:paraId="5D42B0C2" w14:textId="77777777" w:rsidR="00A856BF" w:rsidRPr="00FE5851" w:rsidRDefault="00A856BF" w:rsidP="00A856BF">
      <w:pPr>
        <w:pStyle w:val="Paragraph"/>
        <w:rPr>
          <w:szCs w:val="24"/>
          <w:lang w:val="hu-HU"/>
        </w:rPr>
      </w:pPr>
      <w:r w:rsidRPr="00FE5851">
        <w:rPr>
          <w:szCs w:val="24"/>
          <w:lang w:val="hu-HU"/>
        </w:rPr>
        <w:t xml:space="preserve">Devizához (és aranyhoz), kamathoz és részvényhez kapcsolt nyitott kötésállományokat hátralévő futamidő szerinti bontásban kell szerepeltetni az alábbi sávok szerint: </w:t>
      </w:r>
    </w:p>
    <w:p w14:paraId="6283F1D1" w14:textId="77777777" w:rsidR="00A856BF" w:rsidRPr="00FE5851" w:rsidRDefault="00A856BF" w:rsidP="00A856BF">
      <w:pPr>
        <w:pStyle w:val="Bulletpoint"/>
        <w:numPr>
          <w:ilvl w:val="0"/>
          <w:numId w:val="6"/>
        </w:numPr>
        <w:rPr>
          <w:szCs w:val="24"/>
          <w:lang w:val="hu-HU"/>
        </w:rPr>
      </w:pPr>
      <w:r w:rsidRPr="00FE5851">
        <w:rPr>
          <w:szCs w:val="24"/>
          <w:lang w:val="hu-HU"/>
        </w:rPr>
        <w:t xml:space="preserve">1 év vagy annál rövidebb, </w:t>
      </w:r>
    </w:p>
    <w:p w14:paraId="7AE0DBFA" w14:textId="77777777" w:rsidR="00A856BF" w:rsidRPr="00FE5851" w:rsidRDefault="00A856BF" w:rsidP="00A856BF">
      <w:pPr>
        <w:pStyle w:val="Bulletpoint"/>
        <w:numPr>
          <w:ilvl w:val="0"/>
          <w:numId w:val="6"/>
        </w:numPr>
        <w:rPr>
          <w:szCs w:val="24"/>
          <w:lang w:val="hu-HU"/>
        </w:rPr>
      </w:pPr>
      <w:r w:rsidRPr="00FE5851">
        <w:rPr>
          <w:szCs w:val="24"/>
          <w:lang w:val="hu-HU"/>
        </w:rPr>
        <w:t xml:space="preserve">1-5 év, </w:t>
      </w:r>
    </w:p>
    <w:p w14:paraId="1F640C18" w14:textId="77777777" w:rsidR="00A856BF" w:rsidRPr="00FE5851" w:rsidRDefault="00A856BF" w:rsidP="00A856BF">
      <w:pPr>
        <w:pStyle w:val="Bulletpoint"/>
        <w:numPr>
          <w:ilvl w:val="0"/>
          <w:numId w:val="6"/>
        </w:numPr>
        <w:rPr>
          <w:szCs w:val="24"/>
          <w:lang w:val="hu-HU"/>
        </w:rPr>
      </w:pPr>
      <w:r w:rsidRPr="00FE5851">
        <w:rPr>
          <w:szCs w:val="24"/>
          <w:lang w:val="hu-HU"/>
        </w:rPr>
        <w:t xml:space="preserve">5 évnél hosszabb. </w:t>
      </w:r>
    </w:p>
    <w:p w14:paraId="5C30BB60" w14:textId="77777777" w:rsidR="00A856BF" w:rsidRPr="00FE5851" w:rsidRDefault="00A856BF" w:rsidP="00A856BF">
      <w:pPr>
        <w:pStyle w:val="Paragraph"/>
        <w:rPr>
          <w:szCs w:val="24"/>
          <w:lang w:val="hu-HU"/>
        </w:rPr>
      </w:pPr>
      <w:r w:rsidRPr="00FE5851">
        <w:rPr>
          <w:szCs w:val="24"/>
          <w:lang w:val="hu-HU"/>
        </w:rPr>
        <w:t xml:space="preserve">Ahol az első láb még nem vált esedékessé, az egyes lábak hátralévő </w:t>
      </w:r>
      <w:proofErr w:type="spellStart"/>
      <w:r w:rsidRPr="00FE5851">
        <w:rPr>
          <w:szCs w:val="24"/>
          <w:lang w:val="hu-HU"/>
        </w:rPr>
        <w:t>futamidejét</w:t>
      </w:r>
      <w:proofErr w:type="spellEnd"/>
      <w:r w:rsidRPr="00FE5851">
        <w:rPr>
          <w:szCs w:val="24"/>
          <w:lang w:val="hu-HU"/>
        </w:rPr>
        <w:t xml:space="preserve"> a jelentés időpontja és az ügylet induló és lejárati lába kiegyenlítésének vagy esedékességének időpontja közötti különbség alapján ésszerű meghatározni. </w:t>
      </w:r>
    </w:p>
    <w:p w14:paraId="549136BA" w14:textId="77777777" w:rsidR="00A856BF" w:rsidRDefault="00A856BF" w:rsidP="00B81B30">
      <w:pPr>
        <w:pStyle w:val="Paragraph"/>
        <w:rPr>
          <w:szCs w:val="24"/>
          <w:lang w:val="hu-HU"/>
        </w:rPr>
      </w:pPr>
    </w:p>
    <w:p w14:paraId="61ED6A24" w14:textId="77777777" w:rsidR="00A856BF" w:rsidRPr="00FE5851" w:rsidRDefault="003C3738" w:rsidP="00A856BF">
      <w:pPr>
        <w:pStyle w:val="IndentedHeading1"/>
        <w:spacing w:after="0"/>
        <w:rPr>
          <w:szCs w:val="24"/>
          <w:lang w:val="hu-HU"/>
        </w:rPr>
      </w:pPr>
      <w:bookmarkStart w:id="23" w:name="_Toc89264412"/>
      <w:r>
        <w:rPr>
          <w:szCs w:val="24"/>
          <w:lang w:val="hu-HU"/>
        </w:rPr>
        <w:t>B</w:t>
      </w:r>
      <w:r w:rsidR="00A856BF" w:rsidRPr="00FE5851">
        <w:rPr>
          <w:szCs w:val="24"/>
          <w:lang w:val="hu-HU"/>
        </w:rPr>
        <w:t>.</w:t>
      </w:r>
      <w:r w:rsidR="00A856BF" w:rsidRPr="00FE5851">
        <w:rPr>
          <w:szCs w:val="24"/>
          <w:lang w:val="hu-HU"/>
        </w:rPr>
        <w:tab/>
      </w:r>
      <w:proofErr w:type="spellStart"/>
      <w:r w:rsidR="00A856BF">
        <w:rPr>
          <w:szCs w:val="24"/>
          <w:lang w:val="hu-HU"/>
        </w:rPr>
        <w:t>CDS</w:t>
      </w:r>
      <w:proofErr w:type="spellEnd"/>
      <w:r w:rsidR="00A856BF">
        <w:rPr>
          <w:szCs w:val="24"/>
          <w:lang w:val="hu-HU"/>
        </w:rPr>
        <w:t>-ek (</w:t>
      </w:r>
      <w:r w:rsidR="00A856BF" w:rsidRPr="00FE5851">
        <w:rPr>
          <w:szCs w:val="24"/>
          <w:lang w:val="hu-HU"/>
        </w:rPr>
        <w:t>Hitel-nemteljesítési csereügyletek</w:t>
      </w:r>
      <w:r w:rsidR="00A856BF">
        <w:rPr>
          <w:szCs w:val="24"/>
          <w:lang w:val="hu-HU"/>
        </w:rPr>
        <w:t>)</w:t>
      </w:r>
      <w:bookmarkEnd w:id="23"/>
    </w:p>
    <w:p w14:paraId="6C0DC87C" w14:textId="77777777" w:rsidR="00A856BF" w:rsidRDefault="00A856BF" w:rsidP="00A856BF">
      <w:pPr>
        <w:pStyle w:val="Paragraph"/>
        <w:rPr>
          <w:szCs w:val="24"/>
          <w:lang w:val="hu-HU"/>
        </w:rPr>
      </w:pPr>
    </w:p>
    <w:p w14:paraId="67D11BFB" w14:textId="77777777" w:rsidR="00FB1BA6" w:rsidRPr="00FE5851" w:rsidRDefault="00FB1BA6" w:rsidP="00FB1BA6">
      <w:pPr>
        <w:pStyle w:val="IndentedHeading2"/>
        <w:rPr>
          <w:szCs w:val="24"/>
          <w:lang w:val="hu-HU"/>
        </w:rPr>
      </w:pPr>
      <w:bookmarkStart w:id="24" w:name="_Toc89264413"/>
      <w:r>
        <w:rPr>
          <w:szCs w:val="24"/>
          <w:lang w:val="hu-HU"/>
        </w:rPr>
        <w:t>1</w:t>
      </w:r>
      <w:r w:rsidRPr="00FE5851">
        <w:rPr>
          <w:szCs w:val="24"/>
          <w:lang w:val="hu-HU"/>
        </w:rPr>
        <w:t>.</w:t>
      </w:r>
      <w:r w:rsidRPr="00FE5851">
        <w:rPr>
          <w:szCs w:val="24"/>
          <w:lang w:val="hu-HU"/>
        </w:rPr>
        <w:tab/>
        <w:t>Partnerek</w:t>
      </w:r>
      <w:bookmarkEnd w:id="24"/>
    </w:p>
    <w:p w14:paraId="5C2B4B6B" w14:textId="77777777" w:rsidR="00FB1BA6" w:rsidRPr="00FE5851" w:rsidRDefault="00FB1BA6" w:rsidP="00FB1BA6">
      <w:pPr>
        <w:pStyle w:val="Paragraph"/>
        <w:rPr>
          <w:szCs w:val="24"/>
          <w:lang w:val="hu-HU"/>
        </w:rPr>
      </w:pPr>
      <w:r w:rsidRPr="00FE5851">
        <w:rPr>
          <w:szCs w:val="24"/>
          <w:lang w:val="hu-HU"/>
        </w:rPr>
        <w:t xml:space="preserve"> A jelentő intézményeknek részletes partnerbontást kell adniuk a </w:t>
      </w:r>
      <w:proofErr w:type="spellStart"/>
      <w:r w:rsidRPr="00FE5851">
        <w:rPr>
          <w:szCs w:val="24"/>
          <w:lang w:val="hu-HU"/>
        </w:rPr>
        <w:t>CDS-ekkel</w:t>
      </w:r>
      <w:proofErr w:type="spellEnd"/>
      <w:r w:rsidRPr="00FE5851">
        <w:rPr>
          <w:szCs w:val="24"/>
          <w:lang w:val="hu-HU"/>
        </w:rPr>
        <w:t xml:space="preserve"> kapcsolatban.</w:t>
      </w:r>
    </w:p>
    <w:p w14:paraId="03F91C8B" w14:textId="77777777" w:rsidR="00FB1BA6" w:rsidRPr="00FE5851" w:rsidRDefault="00FB1BA6" w:rsidP="00FB1BA6">
      <w:pPr>
        <w:pStyle w:val="Bulletpoint"/>
        <w:numPr>
          <w:ilvl w:val="0"/>
          <w:numId w:val="6"/>
        </w:numPr>
        <w:rPr>
          <w:szCs w:val="24"/>
          <w:lang w:val="hu-HU"/>
        </w:rPr>
      </w:pPr>
      <w:r w:rsidRPr="00FE5851">
        <w:rPr>
          <w:szCs w:val="24"/>
          <w:lang w:val="hu-HU"/>
        </w:rPr>
        <w:t xml:space="preserve">Jelentő </w:t>
      </w:r>
      <w:proofErr w:type="spellStart"/>
      <w:r w:rsidRPr="00FE5851">
        <w:rPr>
          <w:szCs w:val="24"/>
          <w:lang w:val="hu-HU"/>
        </w:rPr>
        <w:t>dealerek</w:t>
      </w:r>
      <w:proofErr w:type="spellEnd"/>
      <w:r w:rsidRPr="00FE5851">
        <w:rPr>
          <w:szCs w:val="24"/>
          <w:lang w:val="hu-HU"/>
        </w:rPr>
        <w:t xml:space="preserve"> (lásd a</w:t>
      </w:r>
      <w:r w:rsidR="000C62E2">
        <w:rPr>
          <w:szCs w:val="24"/>
          <w:lang w:val="hu-HU"/>
        </w:rPr>
        <w:t>z</w:t>
      </w:r>
      <w:r w:rsidRPr="00FE5851">
        <w:rPr>
          <w:szCs w:val="24"/>
          <w:lang w:val="hu-HU"/>
        </w:rPr>
        <w:t xml:space="preserve"> </w:t>
      </w:r>
      <w:r w:rsidR="00BB1F7C">
        <w:rPr>
          <w:szCs w:val="24"/>
          <w:lang w:val="hu-HU"/>
        </w:rPr>
        <w:t>A 1.</w:t>
      </w:r>
      <w:r w:rsidRPr="00FE5851">
        <w:rPr>
          <w:szCs w:val="24"/>
          <w:lang w:val="hu-HU"/>
        </w:rPr>
        <w:t xml:space="preserve"> részt)</w:t>
      </w:r>
    </w:p>
    <w:p w14:paraId="06C8BDB7" w14:textId="77777777" w:rsidR="00FB1BA6" w:rsidRPr="00FE5851" w:rsidRDefault="00FB1BA6" w:rsidP="00FB1BA6">
      <w:pPr>
        <w:pStyle w:val="Bulletpoint"/>
        <w:numPr>
          <w:ilvl w:val="0"/>
          <w:numId w:val="6"/>
        </w:numPr>
        <w:rPr>
          <w:szCs w:val="24"/>
          <w:lang w:val="hu-HU"/>
        </w:rPr>
      </w:pPr>
      <w:r w:rsidRPr="00FE5851">
        <w:rPr>
          <w:szCs w:val="24"/>
          <w:lang w:val="hu-HU"/>
        </w:rPr>
        <w:t>Egyéb pénzintézetek: (lásd a</w:t>
      </w:r>
      <w:r w:rsidR="000C62E2">
        <w:rPr>
          <w:szCs w:val="24"/>
          <w:lang w:val="hu-HU"/>
        </w:rPr>
        <w:t>z</w:t>
      </w:r>
      <w:r w:rsidRPr="00FE5851">
        <w:rPr>
          <w:szCs w:val="24"/>
          <w:lang w:val="hu-HU"/>
        </w:rPr>
        <w:t xml:space="preserve"> </w:t>
      </w:r>
      <w:r w:rsidR="00BB1F7C">
        <w:rPr>
          <w:szCs w:val="24"/>
          <w:lang w:val="hu-HU"/>
        </w:rPr>
        <w:t>A 1.</w:t>
      </w:r>
      <w:r w:rsidRPr="00FE5851">
        <w:rPr>
          <w:szCs w:val="24"/>
          <w:lang w:val="hu-HU"/>
        </w:rPr>
        <w:t xml:space="preserve"> részt). Az egyéb pénzintézeteket további bontásban kell szerepeltetni az alábbiak szerint: </w:t>
      </w:r>
    </w:p>
    <w:p w14:paraId="5E22D851" w14:textId="77777777" w:rsidR="00FB1BA6" w:rsidRPr="00FE5851" w:rsidRDefault="00FB1BA6" w:rsidP="00FB1BA6">
      <w:pPr>
        <w:pStyle w:val="Bulletpoint"/>
        <w:numPr>
          <w:ilvl w:val="1"/>
          <w:numId w:val="35"/>
        </w:numPr>
        <w:rPr>
          <w:szCs w:val="24"/>
          <w:lang w:val="hu-HU"/>
        </w:rPr>
      </w:pPr>
      <w:r w:rsidRPr="00FE5851">
        <w:rPr>
          <w:szCs w:val="24"/>
          <w:lang w:val="hu-HU"/>
        </w:rPr>
        <w:t>Központi szerződő fél (</w:t>
      </w:r>
      <w:proofErr w:type="spellStart"/>
      <w:r>
        <w:rPr>
          <w:szCs w:val="24"/>
          <w:lang w:val="hu-HU"/>
        </w:rPr>
        <w:t>CCP</w:t>
      </w:r>
      <w:proofErr w:type="spellEnd"/>
      <w:r w:rsidRPr="00FE5851">
        <w:rPr>
          <w:szCs w:val="24"/>
          <w:lang w:val="hu-HU"/>
        </w:rPr>
        <w:t>): A központi szerződő fél egy vagy több pénzügyi piacon kereskedett kontraktus szerződő felei között elhelyezkedő közbülső szervezet, amely az eladókkal szemben vevőként, a vevőkkel szemben eladóként jár el (a központi szerződő felek aktuális jegyzékét lásd a 2. mellékletben).</w:t>
      </w:r>
    </w:p>
    <w:p w14:paraId="79D17629" w14:textId="77777777" w:rsidR="00FB1BA6" w:rsidRPr="00FE5851" w:rsidRDefault="00FB1BA6" w:rsidP="00FB1BA6">
      <w:pPr>
        <w:pStyle w:val="Bulletpoint"/>
        <w:numPr>
          <w:ilvl w:val="1"/>
          <w:numId w:val="35"/>
        </w:numPr>
        <w:rPr>
          <w:szCs w:val="24"/>
          <w:lang w:val="hu-HU"/>
        </w:rPr>
      </w:pPr>
      <w:r w:rsidRPr="00FE5851">
        <w:rPr>
          <w:szCs w:val="24"/>
          <w:lang w:val="hu-HU"/>
        </w:rPr>
        <w:t xml:space="preserve"> Bankok és értékpapír-kereskedő társaságok</w:t>
      </w:r>
    </w:p>
    <w:p w14:paraId="73AF01D2" w14:textId="77777777" w:rsidR="00FB1BA6" w:rsidRPr="00FE5851" w:rsidRDefault="00FB1BA6" w:rsidP="00FB1BA6">
      <w:pPr>
        <w:pStyle w:val="Bulletpoint"/>
        <w:numPr>
          <w:ilvl w:val="1"/>
          <w:numId w:val="35"/>
        </w:numPr>
        <w:rPr>
          <w:szCs w:val="24"/>
          <w:lang w:val="hu-HU"/>
        </w:rPr>
      </w:pPr>
      <w:r w:rsidRPr="00FE5851">
        <w:rPr>
          <w:szCs w:val="24"/>
          <w:lang w:val="hu-HU"/>
        </w:rPr>
        <w:t>Biztosítók (ideértve a nyugdíjpénztárakat)</w:t>
      </w:r>
      <w:r w:rsidRPr="00FE5851">
        <w:rPr>
          <w:rStyle w:val="Lbjegyzet-hivatkozs"/>
          <w:szCs w:val="24"/>
          <w:lang w:val="hu-HU"/>
        </w:rPr>
        <w:footnoteReference w:id="7"/>
      </w:r>
      <w:r w:rsidRPr="00FE5851">
        <w:rPr>
          <w:szCs w:val="24"/>
          <w:lang w:val="hu-HU"/>
        </w:rPr>
        <w:t xml:space="preserve">, </w:t>
      </w:r>
      <w:proofErr w:type="spellStart"/>
      <w:r w:rsidRPr="00FE5851">
        <w:rPr>
          <w:szCs w:val="24"/>
          <w:lang w:val="hu-HU"/>
        </w:rPr>
        <w:t>viszontbiztosítók</w:t>
      </w:r>
      <w:proofErr w:type="spellEnd"/>
      <w:r w:rsidRPr="00FE5851">
        <w:rPr>
          <w:szCs w:val="24"/>
          <w:lang w:val="hu-HU"/>
        </w:rPr>
        <w:t xml:space="preserve"> és pénzügyigarancia-szolgáltatók</w:t>
      </w:r>
    </w:p>
    <w:p w14:paraId="1BE5CA1B" w14:textId="77777777" w:rsidR="00FB1BA6" w:rsidRPr="00FE5851" w:rsidRDefault="00FB1BA6" w:rsidP="00FB1BA6">
      <w:pPr>
        <w:pStyle w:val="Bulletpoint"/>
        <w:numPr>
          <w:ilvl w:val="1"/>
          <w:numId w:val="35"/>
        </w:numPr>
        <w:rPr>
          <w:szCs w:val="24"/>
          <w:lang w:val="hu-HU"/>
        </w:rPr>
      </w:pPr>
      <w:r w:rsidRPr="00FE5851">
        <w:rPr>
          <w:szCs w:val="24"/>
          <w:lang w:val="hu-HU"/>
        </w:rPr>
        <w:t xml:space="preserve">Speciális célú vállalatok, speciális </w:t>
      </w:r>
      <w:proofErr w:type="spellStart"/>
      <w:r>
        <w:rPr>
          <w:szCs w:val="24"/>
          <w:lang w:val="hu-HU"/>
        </w:rPr>
        <w:t>értékpapírosítást</w:t>
      </w:r>
      <w:proofErr w:type="spellEnd"/>
      <w:r>
        <w:rPr>
          <w:szCs w:val="24"/>
          <w:lang w:val="hu-HU"/>
        </w:rPr>
        <w:t xml:space="preserve"> végző </w:t>
      </w:r>
      <w:r w:rsidRPr="00FE5851">
        <w:rPr>
          <w:szCs w:val="24"/>
          <w:lang w:val="hu-HU"/>
        </w:rPr>
        <w:t>pénzügyi közvetítő</w:t>
      </w:r>
      <w:r>
        <w:rPr>
          <w:szCs w:val="24"/>
          <w:lang w:val="hu-HU"/>
        </w:rPr>
        <w:t>k</w:t>
      </w:r>
      <w:r w:rsidRPr="00FE5851">
        <w:rPr>
          <w:szCs w:val="24"/>
          <w:lang w:val="hu-HU"/>
        </w:rPr>
        <w:t xml:space="preserve"> (</w:t>
      </w:r>
      <w:proofErr w:type="spellStart"/>
      <w:r w:rsidRPr="00FE5851">
        <w:rPr>
          <w:szCs w:val="24"/>
          <w:lang w:val="hu-HU"/>
        </w:rPr>
        <w:t>financial</w:t>
      </w:r>
      <w:proofErr w:type="spellEnd"/>
      <w:r w:rsidRPr="00FE5851">
        <w:rPr>
          <w:szCs w:val="24"/>
          <w:lang w:val="hu-HU"/>
        </w:rPr>
        <w:t xml:space="preserve"> </w:t>
      </w:r>
      <w:proofErr w:type="spellStart"/>
      <w:r w:rsidRPr="00FE5851">
        <w:rPr>
          <w:szCs w:val="24"/>
          <w:lang w:val="hu-HU"/>
        </w:rPr>
        <w:t>vehicle</w:t>
      </w:r>
      <w:proofErr w:type="spellEnd"/>
      <w:r w:rsidRPr="00FE5851">
        <w:rPr>
          <w:szCs w:val="24"/>
          <w:lang w:val="hu-HU"/>
        </w:rPr>
        <w:t xml:space="preserve"> </w:t>
      </w:r>
      <w:proofErr w:type="spellStart"/>
      <w:r w:rsidRPr="00FE5851">
        <w:rPr>
          <w:szCs w:val="24"/>
          <w:lang w:val="hu-HU"/>
        </w:rPr>
        <w:t>corporations</w:t>
      </w:r>
      <w:proofErr w:type="spellEnd"/>
      <w:r w:rsidRPr="00FE5851">
        <w:rPr>
          <w:szCs w:val="24"/>
          <w:lang w:val="hu-HU"/>
        </w:rPr>
        <w:t xml:space="preserve">, </w:t>
      </w:r>
      <w:proofErr w:type="spellStart"/>
      <w:r w:rsidRPr="00FE5851">
        <w:rPr>
          <w:szCs w:val="24"/>
          <w:lang w:val="hu-HU"/>
        </w:rPr>
        <w:t>FVC</w:t>
      </w:r>
      <w:proofErr w:type="spellEnd"/>
      <w:r w:rsidRPr="00FE5851">
        <w:rPr>
          <w:szCs w:val="24"/>
          <w:lang w:val="hu-HU"/>
        </w:rPr>
        <w:t>) és speciális célú gazdasági szervezetek (</w:t>
      </w:r>
      <w:proofErr w:type="spellStart"/>
      <w:r w:rsidRPr="00FE5851">
        <w:rPr>
          <w:szCs w:val="24"/>
          <w:lang w:val="hu-HU"/>
        </w:rPr>
        <w:t>special</w:t>
      </w:r>
      <w:proofErr w:type="spellEnd"/>
      <w:r w:rsidRPr="00FE5851">
        <w:rPr>
          <w:szCs w:val="24"/>
          <w:lang w:val="hu-HU"/>
        </w:rPr>
        <w:t xml:space="preserve"> </w:t>
      </w:r>
      <w:proofErr w:type="spellStart"/>
      <w:r w:rsidRPr="00FE5851">
        <w:rPr>
          <w:szCs w:val="24"/>
          <w:lang w:val="hu-HU"/>
        </w:rPr>
        <w:t>purpose</w:t>
      </w:r>
      <w:proofErr w:type="spellEnd"/>
      <w:r w:rsidRPr="00FE5851">
        <w:rPr>
          <w:szCs w:val="24"/>
          <w:lang w:val="hu-HU"/>
        </w:rPr>
        <w:t xml:space="preserve"> </w:t>
      </w:r>
      <w:proofErr w:type="spellStart"/>
      <w:r w:rsidRPr="00FE5851">
        <w:rPr>
          <w:szCs w:val="24"/>
          <w:lang w:val="hu-HU"/>
        </w:rPr>
        <w:t>entities</w:t>
      </w:r>
      <w:proofErr w:type="spellEnd"/>
      <w:r w:rsidRPr="00FE5851">
        <w:rPr>
          <w:szCs w:val="24"/>
          <w:lang w:val="hu-HU"/>
        </w:rPr>
        <w:t xml:space="preserve">, </w:t>
      </w:r>
      <w:proofErr w:type="spellStart"/>
      <w:r w:rsidRPr="00FE5851">
        <w:rPr>
          <w:szCs w:val="24"/>
          <w:lang w:val="hu-HU"/>
        </w:rPr>
        <w:t>SPE</w:t>
      </w:r>
      <w:proofErr w:type="spellEnd"/>
      <w:r w:rsidRPr="00FE5851">
        <w:rPr>
          <w:szCs w:val="24"/>
          <w:lang w:val="hu-HU"/>
        </w:rPr>
        <w:t>)</w:t>
      </w:r>
      <w:r w:rsidRPr="00FE5851">
        <w:rPr>
          <w:rStyle w:val="Lbjegyzet-hivatkozs"/>
          <w:szCs w:val="24"/>
          <w:lang w:val="hu-HU"/>
        </w:rPr>
        <w:footnoteReference w:id="8"/>
      </w:r>
      <w:r w:rsidRPr="00FE5851">
        <w:rPr>
          <w:szCs w:val="24"/>
          <w:lang w:val="hu-HU"/>
        </w:rPr>
        <w:t>: jogi személyiséggel rendelkező szervezetek, amelyeket kizárólag egyedi ügyletek lebonyolítására hoznak létre, például eszköz-</w:t>
      </w:r>
      <w:proofErr w:type="spellStart"/>
      <w:r w:rsidRPr="00FE5851">
        <w:rPr>
          <w:szCs w:val="24"/>
          <w:lang w:val="hu-HU"/>
        </w:rPr>
        <w:t>értékpapírosítás</w:t>
      </w:r>
      <w:proofErr w:type="spellEnd"/>
      <w:r w:rsidRPr="00FE5851">
        <w:rPr>
          <w:szCs w:val="24"/>
          <w:lang w:val="hu-HU"/>
        </w:rPr>
        <w:t xml:space="preserve"> összefüggésében eszköz- és jelzálogfedezetű értékpapírok kibocsátása. Ezeknek a szervezeteknek gyakran saját munkatársaik sincsenek. </w:t>
      </w:r>
    </w:p>
    <w:p w14:paraId="5987282D" w14:textId="77777777" w:rsidR="00FB1BA6" w:rsidRPr="00FE5851" w:rsidRDefault="00FB1BA6" w:rsidP="00FB1BA6">
      <w:pPr>
        <w:pStyle w:val="Bulletpoint"/>
        <w:numPr>
          <w:ilvl w:val="1"/>
          <w:numId w:val="35"/>
        </w:numPr>
        <w:rPr>
          <w:szCs w:val="24"/>
          <w:lang w:val="hu-HU"/>
        </w:rPr>
      </w:pPr>
      <w:proofErr w:type="spellStart"/>
      <w:r>
        <w:rPr>
          <w:spacing w:val="2"/>
          <w:szCs w:val="24"/>
          <w:lang w:val="hu-HU"/>
        </w:rPr>
        <w:t>Hedge</w:t>
      </w:r>
      <w:proofErr w:type="spellEnd"/>
      <w:r>
        <w:rPr>
          <w:spacing w:val="2"/>
          <w:szCs w:val="24"/>
          <w:lang w:val="hu-HU"/>
        </w:rPr>
        <w:t xml:space="preserve"> </w:t>
      </w:r>
      <w:proofErr w:type="spellStart"/>
      <w:r>
        <w:rPr>
          <w:spacing w:val="2"/>
          <w:szCs w:val="24"/>
          <w:lang w:val="hu-HU"/>
        </w:rPr>
        <w:t>fund</w:t>
      </w:r>
      <w:proofErr w:type="spellEnd"/>
      <w:r>
        <w:rPr>
          <w:spacing w:val="2"/>
          <w:szCs w:val="24"/>
          <w:lang w:val="hu-HU"/>
        </w:rPr>
        <w:t>-ok</w:t>
      </w:r>
      <w:r w:rsidRPr="00FE5851">
        <w:rPr>
          <w:spacing w:val="2"/>
          <w:szCs w:val="24"/>
          <w:lang w:val="hu-HU"/>
        </w:rPr>
        <w:t>:</w:t>
      </w:r>
      <w:r w:rsidRPr="00FE5851">
        <w:rPr>
          <w:i/>
          <w:color w:val="1F497D"/>
          <w:spacing w:val="2"/>
          <w:szCs w:val="24"/>
          <w:lang w:val="hu-HU"/>
        </w:rPr>
        <w:t xml:space="preserve"> </w:t>
      </w:r>
      <w:r w:rsidRPr="00FE5851">
        <w:rPr>
          <w:spacing w:val="2"/>
          <w:szCs w:val="24"/>
          <w:lang w:val="hu-HU"/>
        </w:rPr>
        <w:t xml:space="preserve">Többnyire szabályozatlan befektetési alapok, amelyek – jellemzően – hosszú vagy rövid árucikk- vagy pénzügyieszköz-pozíciót tartanak több különböző piacon, előre meghatározott befektetési stratégia szerint, s amelyek igen nagy tőkeáttételűek lehetnek. Mivel ez az iránymutatás nem nyújt átfogó meghatározást a </w:t>
      </w:r>
      <w:proofErr w:type="spellStart"/>
      <w:r>
        <w:rPr>
          <w:spacing w:val="2"/>
          <w:szCs w:val="24"/>
          <w:lang w:val="hu-HU"/>
        </w:rPr>
        <w:t>hedge</w:t>
      </w:r>
      <w:proofErr w:type="spellEnd"/>
      <w:r>
        <w:rPr>
          <w:spacing w:val="2"/>
          <w:szCs w:val="24"/>
          <w:lang w:val="hu-HU"/>
        </w:rPr>
        <w:t xml:space="preserve"> </w:t>
      </w:r>
      <w:proofErr w:type="spellStart"/>
      <w:r>
        <w:rPr>
          <w:spacing w:val="2"/>
          <w:szCs w:val="24"/>
          <w:lang w:val="hu-HU"/>
        </w:rPr>
        <w:t>fund</w:t>
      </w:r>
      <w:proofErr w:type="spellEnd"/>
      <w:r>
        <w:rPr>
          <w:spacing w:val="2"/>
          <w:szCs w:val="24"/>
          <w:lang w:val="hu-HU"/>
        </w:rPr>
        <w:t xml:space="preserve">-okról, </w:t>
      </w:r>
      <w:r w:rsidRPr="00FE5851">
        <w:rPr>
          <w:spacing w:val="2"/>
          <w:szCs w:val="24"/>
          <w:lang w:val="hu-HU"/>
        </w:rPr>
        <w:t xml:space="preserve">a jelentő intézmények használhatják a saját </w:t>
      </w:r>
      <w:r>
        <w:rPr>
          <w:spacing w:val="2"/>
          <w:szCs w:val="24"/>
          <w:lang w:val="hu-HU"/>
        </w:rPr>
        <w:t>definíciójukat is.</w:t>
      </w:r>
    </w:p>
    <w:p w14:paraId="311D334B" w14:textId="77777777" w:rsidR="00FB1BA6" w:rsidRPr="00FE5851" w:rsidRDefault="00FB1BA6" w:rsidP="00FB1BA6">
      <w:pPr>
        <w:pStyle w:val="Bulletpoint"/>
        <w:numPr>
          <w:ilvl w:val="1"/>
          <w:numId w:val="35"/>
        </w:numPr>
        <w:rPr>
          <w:szCs w:val="24"/>
          <w:lang w:val="hu-HU"/>
        </w:rPr>
      </w:pPr>
      <w:r w:rsidRPr="00FE5851">
        <w:rPr>
          <w:szCs w:val="24"/>
          <w:lang w:val="hu-HU"/>
        </w:rPr>
        <w:t>Egyéb pénzintézetek: Ezek lefedik a fent fel nem sorolt összes többi pénzintézetet. A gyakorlatban ez azt jelenti, hogy ide főként a nyíltvégű befektetési alapok tartoznak.</w:t>
      </w:r>
    </w:p>
    <w:p w14:paraId="4845A222" w14:textId="77777777" w:rsidR="00FB1BA6" w:rsidRPr="00FE5851" w:rsidRDefault="00FB1BA6" w:rsidP="00FB1BA6">
      <w:pPr>
        <w:pStyle w:val="Bulletpoint"/>
        <w:numPr>
          <w:ilvl w:val="0"/>
          <w:numId w:val="6"/>
        </w:numPr>
        <w:rPr>
          <w:szCs w:val="24"/>
          <w:lang w:val="hu-HU"/>
        </w:rPr>
      </w:pPr>
      <w:r w:rsidRPr="00FE5851">
        <w:rPr>
          <w:i/>
          <w:szCs w:val="24"/>
          <w:lang w:val="hu-HU"/>
        </w:rPr>
        <w:t>Nem pénzügyi ügyfelek</w:t>
      </w:r>
      <w:r w:rsidRPr="00FE5851">
        <w:rPr>
          <w:szCs w:val="24"/>
          <w:lang w:val="hu-HU"/>
        </w:rPr>
        <w:t xml:space="preserve">: A fentebb fel nem sorolt összes partner. </w:t>
      </w:r>
    </w:p>
    <w:p w14:paraId="3269BCAE" w14:textId="77777777" w:rsidR="00FB1BA6" w:rsidRPr="00FE5851" w:rsidRDefault="00FB1BA6" w:rsidP="00FB1BA6">
      <w:pPr>
        <w:pStyle w:val="Paragraph"/>
        <w:spacing w:before="120"/>
        <w:rPr>
          <w:szCs w:val="24"/>
          <w:lang w:val="hu-HU"/>
        </w:rPr>
      </w:pPr>
      <w:r w:rsidRPr="00FE5851">
        <w:rPr>
          <w:szCs w:val="24"/>
          <w:lang w:val="hu-HU"/>
        </w:rPr>
        <w:t xml:space="preserve">E kategóriák további részleteit és meghatározását lásd </w:t>
      </w:r>
      <w:proofErr w:type="gramStart"/>
      <w:r w:rsidRPr="00FE5851">
        <w:rPr>
          <w:szCs w:val="24"/>
          <w:lang w:val="hu-HU"/>
        </w:rPr>
        <w:t xml:space="preserve">a </w:t>
      </w:r>
      <w:proofErr w:type="spellStart"/>
      <w:r w:rsidR="00BB1F7C">
        <w:rPr>
          <w:szCs w:val="24"/>
          <w:lang w:val="hu-HU"/>
        </w:rPr>
        <w:t>A</w:t>
      </w:r>
      <w:proofErr w:type="spellEnd"/>
      <w:proofErr w:type="gramEnd"/>
      <w:r w:rsidR="00BB1F7C">
        <w:rPr>
          <w:szCs w:val="24"/>
          <w:lang w:val="hu-HU"/>
        </w:rPr>
        <w:t xml:space="preserve"> 1. </w:t>
      </w:r>
      <w:r w:rsidRPr="00FE5851">
        <w:rPr>
          <w:szCs w:val="24"/>
          <w:lang w:val="hu-HU"/>
        </w:rPr>
        <w:t xml:space="preserve">részben. </w:t>
      </w:r>
    </w:p>
    <w:p w14:paraId="1D78403F" w14:textId="77777777" w:rsidR="00FB1BA6" w:rsidRDefault="00FB1BA6" w:rsidP="00A856BF">
      <w:pPr>
        <w:pStyle w:val="Paragraph"/>
        <w:rPr>
          <w:szCs w:val="24"/>
          <w:lang w:val="hu-HU"/>
        </w:rPr>
      </w:pPr>
    </w:p>
    <w:p w14:paraId="29456CFB" w14:textId="77777777" w:rsidR="00FB1BA6" w:rsidRPr="00FE5851" w:rsidRDefault="00FB1BA6" w:rsidP="00FB1BA6">
      <w:pPr>
        <w:pStyle w:val="IndentedHeading2"/>
        <w:rPr>
          <w:szCs w:val="24"/>
          <w:lang w:val="hu-HU"/>
        </w:rPr>
      </w:pPr>
      <w:bookmarkStart w:id="25" w:name="_Toc89264414"/>
      <w:r w:rsidRPr="00FE5851">
        <w:rPr>
          <w:szCs w:val="24"/>
          <w:lang w:val="hu-HU"/>
        </w:rPr>
        <w:t>2.</w:t>
      </w:r>
      <w:r w:rsidRPr="00FE5851">
        <w:rPr>
          <w:szCs w:val="24"/>
          <w:lang w:val="hu-HU"/>
        </w:rPr>
        <w:tab/>
        <w:t>Kért adattípusok</w:t>
      </w:r>
      <w:bookmarkEnd w:id="25"/>
    </w:p>
    <w:p w14:paraId="6772A695" w14:textId="77777777" w:rsidR="00FB1BA6" w:rsidRPr="00FE5851" w:rsidRDefault="00FB1BA6" w:rsidP="00FB1BA6">
      <w:pPr>
        <w:pStyle w:val="Paragraph"/>
        <w:rPr>
          <w:szCs w:val="24"/>
          <w:lang w:val="hu-HU"/>
        </w:rPr>
      </w:pPr>
      <w:r w:rsidRPr="00FE5851">
        <w:rPr>
          <w:szCs w:val="24"/>
          <w:lang w:val="hu-HU"/>
        </w:rPr>
        <w:t xml:space="preserve">A </w:t>
      </w:r>
      <w:proofErr w:type="spellStart"/>
      <w:r>
        <w:rPr>
          <w:szCs w:val="24"/>
          <w:lang w:val="hu-HU"/>
        </w:rPr>
        <w:t>CDS</w:t>
      </w:r>
      <w:proofErr w:type="spellEnd"/>
      <w:r>
        <w:rPr>
          <w:szCs w:val="24"/>
          <w:lang w:val="hu-HU"/>
        </w:rPr>
        <w:t xml:space="preserve"> piaci aktivitás</w:t>
      </w:r>
      <w:r w:rsidRPr="00FE5851">
        <w:rPr>
          <w:szCs w:val="24"/>
          <w:lang w:val="hu-HU"/>
        </w:rPr>
        <w:t xml:space="preserve"> nagyságának és a belőlük fakadó kitettségek méréséhez, a jelentés felbontása a jelentő intézmény sajátszámlás és megbízásos tevékenységére vonatkozó adatok alábbi típusait fedi le:</w:t>
      </w:r>
    </w:p>
    <w:p w14:paraId="346D9452" w14:textId="77777777" w:rsidR="00FB1BA6" w:rsidRPr="00FE5851" w:rsidRDefault="00FB1BA6" w:rsidP="00FB1BA6">
      <w:pPr>
        <w:pStyle w:val="Bulletpoint"/>
        <w:numPr>
          <w:ilvl w:val="0"/>
          <w:numId w:val="6"/>
        </w:numPr>
        <w:rPr>
          <w:szCs w:val="24"/>
          <w:lang w:val="hu-HU"/>
        </w:rPr>
      </w:pPr>
      <w:r w:rsidRPr="00FE5851">
        <w:rPr>
          <w:szCs w:val="24"/>
          <w:lang w:val="hu-HU"/>
        </w:rPr>
        <w:t xml:space="preserve"> Vásárolt és értékesített névleges nyitott kötésállomány</w:t>
      </w:r>
    </w:p>
    <w:p w14:paraId="6ADFE0BB" w14:textId="77777777" w:rsidR="00FB1BA6" w:rsidRPr="00FE5851" w:rsidRDefault="00FB1BA6" w:rsidP="00FB1BA6">
      <w:pPr>
        <w:pStyle w:val="Bulletpoint"/>
        <w:numPr>
          <w:ilvl w:val="0"/>
          <w:numId w:val="6"/>
        </w:numPr>
        <w:rPr>
          <w:szCs w:val="24"/>
          <w:lang w:val="hu-HU"/>
        </w:rPr>
      </w:pPr>
      <w:r w:rsidRPr="00FE5851">
        <w:rPr>
          <w:szCs w:val="24"/>
          <w:lang w:val="hu-HU"/>
        </w:rPr>
        <w:t xml:space="preserve"> Bruttó piaci érték: pozitív és negatív.</w:t>
      </w:r>
    </w:p>
    <w:p w14:paraId="29BD690F" w14:textId="77777777" w:rsidR="00FB1BA6" w:rsidRPr="00CB7D0C" w:rsidRDefault="00FB1BA6" w:rsidP="00FB1BA6">
      <w:pPr>
        <w:pStyle w:val="Bulletpoint"/>
        <w:numPr>
          <w:ilvl w:val="0"/>
          <w:numId w:val="0"/>
        </w:numPr>
        <w:rPr>
          <w:snapToGrid/>
          <w:lang w:val="hu-HU"/>
        </w:rPr>
      </w:pPr>
      <w:r>
        <w:rPr>
          <w:snapToGrid/>
          <w:lang w:val="hu-HU"/>
        </w:rPr>
        <w:t xml:space="preserve">A jelentett adatoknak tükröznie kell mind a jelentő </w:t>
      </w:r>
      <w:proofErr w:type="spellStart"/>
      <w:r>
        <w:rPr>
          <w:snapToGrid/>
          <w:lang w:val="hu-HU"/>
        </w:rPr>
        <w:t>dealer</w:t>
      </w:r>
      <w:proofErr w:type="spellEnd"/>
      <w:r>
        <w:rPr>
          <w:snapToGrid/>
          <w:lang w:val="hu-HU"/>
        </w:rPr>
        <w:t xml:space="preserve">-ek kereskedési könyvét mind a banki könyvét, amennyiben van ilyen megkülönböztetés. </w:t>
      </w:r>
      <w:r w:rsidRPr="00FE5851">
        <w:rPr>
          <w:lang w:val="hu-HU"/>
        </w:rPr>
        <w:t xml:space="preserve">A szolgáltatott adatoknak a </w:t>
      </w:r>
      <w:r>
        <w:rPr>
          <w:lang w:val="hu-HU"/>
        </w:rPr>
        <w:t>20</w:t>
      </w:r>
      <w:r w:rsidR="00BB1F7C">
        <w:rPr>
          <w:lang w:val="hu-HU"/>
        </w:rPr>
        <w:t>2</w:t>
      </w:r>
      <w:r w:rsidR="00A43950">
        <w:rPr>
          <w:lang w:val="hu-HU"/>
        </w:rPr>
        <w:t>5</w:t>
      </w:r>
      <w:r w:rsidRPr="00FE5851">
        <w:rPr>
          <w:lang w:val="hu-HU"/>
        </w:rPr>
        <w:t>. június utolsó munkanapján fennálló pozíciókat kell tükrözniük.</w:t>
      </w:r>
    </w:p>
    <w:p w14:paraId="6274397E" w14:textId="77777777" w:rsidR="00FB1BA6" w:rsidRPr="00FE5851" w:rsidRDefault="00FB1BA6" w:rsidP="000754A9">
      <w:pPr>
        <w:pStyle w:val="IndentedHeading3"/>
        <w:ind w:left="0" w:firstLine="0"/>
        <w:rPr>
          <w:szCs w:val="24"/>
          <w:lang w:val="hu-HU"/>
        </w:rPr>
      </w:pPr>
      <w:bookmarkStart w:id="26" w:name="_Toc89264415"/>
      <w:r>
        <w:rPr>
          <w:szCs w:val="24"/>
          <w:lang w:val="hu-HU"/>
        </w:rPr>
        <w:t>2.1</w:t>
      </w:r>
      <w:r>
        <w:rPr>
          <w:szCs w:val="24"/>
          <w:lang w:val="hu-HU"/>
        </w:rPr>
        <w:tab/>
      </w:r>
      <w:r>
        <w:rPr>
          <w:szCs w:val="24"/>
          <w:lang w:val="hu-HU"/>
        </w:rPr>
        <w:tab/>
      </w:r>
      <w:r>
        <w:rPr>
          <w:szCs w:val="24"/>
          <w:lang w:val="hu-HU"/>
        </w:rPr>
        <w:tab/>
      </w:r>
      <w:r>
        <w:rPr>
          <w:szCs w:val="24"/>
          <w:lang w:val="hu-HU"/>
        </w:rPr>
        <w:tab/>
      </w:r>
      <w:r>
        <w:rPr>
          <w:szCs w:val="24"/>
          <w:lang w:val="hu-HU"/>
        </w:rPr>
        <w:tab/>
        <w:t xml:space="preserve"> </w:t>
      </w:r>
      <w:r>
        <w:rPr>
          <w:szCs w:val="24"/>
          <w:lang w:val="hu-HU"/>
        </w:rPr>
        <w:tab/>
      </w:r>
      <w:r>
        <w:rPr>
          <w:szCs w:val="24"/>
          <w:lang w:val="hu-HU"/>
        </w:rPr>
        <w:tab/>
      </w:r>
      <w:r>
        <w:rPr>
          <w:szCs w:val="24"/>
          <w:lang w:val="hu-HU"/>
        </w:rPr>
        <w:tab/>
      </w:r>
      <w:r>
        <w:rPr>
          <w:szCs w:val="24"/>
          <w:lang w:val="hu-HU"/>
        </w:rPr>
        <w:tab/>
      </w:r>
      <w:r w:rsidRPr="00FE5851">
        <w:rPr>
          <w:szCs w:val="24"/>
          <w:lang w:val="hu-HU"/>
        </w:rPr>
        <w:tab/>
        <w:t xml:space="preserve"> Vásárolt és értékesített névleges nyitott kötésállomány</w:t>
      </w:r>
      <w:bookmarkEnd w:id="26"/>
    </w:p>
    <w:p w14:paraId="1FCE76D5" w14:textId="77777777" w:rsidR="00FB1BA6" w:rsidRPr="00FE5851" w:rsidRDefault="00FB1BA6" w:rsidP="00FB1BA6">
      <w:pPr>
        <w:pStyle w:val="Paragraph"/>
        <w:rPr>
          <w:szCs w:val="24"/>
          <w:lang w:val="hu-HU"/>
        </w:rPr>
      </w:pPr>
      <w:r w:rsidRPr="00FE5851">
        <w:rPr>
          <w:szCs w:val="24"/>
          <w:lang w:val="hu-HU"/>
        </w:rPr>
        <w:t xml:space="preserve"> A névleges nyitott kötésállomány segítségével megmérhető a piac nagysága. Segítségükkel mérhető a kapcsolódó mögöttes azonnali piac nagysága, továbbá hasznos bepillantást nyújt a </w:t>
      </w:r>
      <w:proofErr w:type="spellStart"/>
      <w:r>
        <w:rPr>
          <w:szCs w:val="24"/>
          <w:lang w:val="hu-HU"/>
        </w:rPr>
        <w:t>CDS-ek</w:t>
      </w:r>
      <w:r w:rsidRPr="00FE5851">
        <w:rPr>
          <w:szCs w:val="24"/>
          <w:lang w:val="hu-HU"/>
        </w:rPr>
        <w:t>p</w:t>
      </w:r>
      <w:proofErr w:type="spellEnd"/>
      <w:r>
        <w:rPr>
          <w:szCs w:val="24"/>
          <w:lang w:val="hu-HU"/>
        </w:rPr>
        <w:t xml:space="preserve"> </w:t>
      </w:r>
      <w:proofErr w:type="spellStart"/>
      <w:r w:rsidRPr="00FE5851">
        <w:rPr>
          <w:szCs w:val="24"/>
          <w:lang w:val="hu-HU"/>
        </w:rPr>
        <w:t>iacának</w:t>
      </w:r>
      <w:proofErr w:type="spellEnd"/>
      <w:r w:rsidRPr="00FE5851">
        <w:rPr>
          <w:szCs w:val="24"/>
          <w:lang w:val="hu-HU"/>
        </w:rPr>
        <w:t xml:space="preserve"> relatív nagyságára és növekedésére is.</w:t>
      </w:r>
    </w:p>
    <w:p w14:paraId="4EB19DF9" w14:textId="77777777" w:rsidR="00FB1BA6" w:rsidRPr="00FE5851" w:rsidRDefault="00FB1BA6" w:rsidP="00FB1BA6">
      <w:pPr>
        <w:pStyle w:val="Paragraph"/>
        <w:rPr>
          <w:szCs w:val="24"/>
          <w:lang w:val="hu-HU"/>
        </w:rPr>
      </w:pPr>
      <w:r w:rsidRPr="00FE5851">
        <w:rPr>
          <w:szCs w:val="24"/>
          <w:lang w:val="hu-HU"/>
        </w:rPr>
        <w:t>Nominális vagy névleges nyitott kötésállományok a már megkötött, de a beszámolás időpontjában még pénzügyileg nem teljesített (kiegyenlített) összes ügylet bruttó nominális vagy névleges értéke.</w:t>
      </w:r>
    </w:p>
    <w:p w14:paraId="0F063612" w14:textId="77777777" w:rsidR="00FB1BA6" w:rsidRPr="00FE5851" w:rsidRDefault="00FB1BA6" w:rsidP="00FB1BA6">
      <w:pPr>
        <w:pStyle w:val="Paragraph"/>
        <w:rPr>
          <w:szCs w:val="24"/>
          <w:lang w:val="hu-HU"/>
        </w:rPr>
      </w:pPr>
      <w:r w:rsidRPr="00FE5851">
        <w:rPr>
          <w:szCs w:val="24"/>
          <w:lang w:val="hu-HU"/>
        </w:rPr>
        <w:t xml:space="preserve"> E tétellel kapcsolatban a kontraktusok </w:t>
      </w:r>
      <w:proofErr w:type="spellStart"/>
      <w:r w:rsidRPr="00FE5851">
        <w:rPr>
          <w:szCs w:val="24"/>
          <w:lang w:val="hu-HU"/>
        </w:rPr>
        <w:t>nettósítása</w:t>
      </w:r>
      <w:proofErr w:type="spellEnd"/>
      <w:r w:rsidRPr="00FE5851">
        <w:rPr>
          <w:szCs w:val="24"/>
          <w:lang w:val="hu-HU"/>
        </w:rPr>
        <w:t xml:space="preserve"> nem engedélyezett. Ebből következően</w:t>
      </w:r>
    </w:p>
    <w:p w14:paraId="7C55177E" w14:textId="77777777" w:rsidR="00FB1BA6" w:rsidRPr="00FE5851" w:rsidRDefault="00FB1BA6" w:rsidP="000754A9">
      <w:pPr>
        <w:pStyle w:val="Bulletnumber"/>
        <w:numPr>
          <w:ilvl w:val="0"/>
          <w:numId w:val="41"/>
        </w:numPr>
        <w:rPr>
          <w:szCs w:val="24"/>
          <w:lang w:val="hu-HU"/>
        </w:rPr>
      </w:pPr>
      <w:r w:rsidRPr="00FE5851">
        <w:rPr>
          <w:szCs w:val="24"/>
          <w:lang w:val="hu-HU"/>
        </w:rPr>
        <w:t xml:space="preserve"> a jelentő bank által harmadik fél részére értékesített védelem nem számítható be a jelentő bank által harmadik féltől vásárolt védelembe, és</w:t>
      </w:r>
    </w:p>
    <w:p w14:paraId="67733D80" w14:textId="77777777" w:rsidR="00FB1BA6" w:rsidRPr="00FE5851" w:rsidRDefault="00FB1BA6" w:rsidP="000754A9">
      <w:pPr>
        <w:pStyle w:val="Bulletnumber"/>
        <w:numPr>
          <w:ilvl w:val="0"/>
          <w:numId w:val="41"/>
        </w:numPr>
        <w:rPr>
          <w:szCs w:val="24"/>
          <w:lang w:val="hu-HU"/>
        </w:rPr>
      </w:pPr>
      <w:r w:rsidRPr="00FE5851">
        <w:rPr>
          <w:szCs w:val="24"/>
          <w:lang w:val="hu-HU"/>
        </w:rPr>
        <w:t xml:space="preserve">a kétoldalú </w:t>
      </w:r>
      <w:proofErr w:type="spellStart"/>
      <w:r w:rsidRPr="00FE5851">
        <w:rPr>
          <w:szCs w:val="24"/>
          <w:lang w:val="hu-HU"/>
        </w:rPr>
        <w:t>nettósítási</w:t>
      </w:r>
      <w:proofErr w:type="spellEnd"/>
      <w:r w:rsidRPr="00FE5851">
        <w:rPr>
          <w:szCs w:val="24"/>
          <w:lang w:val="hu-HU"/>
        </w:rPr>
        <w:t xml:space="preserve"> megállapodás alá eső kontraktusok nem </w:t>
      </w:r>
      <w:proofErr w:type="spellStart"/>
      <w:r w:rsidRPr="00FE5851">
        <w:rPr>
          <w:szCs w:val="24"/>
          <w:lang w:val="hu-HU"/>
        </w:rPr>
        <w:t>nettósíthatók</w:t>
      </w:r>
      <w:proofErr w:type="spellEnd"/>
      <w:r w:rsidRPr="00FE5851">
        <w:rPr>
          <w:szCs w:val="24"/>
          <w:lang w:val="hu-HU"/>
        </w:rPr>
        <w:t xml:space="preserve"> beszámolási célból.</w:t>
      </w:r>
    </w:p>
    <w:p w14:paraId="4B0B33BD" w14:textId="77777777" w:rsidR="00FB1BA6" w:rsidRPr="00FE5851" w:rsidRDefault="00FB1BA6" w:rsidP="00FB1BA6">
      <w:pPr>
        <w:pStyle w:val="Paragraph"/>
        <w:rPr>
          <w:szCs w:val="24"/>
          <w:lang w:val="hu-HU"/>
        </w:rPr>
      </w:pPr>
      <w:r w:rsidRPr="00FE5851">
        <w:rPr>
          <w:szCs w:val="24"/>
          <w:lang w:val="hu-HU"/>
        </w:rPr>
        <w:t xml:space="preserve"> A jelentendő nominális érték maximális nemteljesítési védelem értéke</w:t>
      </w:r>
      <w:r w:rsidRPr="00FE5851">
        <w:rPr>
          <w:rStyle w:val="Lbjegyzet-hivatkozs"/>
          <w:szCs w:val="24"/>
          <w:lang w:val="hu-HU"/>
        </w:rPr>
        <w:footnoteReference w:id="9"/>
      </w:r>
      <w:r w:rsidRPr="00FE5851">
        <w:rPr>
          <w:szCs w:val="24"/>
          <w:lang w:val="hu-HU"/>
        </w:rPr>
        <w:t>, amely magában a kontraktusban szerepel, nem pedig a leszállítani kívánt pénzügyi instrumentum névértéke.</w:t>
      </w:r>
    </w:p>
    <w:p w14:paraId="07CCA425" w14:textId="77777777" w:rsidR="00FB1BA6" w:rsidRPr="00FE5851" w:rsidRDefault="005360C6" w:rsidP="00FB1BA6">
      <w:pPr>
        <w:pStyle w:val="IndentedHeading3"/>
        <w:rPr>
          <w:szCs w:val="24"/>
          <w:lang w:val="hu-HU"/>
        </w:rPr>
      </w:pPr>
      <w:bookmarkStart w:id="27" w:name="_Toc89264416"/>
      <w:r>
        <w:rPr>
          <w:szCs w:val="24"/>
          <w:lang w:val="hu-HU"/>
        </w:rPr>
        <w:t>2.2</w:t>
      </w:r>
      <w:r w:rsidR="00FB1BA6" w:rsidRPr="00FE5851">
        <w:rPr>
          <w:szCs w:val="24"/>
          <w:lang w:val="hu-HU"/>
        </w:rPr>
        <w:tab/>
        <w:t xml:space="preserve"> Bruttó piaci érték</w:t>
      </w:r>
      <w:bookmarkEnd w:id="27"/>
    </w:p>
    <w:p w14:paraId="50C1C1AF" w14:textId="77777777" w:rsidR="00FB1BA6" w:rsidRPr="00FE5851" w:rsidRDefault="00FB1BA6" w:rsidP="00FB1BA6">
      <w:pPr>
        <w:pStyle w:val="Paragraph"/>
        <w:rPr>
          <w:szCs w:val="24"/>
          <w:lang w:val="hu-HU"/>
        </w:rPr>
      </w:pPr>
      <w:r w:rsidRPr="00FE5851">
        <w:rPr>
          <w:szCs w:val="24"/>
          <w:lang w:val="hu-HU"/>
        </w:rPr>
        <w:t xml:space="preserve">A jelentő intézményeknek adatot kell szolgáltatniuk a nyitott </w:t>
      </w:r>
      <w:proofErr w:type="spellStart"/>
      <w:r w:rsidRPr="00FE5851">
        <w:rPr>
          <w:szCs w:val="24"/>
          <w:lang w:val="hu-HU"/>
        </w:rPr>
        <w:t>CDS</w:t>
      </w:r>
      <w:proofErr w:type="spellEnd"/>
      <w:r w:rsidRPr="00FE5851">
        <w:rPr>
          <w:szCs w:val="24"/>
          <w:lang w:val="hu-HU"/>
        </w:rPr>
        <w:t>-szerződés</w:t>
      </w:r>
      <w:r>
        <w:rPr>
          <w:szCs w:val="24"/>
          <w:lang w:val="hu-HU"/>
        </w:rPr>
        <w:t xml:space="preserve"> </w:t>
      </w:r>
      <w:r w:rsidRPr="00FE5851">
        <w:rPr>
          <w:szCs w:val="24"/>
          <w:lang w:val="hu-HU"/>
        </w:rPr>
        <w:t xml:space="preserve">állományokból eredő bruttó pozitív és bruttó negatív piaci értékekről. Szintetikus termékekből, például a </w:t>
      </w:r>
      <w:r>
        <w:rPr>
          <w:szCs w:val="24"/>
          <w:lang w:val="hu-HU"/>
        </w:rPr>
        <w:t>„</w:t>
      </w:r>
      <w:r w:rsidRPr="006930E8">
        <w:t>super senior tranche</w:t>
      </w:r>
      <w:r>
        <w:t>”</w:t>
      </w:r>
      <w:r w:rsidRPr="00FE5851" w:rsidDel="00822734">
        <w:rPr>
          <w:szCs w:val="24"/>
          <w:lang w:val="hu-HU"/>
        </w:rPr>
        <w:t xml:space="preserve"> </w:t>
      </w:r>
      <w:r>
        <w:rPr>
          <w:szCs w:val="24"/>
          <w:lang w:val="hu-HU"/>
        </w:rPr>
        <w:t>típusú</w:t>
      </w:r>
      <w:r w:rsidRPr="00FE5851">
        <w:rPr>
          <w:szCs w:val="24"/>
          <w:lang w:val="hu-HU"/>
        </w:rPr>
        <w:t xml:space="preserve"> </w:t>
      </w:r>
      <w:proofErr w:type="spellStart"/>
      <w:r w:rsidRPr="00FE5851">
        <w:rPr>
          <w:szCs w:val="24"/>
          <w:lang w:val="hu-HU"/>
        </w:rPr>
        <w:t>CDS-ekből</w:t>
      </w:r>
      <w:proofErr w:type="spellEnd"/>
      <w:r w:rsidRPr="00FE5851">
        <w:rPr>
          <w:szCs w:val="24"/>
          <w:lang w:val="hu-HU"/>
        </w:rPr>
        <w:t>, kialakított portfólióhoz kapcsolódó ügyletek esetében nehéz piaci értéket kalkulálni. Ilyenkor az adatok részben becsléssel is megállapíthatók, és azokat a „legnagyobb körültekintés elve” alapon kell jelenteni.</w:t>
      </w:r>
    </w:p>
    <w:p w14:paraId="343030CA" w14:textId="77777777" w:rsidR="00FB1BA6" w:rsidRPr="00FE5851" w:rsidRDefault="00FB1BA6" w:rsidP="00FB1BA6">
      <w:pPr>
        <w:pStyle w:val="Paragraph"/>
        <w:rPr>
          <w:szCs w:val="24"/>
          <w:lang w:val="hu-HU"/>
        </w:rPr>
      </w:pPr>
      <w:r w:rsidRPr="00FE5851">
        <w:rPr>
          <w:szCs w:val="24"/>
          <w:lang w:val="hu-HU"/>
        </w:rPr>
        <w:t>A biztosítékkal történő fedezés nem vehető figyelembe a névleges nyitott kötésállományok és a bruttó piaci értékek kiszámításához.</w:t>
      </w:r>
    </w:p>
    <w:p w14:paraId="37CC8389" w14:textId="77777777" w:rsidR="00FB1BA6" w:rsidRPr="00FE5851" w:rsidRDefault="00FB1BA6" w:rsidP="00A856BF">
      <w:pPr>
        <w:pStyle w:val="Paragraph"/>
        <w:rPr>
          <w:szCs w:val="24"/>
          <w:lang w:val="hu-HU"/>
        </w:rPr>
      </w:pPr>
    </w:p>
    <w:p w14:paraId="3BDEE38E" w14:textId="77777777" w:rsidR="00A856BF" w:rsidRPr="00FE5851" w:rsidRDefault="005360C6" w:rsidP="00A856BF">
      <w:pPr>
        <w:pStyle w:val="IndentedHeading2"/>
        <w:rPr>
          <w:szCs w:val="24"/>
          <w:lang w:val="hu-HU"/>
        </w:rPr>
      </w:pPr>
      <w:bookmarkStart w:id="28" w:name="_Toc89264417"/>
      <w:r>
        <w:rPr>
          <w:szCs w:val="24"/>
          <w:lang w:val="hu-HU"/>
        </w:rPr>
        <w:t>3</w:t>
      </w:r>
      <w:r w:rsidR="00A856BF" w:rsidRPr="00FE5851">
        <w:rPr>
          <w:szCs w:val="24"/>
          <w:lang w:val="hu-HU"/>
        </w:rPr>
        <w:t>.</w:t>
      </w:r>
      <w:r w:rsidR="00A856BF" w:rsidRPr="00FE5851">
        <w:rPr>
          <w:szCs w:val="24"/>
          <w:lang w:val="hu-HU"/>
        </w:rPr>
        <w:tab/>
      </w:r>
      <w:r w:rsidR="00A856BF">
        <w:rPr>
          <w:szCs w:val="24"/>
          <w:lang w:val="hu-HU"/>
        </w:rPr>
        <w:t xml:space="preserve">Eszköz </w:t>
      </w:r>
      <w:r w:rsidR="00A856BF" w:rsidRPr="00FE5851">
        <w:rPr>
          <w:szCs w:val="24"/>
          <w:lang w:val="hu-HU"/>
        </w:rPr>
        <w:t>típusok</w:t>
      </w:r>
      <w:bookmarkEnd w:id="28"/>
    </w:p>
    <w:p w14:paraId="70CC8EAE" w14:textId="77777777" w:rsidR="00A856BF" w:rsidRPr="00FE5851" w:rsidRDefault="00A856BF" w:rsidP="00A856BF">
      <w:pPr>
        <w:pStyle w:val="Paragraph"/>
        <w:rPr>
          <w:szCs w:val="24"/>
          <w:lang w:val="hu-HU"/>
        </w:rPr>
      </w:pPr>
      <w:r w:rsidRPr="00FE5851">
        <w:rPr>
          <w:szCs w:val="24"/>
          <w:lang w:val="hu-HU"/>
        </w:rPr>
        <w:t>A következő eszközbontást kérjük:</w:t>
      </w:r>
    </w:p>
    <w:p w14:paraId="728AB014" w14:textId="77777777" w:rsidR="00A856BF" w:rsidRPr="00FE5851" w:rsidRDefault="00A856BF" w:rsidP="00A856BF">
      <w:pPr>
        <w:pStyle w:val="Bulletpoint"/>
        <w:numPr>
          <w:ilvl w:val="0"/>
          <w:numId w:val="6"/>
        </w:numPr>
        <w:rPr>
          <w:szCs w:val="24"/>
          <w:lang w:val="hu-HU"/>
        </w:rPr>
      </w:pPr>
      <w:r w:rsidRPr="00FE5851">
        <w:rPr>
          <w:szCs w:val="24"/>
          <w:lang w:val="hu-HU"/>
        </w:rPr>
        <w:t>Egy kibocsátó instrumentumai</w:t>
      </w:r>
    </w:p>
    <w:p w14:paraId="4D91EDAB" w14:textId="77777777" w:rsidR="00A856BF" w:rsidRPr="00FE5851" w:rsidRDefault="00A856BF" w:rsidP="00A856BF">
      <w:pPr>
        <w:pStyle w:val="Bulletpoint"/>
        <w:numPr>
          <w:ilvl w:val="0"/>
          <w:numId w:val="6"/>
        </w:numPr>
        <w:rPr>
          <w:szCs w:val="24"/>
          <w:lang w:val="hu-HU"/>
        </w:rPr>
      </w:pPr>
      <w:r w:rsidRPr="00FE5851">
        <w:rPr>
          <w:szCs w:val="24"/>
          <w:lang w:val="hu-HU"/>
        </w:rPr>
        <w:t>Több kibocsátó instrumentumai</w:t>
      </w:r>
    </w:p>
    <w:p w14:paraId="7257A371" w14:textId="77777777" w:rsidR="00A856BF" w:rsidRPr="00FE5851" w:rsidRDefault="00A856BF" w:rsidP="00A856BF">
      <w:pPr>
        <w:pStyle w:val="Paragraph"/>
        <w:tabs>
          <w:tab w:val="left" w:pos="1843"/>
        </w:tabs>
        <w:spacing w:before="120"/>
        <w:rPr>
          <w:szCs w:val="24"/>
          <w:lang w:val="hu-HU"/>
        </w:rPr>
      </w:pPr>
      <w:r w:rsidRPr="00FE5851">
        <w:rPr>
          <w:i/>
          <w:szCs w:val="24"/>
          <w:lang w:val="hu-HU"/>
        </w:rPr>
        <w:t>Egy kibocsátóra vonatkozó hitel-nemteljesítési cs</w:t>
      </w:r>
      <w:r>
        <w:rPr>
          <w:i/>
          <w:szCs w:val="24"/>
          <w:lang w:val="hu-HU"/>
        </w:rPr>
        <w:t>ereügylet (</w:t>
      </w:r>
      <w:proofErr w:type="spellStart"/>
      <w:r>
        <w:rPr>
          <w:i/>
          <w:szCs w:val="24"/>
          <w:lang w:val="hu-HU"/>
        </w:rPr>
        <w:t>CDS</w:t>
      </w:r>
      <w:proofErr w:type="spellEnd"/>
      <w:r w:rsidRPr="00FE5851">
        <w:rPr>
          <w:i/>
          <w:szCs w:val="24"/>
          <w:lang w:val="hu-HU"/>
        </w:rPr>
        <w:t>)</w:t>
      </w:r>
      <w:r>
        <w:rPr>
          <w:i/>
          <w:szCs w:val="24"/>
          <w:lang w:val="hu-HU"/>
        </w:rPr>
        <w:t xml:space="preserve"> </w:t>
      </w:r>
      <w:r w:rsidRPr="00FE5851">
        <w:rPr>
          <w:i/>
          <w:szCs w:val="24"/>
          <w:lang w:val="hu-HU"/>
        </w:rPr>
        <w:t>megállapodások:</w:t>
      </w:r>
      <w:r w:rsidRPr="00FE5851">
        <w:rPr>
          <w:szCs w:val="24"/>
          <w:lang w:val="hu-HU"/>
        </w:rPr>
        <w:t xml:space="preserve"> </w:t>
      </w:r>
      <w:proofErr w:type="spellStart"/>
      <w:r w:rsidRPr="00FE5851">
        <w:rPr>
          <w:szCs w:val="24"/>
          <w:lang w:val="hu-HU"/>
        </w:rPr>
        <w:t>Hitelderivatívák</w:t>
      </w:r>
      <w:proofErr w:type="spellEnd"/>
      <w:r w:rsidRPr="00FE5851">
        <w:rPr>
          <w:szCs w:val="24"/>
          <w:lang w:val="hu-HU"/>
        </w:rPr>
        <w:t xml:space="preserve">, amelyek esetében a referenciaszervezet egyetlen szervezet, pl. társaság. </w:t>
      </w:r>
    </w:p>
    <w:p w14:paraId="27261C97" w14:textId="77777777" w:rsidR="00A856BF" w:rsidRPr="00FE5851" w:rsidRDefault="00A856BF" w:rsidP="00A856BF">
      <w:pPr>
        <w:pStyle w:val="Paragraph"/>
        <w:tabs>
          <w:tab w:val="left" w:pos="1843"/>
        </w:tabs>
        <w:rPr>
          <w:szCs w:val="24"/>
          <w:lang w:val="hu-HU"/>
        </w:rPr>
      </w:pPr>
      <w:r w:rsidRPr="00FE5851">
        <w:rPr>
          <w:i/>
          <w:szCs w:val="24"/>
          <w:lang w:val="hu-HU"/>
        </w:rPr>
        <w:t>Több kibocsátóra vonatkozó h</w:t>
      </w:r>
      <w:r>
        <w:rPr>
          <w:i/>
          <w:szCs w:val="24"/>
          <w:lang w:val="hu-HU"/>
        </w:rPr>
        <w:t>itel-nemteljesítési csereügylet (</w:t>
      </w:r>
      <w:proofErr w:type="spellStart"/>
      <w:r>
        <w:rPr>
          <w:i/>
          <w:szCs w:val="24"/>
          <w:lang w:val="hu-HU"/>
        </w:rPr>
        <w:t>CDS</w:t>
      </w:r>
      <w:proofErr w:type="spellEnd"/>
      <w:r w:rsidRPr="00FE5851">
        <w:rPr>
          <w:i/>
          <w:szCs w:val="24"/>
          <w:lang w:val="hu-HU"/>
        </w:rPr>
        <w:t>)</w:t>
      </w:r>
      <w:r>
        <w:rPr>
          <w:i/>
          <w:szCs w:val="24"/>
          <w:lang w:val="hu-HU"/>
        </w:rPr>
        <w:t xml:space="preserve"> </w:t>
      </w:r>
      <w:r w:rsidRPr="00FE5851">
        <w:rPr>
          <w:i/>
          <w:szCs w:val="24"/>
          <w:lang w:val="hu-HU"/>
        </w:rPr>
        <w:t xml:space="preserve">megállapodások: </w:t>
      </w:r>
      <w:r w:rsidRPr="00FE5851">
        <w:rPr>
          <w:szCs w:val="24"/>
          <w:lang w:val="hu-HU"/>
        </w:rPr>
        <w:t xml:space="preserve">Olyan </w:t>
      </w:r>
      <w:proofErr w:type="spellStart"/>
      <w:r w:rsidRPr="00FE5851">
        <w:rPr>
          <w:szCs w:val="24"/>
          <w:lang w:val="hu-HU"/>
        </w:rPr>
        <w:t>CDS</w:t>
      </w:r>
      <w:proofErr w:type="spellEnd"/>
      <w:r w:rsidRPr="00FE5851">
        <w:rPr>
          <w:szCs w:val="24"/>
          <w:lang w:val="hu-HU"/>
        </w:rPr>
        <w:t>-kontraktusok, ahol egynél több névre történik hivatkozás, például portfólió- vagy kosár-</w:t>
      </w:r>
      <w:proofErr w:type="spellStart"/>
      <w:r w:rsidRPr="00FE5851">
        <w:rPr>
          <w:szCs w:val="24"/>
          <w:lang w:val="hu-HU"/>
        </w:rPr>
        <w:t>CDS</w:t>
      </w:r>
      <w:proofErr w:type="spellEnd"/>
      <w:r w:rsidRPr="00FE5851">
        <w:rPr>
          <w:szCs w:val="24"/>
          <w:lang w:val="hu-HU"/>
        </w:rPr>
        <w:t xml:space="preserve">-ek vagy </w:t>
      </w:r>
      <w:proofErr w:type="spellStart"/>
      <w:r w:rsidRPr="00FE5851">
        <w:rPr>
          <w:szCs w:val="24"/>
          <w:lang w:val="hu-HU"/>
        </w:rPr>
        <w:t>CDS</w:t>
      </w:r>
      <w:proofErr w:type="spellEnd"/>
      <w:r w:rsidRPr="00FE5851">
        <w:rPr>
          <w:szCs w:val="24"/>
          <w:lang w:val="hu-HU"/>
        </w:rPr>
        <w:t xml:space="preserve">-indexek esetében. </w:t>
      </w:r>
    </w:p>
    <w:p w14:paraId="7C238E1D" w14:textId="77777777" w:rsidR="00A856BF" w:rsidRPr="00FE5851" w:rsidRDefault="00A856BF" w:rsidP="00A856BF">
      <w:pPr>
        <w:pStyle w:val="Paragraph"/>
        <w:tabs>
          <w:tab w:val="left" w:pos="1843"/>
        </w:tabs>
        <w:rPr>
          <w:szCs w:val="24"/>
          <w:lang w:val="hu-HU"/>
        </w:rPr>
      </w:pPr>
      <w:r w:rsidRPr="00FE5851">
        <w:rPr>
          <w:szCs w:val="24"/>
          <w:lang w:val="hu-HU"/>
        </w:rPr>
        <w:t xml:space="preserve">A </w:t>
      </w:r>
      <w:proofErr w:type="spellStart"/>
      <w:r>
        <w:rPr>
          <w:szCs w:val="24"/>
          <w:lang w:val="hu-HU"/>
        </w:rPr>
        <w:t>CDS</w:t>
      </w:r>
      <w:proofErr w:type="spellEnd"/>
      <w:r w:rsidRPr="00FE5851">
        <w:rPr>
          <w:szCs w:val="24"/>
          <w:lang w:val="hu-HU"/>
        </w:rPr>
        <w:t xml:space="preserve">-kosár olyan </w:t>
      </w:r>
      <w:proofErr w:type="spellStart"/>
      <w:r w:rsidRPr="00FE5851">
        <w:rPr>
          <w:szCs w:val="24"/>
          <w:lang w:val="hu-HU"/>
        </w:rPr>
        <w:t>CDS</w:t>
      </w:r>
      <w:proofErr w:type="spellEnd"/>
      <w:r w:rsidRPr="00FE5851">
        <w:rPr>
          <w:szCs w:val="24"/>
          <w:lang w:val="hu-HU"/>
        </w:rPr>
        <w:t>, ahol a hitelesemény egy meghatározott hitelkosárban található hitelek bizonyos kombinációjának nemteljesítése. Az n-edik nemteljesítésre vonatkozó kosár konkrét esetében a referenciahitelekből álló kosár n-edik hitelének nemteljesítése a kifizetés alapja. A több kibocsátóra vonatkozó hitel-nemteljesítési csereügyleteknek egy másik gyakori formája a részletekre bontott hitel-nemteljesítés csereügylet. A változatok egyedileg kialakított veszteségkorlátozások szerint működnek – ezek az „első veszteség” („</w:t>
      </w:r>
      <w:proofErr w:type="spellStart"/>
      <w:r w:rsidRPr="00FE5851">
        <w:rPr>
          <w:szCs w:val="24"/>
          <w:lang w:val="hu-HU"/>
        </w:rPr>
        <w:t>first</w:t>
      </w:r>
      <w:proofErr w:type="spellEnd"/>
      <w:r w:rsidRPr="00FE5851">
        <w:rPr>
          <w:szCs w:val="24"/>
          <w:lang w:val="hu-HU"/>
        </w:rPr>
        <w:t xml:space="preserve"> </w:t>
      </w:r>
      <w:proofErr w:type="spellStart"/>
      <w:r w:rsidRPr="00FE5851">
        <w:rPr>
          <w:szCs w:val="24"/>
          <w:lang w:val="hu-HU"/>
        </w:rPr>
        <w:t>loss</w:t>
      </w:r>
      <w:proofErr w:type="spellEnd"/>
      <w:r w:rsidRPr="00FE5851">
        <w:rPr>
          <w:szCs w:val="24"/>
          <w:lang w:val="hu-HU"/>
        </w:rPr>
        <w:t>”), a „</w:t>
      </w:r>
      <w:proofErr w:type="spellStart"/>
      <w:r w:rsidRPr="00FE5851">
        <w:rPr>
          <w:szCs w:val="24"/>
          <w:lang w:val="hu-HU"/>
        </w:rPr>
        <w:t>mezzanine</w:t>
      </w:r>
      <w:proofErr w:type="spellEnd"/>
      <w:r w:rsidRPr="00FE5851">
        <w:rPr>
          <w:szCs w:val="24"/>
          <w:lang w:val="hu-HU"/>
        </w:rPr>
        <w:t>” és az első helyi („</w:t>
      </w:r>
      <w:proofErr w:type="spellStart"/>
      <w:r w:rsidRPr="00FE5851">
        <w:rPr>
          <w:szCs w:val="24"/>
          <w:lang w:val="hu-HU"/>
        </w:rPr>
        <w:t>senior</w:t>
      </w:r>
      <w:proofErr w:type="spellEnd"/>
      <w:r w:rsidRPr="00FE5851">
        <w:rPr>
          <w:szCs w:val="24"/>
          <w:lang w:val="hu-HU"/>
        </w:rPr>
        <w:t>”) (vagy más néven „szuper első helyi”), részletekre bontott (</w:t>
      </w:r>
      <w:proofErr w:type="spellStart"/>
      <w:r w:rsidRPr="00FE5851">
        <w:rPr>
          <w:szCs w:val="24"/>
          <w:lang w:val="hu-HU"/>
        </w:rPr>
        <w:t>tranched</w:t>
      </w:r>
      <w:proofErr w:type="spellEnd"/>
      <w:r w:rsidRPr="00FE5851">
        <w:rPr>
          <w:szCs w:val="24"/>
          <w:lang w:val="hu-HU"/>
        </w:rPr>
        <w:t>) hitel-nemteljesítési csereügyletek.</w:t>
      </w:r>
    </w:p>
    <w:p w14:paraId="7B0FF6C0" w14:textId="77777777" w:rsidR="00A856BF" w:rsidRPr="00FE5851" w:rsidRDefault="00A856BF" w:rsidP="00A856BF">
      <w:pPr>
        <w:pStyle w:val="Paragraph"/>
        <w:tabs>
          <w:tab w:val="left" w:pos="1843"/>
        </w:tabs>
        <w:rPr>
          <w:szCs w:val="24"/>
          <w:lang w:val="hu-HU"/>
        </w:rPr>
      </w:pPr>
      <w:r w:rsidRPr="00FE5851">
        <w:rPr>
          <w:i/>
          <w:szCs w:val="24"/>
          <w:lang w:val="hu-HU"/>
        </w:rPr>
        <w:t>Kizárások:</w:t>
      </w:r>
      <w:r w:rsidRPr="00FE5851">
        <w:rPr>
          <w:szCs w:val="24"/>
          <w:lang w:val="hu-HU"/>
        </w:rPr>
        <w:t xml:space="preserve"> a </w:t>
      </w:r>
      <w:r>
        <w:rPr>
          <w:szCs w:val="24"/>
          <w:lang w:val="hu-HU"/>
        </w:rPr>
        <w:t>hitelkockázathoz kötött értékpapírok</w:t>
      </w:r>
      <w:r w:rsidR="001B4262">
        <w:rPr>
          <w:szCs w:val="24"/>
          <w:lang w:val="hu-HU"/>
        </w:rPr>
        <w:t xml:space="preserve"> </w:t>
      </w:r>
      <w:r>
        <w:rPr>
          <w:szCs w:val="24"/>
          <w:lang w:val="hu-HU"/>
        </w:rPr>
        <w:t>(</w:t>
      </w:r>
      <w:proofErr w:type="spellStart"/>
      <w:r w:rsidRPr="00FE5851">
        <w:rPr>
          <w:szCs w:val="24"/>
          <w:lang w:val="hu-HU"/>
        </w:rPr>
        <w:t>CLN</w:t>
      </w:r>
      <w:proofErr w:type="spellEnd"/>
      <w:r w:rsidRPr="00FE5851">
        <w:rPr>
          <w:szCs w:val="24"/>
          <w:lang w:val="hu-HU"/>
        </w:rPr>
        <w:t>-ek</w:t>
      </w:r>
      <w:r>
        <w:rPr>
          <w:szCs w:val="24"/>
          <w:lang w:val="hu-HU"/>
        </w:rPr>
        <w:t>)</w:t>
      </w:r>
      <w:r w:rsidRPr="00FE5851">
        <w:rPr>
          <w:szCs w:val="24"/>
          <w:lang w:val="hu-HU"/>
        </w:rPr>
        <w:t xml:space="preserve">, a </w:t>
      </w:r>
      <w:proofErr w:type="spellStart"/>
      <w:r w:rsidRPr="00FE5851">
        <w:rPr>
          <w:szCs w:val="24"/>
          <w:lang w:val="hu-HU"/>
        </w:rPr>
        <w:t>CDS-ekre</w:t>
      </w:r>
      <w:proofErr w:type="spellEnd"/>
      <w:r w:rsidRPr="00FE5851">
        <w:rPr>
          <w:szCs w:val="24"/>
          <w:lang w:val="hu-HU"/>
        </w:rPr>
        <w:t xml:space="preserve"> szóló opciók és a teljeshozamcsere-ügyletek nem sorolandók a </w:t>
      </w:r>
      <w:proofErr w:type="spellStart"/>
      <w:r>
        <w:rPr>
          <w:szCs w:val="24"/>
          <w:lang w:val="hu-HU"/>
        </w:rPr>
        <w:t>CDS</w:t>
      </w:r>
      <w:proofErr w:type="spellEnd"/>
      <w:r>
        <w:rPr>
          <w:szCs w:val="24"/>
          <w:lang w:val="hu-HU"/>
        </w:rPr>
        <w:t xml:space="preserve">-ek </w:t>
      </w:r>
      <w:r w:rsidRPr="00FE5851">
        <w:rPr>
          <w:szCs w:val="24"/>
          <w:lang w:val="hu-HU"/>
        </w:rPr>
        <w:t>közé.</w:t>
      </w:r>
    </w:p>
    <w:p w14:paraId="2E7A2CA5" w14:textId="77777777" w:rsidR="00A856BF" w:rsidRPr="00FE5851" w:rsidRDefault="00A856BF" w:rsidP="00A856BF">
      <w:pPr>
        <w:pStyle w:val="Paragraph"/>
        <w:rPr>
          <w:szCs w:val="24"/>
          <w:highlight w:val="green"/>
          <w:lang w:val="hu-HU"/>
        </w:rPr>
      </w:pPr>
    </w:p>
    <w:p w14:paraId="200F8A63" w14:textId="77777777" w:rsidR="00A856BF" w:rsidRPr="00FE5851" w:rsidRDefault="00A856BF" w:rsidP="00A856BF">
      <w:pPr>
        <w:pStyle w:val="IndentedHeading2"/>
        <w:rPr>
          <w:szCs w:val="24"/>
          <w:lang w:val="hu-HU"/>
        </w:rPr>
      </w:pPr>
      <w:bookmarkStart w:id="29" w:name="_Toc89264418"/>
      <w:r w:rsidRPr="00FE5851">
        <w:rPr>
          <w:szCs w:val="24"/>
          <w:lang w:val="hu-HU"/>
        </w:rPr>
        <w:t>4.</w:t>
      </w:r>
      <w:r w:rsidRPr="00FE5851">
        <w:rPr>
          <w:szCs w:val="24"/>
          <w:lang w:val="hu-HU"/>
        </w:rPr>
        <w:tab/>
        <w:t>Ágazat</w:t>
      </w:r>
      <w:bookmarkEnd w:id="29"/>
    </w:p>
    <w:p w14:paraId="0F3CC6A5" w14:textId="77777777" w:rsidR="00A856BF" w:rsidRPr="00FE5851" w:rsidRDefault="00A856BF" w:rsidP="00A856BF">
      <w:pPr>
        <w:pStyle w:val="Paragraph"/>
        <w:rPr>
          <w:szCs w:val="24"/>
          <w:lang w:val="hu-HU"/>
        </w:rPr>
      </w:pPr>
      <w:r w:rsidRPr="00FE5851">
        <w:rPr>
          <w:szCs w:val="24"/>
          <w:lang w:val="hu-HU"/>
        </w:rPr>
        <w:t>A mögöttes kötelezettség kötelezettjének bontása gazdasági szektoronként a következőképpen:</w:t>
      </w:r>
    </w:p>
    <w:p w14:paraId="299D50C7" w14:textId="77777777" w:rsidR="00A856BF" w:rsidRPr="00FE5851" w:rsidRDefault="00A856BF" w:rsidP="00A856BF">
      <w:pPr>
        <w:pStyle w:val="Bulletpoint"/>
        <w:numPr>
          <w:ilvl w:val="0"/>
          <w:numId w:val="6"/>
        </w:numPr>
        <w:rPr>
          <w:szCs w:val="24"/>
          <w:lang w:val="hu-HU"/>
        </w:rPr>
      </w:pPr>
      <w:r w:rsidRPr="00FE5851">
        <w:rPr>
          <w:i/>
          <w:szCs w:val="24"/>
          <w:lang w:val="hu-HU"/>
        </w:rPr>
        <w:t>Kormányzati (állami) szektor:</w:t>
      </w:r>
      <w:r w:rsidRPr="00FE5851">
        <w:rPr>
          <w:szCs w:val="24"/>
          <w:lang w:val="hu-HU"/>
        </w:rPr>
        <w:t xml:space="preserve"> Elvben egy adott ország központi, állami vagy helyi kormánya/(ön)kormányzata, kivéve az állami tulajdonú pénzügyi és nem pénzügyi </w:t>
      </w:r>
      <w:r>
        <w:rPr>
          <w:szCs w:val="24"/>
          <w:lang w:val="hu-HU"/>
        </w:rPr>
        <w:t>vállalatokat</w:t>
      </w:r>
      <w:r w:rsidRPr="00FE5851">
        <w:rPr>
          <w:szCs w:val="24"/>
          <w:lang w:val="hu-HU"/>
        </w:rPr>
        <w:t xml:space="preserve">, nemzetközi szervezeteket. </w:t>
      </w:r>
    </w:p>
    <w:p w14:paraId="1330BBE9" w14:textId="77777777" w:rsidR="00A856BF" w:rsidRPr="00FE5851" w:rsidRDefault="00A856BF" w:rsidP="00A856BF">
      <w:pPr>
        <w:pStyle w:val="Bulletpoint"/>
        <w:numPr>
          <w:ilvl w:val="0"/>
          <w:numId w:val="6"/>
        </w:numPr>
        <w:rPr>
          <w:szCs w:val="24"/>
          <w:lang w:val="hu-HU"/>
        </w:rPr>
      </w:pPr>
      <w:r w:rsidRPr="00FE5851">
        <w:rPr>
          <w:i/>
          <w:szCs w:val="24"/>
          <w:lang w:val="hu-HU"/>
        </w:rPr>
        <w:t>Nem kormányzati (állami) szektor</w:t>
      </w:r>
      <w:r w:rsidRPr="00FE5851">
        <w:rPr>
          <w:szCs w:val="24"/>
          <w:lang w:val="hu-HU"/>
        </w:rPr>
        <w:t>: Minden intézmény a fentiek kivételével.</w:t>
      </w:r>
    </w:p>
    <w:p w14:paraId="4FA59669" w14:textId="77777777" w:rsidR="00A856BF" w:rsidRDefault="00A856BF" w:rsidP="00B81B30">
      <w:pPr>
        <w:pStyle w:val="Paragraph"/>
        <w:rPr>
          <w:szCs w:val="24"/>
          <w:lang w:val="hu-HU"/>
        </w:rPr>
      </w:pPr>
    </w:p>
    <w:p w14:paraId="1E881FE6" w14:textId="77777777" w:rsidR="00837F47" w:rsidRDefault="00837F47" w:rsidP="00B81B30">
      <w:pPr>
        <w:pStyle w:val="Paragraph"/>
        <w:rPr>
          <w:szCs w:val="24"/>
          <w:lang w:val="hu-HU"/>
        </w:rPr>
      </w:pPr>
    </w:p>
    <w:p w14:paraId="673C87A7" w14:textId="77777777" w:rsidR="00837F47" w:rsidRDefault="00837F47" w:rsidP="00B81B30">
      <w:pPr>
        <w:pStyle w:val="Paragraph"/>
        <w:rPr>
          <w:szCs w:val="24"/>
          <w:lang w:val="hu-HU"/>
        </w:rPr>
      </w:pPr>
    </w:p>
    <w:p w14:paraId="182D0E5A" w14:textId="77777777" w:rsidR="000C62E2" w:rsidRPr="00AA22B7" w:rsidRDefault="000C62E2" w:rsidP="000C62E2">
      <w:pPr>
        <w:pStyle w:val="IndentedHeading1"/>
        <w:spacing w:after="0"/>
        <w:rPr>
          <w:szCs w:val="24"/>
        </w:rPr>
      </w:pPr>
      <w:bookmarkStart w:id="30" w:name="_Toc89264419"/>
      <w:r w:rsidRPr="00AA22B7">
        <w:rPr>
          <w:bCs/>
          <w:szCs w:val="24"/>
          <w:lang w:val="hu"/>
        </w:rPr>
        <w:t xml:space="preserve">C </w:t>
      </w:r>
      <w:r w:rsidRPr="00AA22B7">
        <w:rPr>
          <w:bCs/>
          <w:szCs w:val="24"/>
          <w:lang w:val="hu"/>
        </w:rPr>
        <w:tab/>
      </w:r>
      <w:r w:rsidRPr="00AA22B7">
        <w:rPr>
          <w:bCs/>
          <w:szCs w:val="24"/>
          <w:lang w:val="hu"/>
        </w:rPr>
        <w:tab/>
      </w:r>
      <w:r w:rsidRPr="00AA22B7">
        <w:rPr>
          <w:bCs/>
          <w:szCs w:val="24"/>
          <w:lang w:val="hu"/>
        </w:rPr>
        <w:tab/>
      </w:r>
      <w:r w:rsidRPr="00AA22B7">
        <w:rPr>
          <w:bCs/>
          <w:szCs w:val="24"/>
          <w:lang w:val="hu"/>
        </w:rPr>
        <w:tab/>
      </w:r>
      <w:r w:rsidRPr="00AA22B7">
        <w:rPr>
          <w:bCs/>
          <w:szCs w:val="24"/>
          <w:lang w:val="hu"/>
        </w:rPr>
        <w:tab/>
        <w:t>Adatszolgáltatási konvenciók</w:t>
      </w:r>
      <w:bookmarkEnd w:id="30"/>
      <w:r w:rsidRPr="00AA22B7">
        <w:rPr>
          <w:bCs/>
          <w:szCs w:val="24"/>
          <w:lang w:val="hu"/>
        </w:rPr>
        <w:t xml:space="preserve"> </w:t>
      </w:r>
    </w:p>
    <w:p w14:paraId="138C4FC4" w14:textId="77777777" w:rsidR="000C62E2" w:rsidRPr="00AA22B7" w:rsidRDefault="000C62E2" w:rsidP="000C62E2">
      <w:pPr>
        <w:pStyle w:val="Default"/>
        <w:rPr>
          <w:sz w:val="26"/>
          <w:szCs w:val="26"/>
        </w:rPr>
      </w:pPr>
    </w:p>
    <w:p w14:paraId="08DCC71B" w14:textId="77777777" w:rsidR="000C62E2" w:rsidRPr="00AA22B7" w:rsidRDefault="000C62E2" w:rsidP="000C62E2">
      <w:pPr>
        <w:pStyle w:val="IndentedHeading2"/>
        <w:numPr>
          <w:ilvl w:val="0"/>
          <w:numId w:val="44"/>
        </w:numPr>
        <w:rPr>
          <w:szCs w:val="24"/>
        </w:rPr>
      </w:pPr>
      <w:r w:rsidRPr="00AA22B7">
        <w:rPr>
          <w:bCs/>
          <w:szCs w:val="24"/>
          <w:lang w:val="hu"/>
        </w:rPr>
        <w:t xml:space="preserve"> </w:t>
      </w:r>
      <w:r w:rsidRPr="00AA22B7">
        <w:rPr>
          <w:b w:val="0"/>
          <w:szCs w:val="24"/>
          <w:lang w:val="hu"/>
        </w:rPr>
        <w:tab/>
      </w:r>
      <w:bookmarkStart w:id="31" w:name="_Toc89264420"/>
      <w:r w:rsidRPr="00AA22B7">
        <w:rPr>
          <w:bCs/>
          <w:szCs w:val="24"/>
          <w:lang w:val="hu"/>
        </w:rPr>
        <w:t>Adatszolgáltatási sablon</w:t>
      </w:r>
      <w:bookmarkEnd w:id="31"/>
      <w:r w:rsidRPr="00AA22B7">
        <w:rPr>
          <w:bCs/>
          <w:szCs w:val="24"/>
          <w:lang w:val="hu"/>
        </w:rPr>
        <w:t xml:space="preserve"> </w:t>
      </w:r>
    </w:p>
    <w:p w14:paraId="18CF136E" w14:textId="77777777" w:rsidR="000C62E2" w:rsidRDefault="000C62E2" w:rsidP="000C62E2">
      <w:pPr>
        <w:pStyle w:val="Default"/>
        <w:rPr>
          <w:sz w:val="22"/>
          <w:szCs w:val="22"/>
          <w:lang w:val="hu"/>
        </w:rPr>
      </w:pPr>
      <w:r w:rsidRPr="00AA22B7">
        <w:rPr>
          <w:sz w:val="22"/>
          <w:szCs w:val="22"/>
          <w:lang w:val="hu"/>
        </w:rPr>
        <w:t xml:space="preserve">Az adatszolgáltatási sablon egy Excel munkafüzet, ami a gyűjtött információk típusa szerint rendezett öt táblázatot tartalmaz. </w:t>
      </w:r>
    </w:p>
    <w:p w14:paraId="5B29146A" w14:textId="77777777" w:rsidR="0047695B" w:rsidRPr="00AA22B7" w:rsidRDefault="0047695B" w:rsidP="000C62E2">
      <w:pPr>
        <w:pStyle w:val="Default"/>
        <w:rPr>
          <w:sz w:val="22"/>
          <w:szCs w:val="22"/>
        </w:rPr>
      </w:pPr>
    </w:p>
    <w:p w14:paraId="5200FBDA" w14:textId="77777777" w:rsidR="000C62E2" w:rsidRDefault="000C62E2" w:rsidP="000C62E2">
      <w:pPr>
        <w:pStyle w:val="Default"/>
        <w:rPr>
          <w:sz w:val="22"/>
          <w:szCs w:val="22"/>
          <w:lang w:val="hu"/>
        </w:rPr>
      </w:pPr>
      <w:r w:rsidRPr="00AA22B7">
        <w:rPr>
          <w:sz w:val="22"/>
          <w:szCs w:val="22"/>
          <w:lang w:val="hu"/>
        </w:rPr>
        <w:t xml:space="preserve">A felmérés devizaügyletekre és egydevizás kamatláb származékos ügyletekre vonatkozó részeiben egyes kiválasztott devizákat kell megadni. Itt az elvárás a jelentő </w:t>
      </w:r>
      <w:proofErr w:type="spellStart"/>
      <w:r w:rsidRPr="00AA22B7">
        <w:rPr>
          <w:sz w:val="22"/>
          <w:szCs w:val="22"/>
          <w:lang w:val="hu"/>
        </w:rPr>
        <w:t>dealerek</w:t>
      </w:r>
      <w:proofErr w:type="spellEnd"/>
      <w:r w:rsidRPr="00AA22B7">
        <w:rPr>
          <w:sz w:val="22"/>
          <w:szCs w:val="22"/>
          <w:lang w:val="hu"/>
        </w:rPr>
        <w:t xml:space="preserve"> felé az, hogy a névleges összegeket eszköz, devizanem és a szerződő fél ágazata szerint rendszerezzék a következő módon: </w:t>
      </w:r>
    </w:p>
    <w:p w14:paraId="0ACAAFC4" w14:textId="77777777" w:rsidR="00837F47" w:rsidRPr="00AA22B7" w:rsidRDefault="00837F47" w:rsidP="000C62E2">
      <w:pPr>
        <w:pStyle w:val="Default"/>
        <w:rPr>
          <w:sz w:val="22"/>
          <w:szCs w:val="22"/>
        </w:rPr>
      </w:pPr>
    </w:p>
    <w:p w14:paraId="1CC5B651" w14:textId="77777777" w:rsidR="000C62E2" w:rsidRPr="00AA22B7" w:rsidRDefault="000C62E2" w:rsidP="000C62E2">
      <w:pPr>
        <w:pStyle w:val="Bulletpoint"/>
        <w:numPr>
          <w:ilvl w:val="0"/>
          <w:numId w:val="6"/>
        </w:numPr>
        <w:rPr>
          <w:lang w:val="hu"/>
        </w:rPr>
      </w:pPr>
      <w:r w:rsidRPr="00AA22B7">
        <w:rPr>
          <w:lang w:val="hu"/>
        </w:rPr>
        <w:t>O1 táblázat – a devizaügyleteket bizonyos kiválasztott devizák vonatkozásában kell jelenteni</w:t>
      </w:r>
      <w:r w:rsidR="0047695B">
        <w:rPr>
          <w:lang w:val="hu"/>
        </w:rPr>
        <w:t>.</w:t>
      </w:r>
      <w:r w:rsidRPr="00AA22B7">
        <w:rPr>
          <w:lang w:val="hu"/>
        </w:rPr>
        <w:t xml:space="preserve"> Az adatokat névleges vagy elvi összegekre kell megadni, eszköz, ágazat és devizanem szerinti bontásban. Emellett, a bruttó pozitív és bruttó negatív piaci értékeket csak devizanemenként kell megadni; </w:t>
      </w:r>
    </w:p>
    <w:p w14:paraId="67EFF92C" w14:textId="77777777" w:rsidR="000C62E2" w:rsidRPr="00AA22B7" w:rsidRDefault="000C62E2" w:rsidP="000C62E2">
      <w:pPr>
        <w:pStyle w:val="Bulletpoint"/>
        <w:numPr>
          <w:ilvl w:val="0"/>
          <w:numId w:val="6"/>
        </w:numPr>
        <w:rPr>
          <w:lang w:val="hu"/>
        </w:rPr>
      </w:pPr>
      <w:r w:rsidRPr="00AA22B7">
        <w:rPr>
          <w:lang w:val="hu"/>
        </w:rPr>
        <w:t xml:space="preserve">O2 táblázat – az egydevizás kamatláb származékos ügyleteket bizonyos kiválasztott devizák vonatkozásában kell jelenteni. Az adatokat névleges vagy elvi összegekre kell megadni, eszköz, ágazat és devizanem szerinti bontásban. Emellett, a bruttó pozitív és bruttó negatív piaci értékeket csak devizanemenként kell megadni; </w:t>
      </w:r>
    </w:p>
    <w:p w14:paraId="7C36EC37" w14:textId="77777777" w:rsidR="000C62E2" w:rsidRPr="00AA22B7" w:rsidRDefault="000C62E2" w:rsidP="000C62E2">
      <w:pPr>
        <w:pStyle w:val="Bulletpoint"/>
        <w:numPr>
          <w:ilvl w:val="0"/>
          <w:numId w:val="6"/>
        </w:numPr>
        <w:rPr>
          <w:szCs w:val="22"/>
          <w:lang w:val="hu"/>
        </w:rPr>
      </w:pPr>
      <w:r w:rsidRPr="00AA22B7">
        <w:rPr>
          <w:lang w:val="hu"/>
        </w:rPr>
        <w:t xml:space="preserve">O4 táblázat – a devizaügyleteket és az egydevizás kamatláb származékos ügyleteket egyaránt eszközönként kell jelenteni hátralevő futamidő szerinti bontásban (egy év vagy egy éven belül; egy év és öt év közötti; 5 éven túli). </w:t>
      </w:r>
    </w:p>
    <w:p w14:paraId="6210F503" w14:textId="77777777" w:rsidR="0047695B" w:rsidRPr="00AA22B7" w:rsidRDefault="0047695B" w:rsidP="00AA22B7">
      <w:pPr>
        <w:pStyle w:val="Bulletpoint"/>
        <w:numPr>
          <w:ilvl w:val="0"/>
          <w:numId w:val="0"/>
        </w:numPr>
        <w:ind w:left="851"/>
        <w:rPr>
          <w:szCs w:val="22"/>
          <w:lang w:val="hu"/>
        </w:rPr>
      </w:pPr>
    </w:p>
    <w:p w14:paraId="3F9457D2" w14:textId="77777777" w:rsidR="000C62E2" w:rsidRDefault="000C62E2" w:rsidP="000C62E2">
      <w:pPr>
        <w:pStyle w:val="Bulletpoint"/>
        <w:numPr>
          <w:ilvl w:val="0"/>
          <w:numId w:val="0"/>
        </w:numPr>
        <w:rPr>
          <w:szCs w:val="22"/>
          <w:lang w:val="hu"/>
        </w:rPr>
      </w:pPr>
      <w:r w:rsidRPr="00AA22B7">
        <w:rPr>
          <w:szCs w:val="22"/>
          <w:lang w:val="hu"/>
        </w:rPr>
        <w:t xml:space="preserve">Részvény, áru, hitel és egyéb származékos ügyletek esetében nem szükséges a </w:t>
      </w:r>
      <w:proofErr w:type="spellStart"/>
      <w:r w:rsidRPr="00AA22B7">
        <w:rPr>
          <w:szCs w:val="22"/>
          <w:lang w:val="hu"/>
        </w:rPr>
        <w:t>devizanemenkénti</w:t>
      </w:r>
      <w:proofErr w:type="spellEnd"/>
      <w:r w:rsidRPr="00AA22B7">
        <w:rPr>
          <w:szCs w:val="22"/>
          <w:lang w:val="hu"/>
        </w:rPr>
        <w:t xml:space="preserve"> bontás. Ezeket a következő módon kell jelenteni: </w:t>
      </w:r>
    </w:p>
    <w:p w14:paraId="38F9E410" w14:textId="77777777" w:rsidR="00837F47" w:rsidRPr="00AA22B7" w:rsidRDefault="00837F47" w:rsidP="000C62E2">
      <w:pPr>
        <w:pStyle w:val="Bulletpoint"/>
        <w:numPr>
          <w:ilvl w:val="0"/>
          <w:numId w:val="0"/>
        </w:numPr>
        <w:rPr>
          <w:szCs w:val="22"/>
        </w:rPr>
      </w:pPr>
    </w:p>
    <w:p w14:paraId="65AF0C4E" w14:textId="77777777" w:rsidR="000C62E2" w:rsidRPr="00AA22B7" w:rsidRDefault="000C62E2" w:rsidP="000C62E2">
      <w:pPr>
        <w:pStyle w:val="Bulletpoint"/>
        <w:numPr>
          <w:ilvl w:val="0"/>
          <w:numId w:val="6"/>
        </w:numPr>
        <w:rPr>
          <w:szCs w:val="22"/>
        </w:rPr>
      </w:pPr>
      <w:r w:rsidRPr="00AA22B7">
        <w:rPr>
          <w:lang w:val="hu"/>
        </w:rPr>
        <w:t xml:space="preserve">O3 táblázat – </w:t>
      </w:r>
      <w:r w:rsidRPr="00AA22B7">
        <w:rPr>
          <w:szCs w:val="22"/>
          <w:lang w:val="hu"/>
        </w:rPr>
        <w:t xml:space="preserve">A részvényalapú származékos ügyletek névleges összegét eszközönként és a partner ágazata szerinti bontásban kell jelenteni bizonyos országokra és régiókra (USA; Japán; Európa – Albánia, a korábbi Szovjetunió és Jugoszlávia azon utódállamai kivételével, amelyek nem tagjai az Európai Uniónak; Latin-Amerika, Egyéb Ázsia; Egyéb), amelyek a mögöttes eszközt tükrözik. </w:t>
      </w:r>
    </w:p>
    <w:p w14:paraId="07780C04" w14:textId="77777777" w:rsidR="00837F47" w:rsidRPr="00AA22B7" w:rsidRDefault="00837F47" w:rsidP="00AA22B7">
      <w:pPr>
        <w:pStyle w:val="Bulletpoint"/>
        <w:numPr>
          <w:ilvl w:val="0"/>
          <w:numId w:val="0"/>
        </w:numPr>
        <w:ind w:left="851"/>
        <w:rPr>
          <w:szCs w:val="22"/>
        </w:rPr>
      </w:pPr>
    </w:p>
    <w:p w14:paraId="2371BCB6" w14:textId="77777777" w:rsidR="000C62E2" w:rsidRPr="00AA22B7" w:rsidRDefault="000C62E2" w:rsidP="000C62E2">
      <w:pPr>
        <w:pStyle w:val="Default"/>
        <w:rPr>
          <w:sz w:val="22"/>
          <w:szCs w:val="22"/>
        </w:rPr>
      </w:pPr>
      <w:r w:rsidRPr="00AA22B7">
        <w:rPr>
          <w:sz w:val="22"/>
          <w:szCs w:val="22"/>
          <w:lang w:val="hu"/>
        </w:rPr>
        <w:t xml:space="preserve">Az áru származékos ügyletek névleges összegét instrumentumok szerint kell csoportosítani. A mögöttes áru fajtája alapján további csoportosítás szükséges: aranyon kívüli nemesfémek; és egyéb áruk. E származékos termékkategóriánál nincs szükség </w:t>
      </w:r>
      <w:proofErr w:type="spellStart"/>
      <w:r w:rsidRPr="00AA22B7">
        <w:rPr>
          <w:sz w:val="22"/>
          <w:szCs w:val="22"/>
          <w:lang w:val="hu"/>
        </w:rPr>
        <w:t>szektoronkénti</w:t>
      </w:r>
      <w:proofErr w:type="spellEnd"/>
      <w:r w:rsidRPr="00AA22B7">
        <w:rPr>
          <w:sz w:val="22"/>
          <w:szCs w:val="22"/>
          <w:lang w:val="hu"/>
        </w:rPr>
        <w:t xml:space="preserve"> bontásra. </w:t>
      </w:r>
    </w:p>
    <w:p w14:paraId="5D6161FD" w14:textId="77777777" w:rsidR="000C62E2" w:rsidRDefault="000C62E2" w:rsidP="000C62E2">
      <w:pPr>
        <w:pStyle w:val="Default"/>
        <w:rPr>
          <w:sz w:val="22"/>
          <w:szCs w:val="22"/>
          <w:lang w:val="hu"/>
        </w:rPr>
      </w:pPr>
      <w:r w:rsidRPr="00AA22B7">
        <w:rPr>
          <w:sz w:val="22"/>
          <w:szCs w:val="22"/>
          <w:lang w:val="hu"/>
        </w:rPr>
        <w:t xml:space="preserve">A </w:t>
      </w:r>
      <w:proofErr w:type="spellStart"/>
      <w:r w:rsidRPr="00AA22B7">
        <w:rPr>
          <w:sz w:val="22"/>
          <w:szCs w:val="22"/>
          <w:lang w:val="hu"/>
        </w:rPr>
        <w:t>hitelderivatívák</w:t>
      </w:r>
      <w:proofErr w:type="spellEnd"/>
      <w:r w:rsidRPr="00AA22B7">
        <w:rPr>
          <w:sz w:val="22"/>
          <w:szCs w:val="22"/>
          <w:lang w:val="hu"/>
        </w:rPr>
        <w:t xml:space="preserve"> és egyéb származékos ügyletek névleges összegét instrumentumonként és a partner szektora szerint kell megadni. </w:t>
      </w:r>
    </w:p>
    <w:p w14:paraId="7BF918DF" w14:textId="77777777" w:rsidR="00837F47" w:rsidRPr="00AA22B7" w:rsidRDefault="00837F47" w:rsidP="000C62E2">
      <w:pPr>
        <w:pStyle w:val="Default"/>
        <w:rPr>
          <w:sz w:val="22"/>
          <w:szCs w:val="22"/>
        </w:rPr>
      </w:pPr>
    </w:p>
    <w:p w14:paraId="1E3C2DC8" w14:textId="77777777" w:rsidR="000C62E2" w:rsidRPr="00AA22B7" w:rsidRDefault="000C62E2" w:rsidP="000C62E2">
      <w:pPr>
        <w:pStyle w:val="Default"/>
        <w:rPr>
          <w:sz w:val="22"/>
          <w:szCs w:val="22"/>
        </w:rPr>
      </w:pPr>
      <w:r w:rsidRPr="00AA22B7">
        <w:rPr>
          <w:sz w:val="22"/>
          <w:szCs w:val="22"/>
          <w:lang w:val="hu"/>
        </w:rPr>
        <w:t xml:space="preserve">Az adatokat a következőkre kell megadni: </w:t>
      </w:r>
    </w:p>
    <w:p w14:paraId="05B5146C" w14:textId="77777777" w:rsidR="000C62E2" w:rsidRPr="00AA22B7" w:rsidRDefault="000C62E2" w:rsidP="000C62E2">
      <w:pPr>
        <w:pStyle w:val="Bulletpoint"/>
        <w:numPr>
          <w:ilvl w:val="1"/>
          <w:numId w:val="6"/>
        </w:numPr>
        <w:rPr>
          <w:lang w:val="hu-HU"/>
        </w:rPr>
      </w:pPr>
      <w:r w:rsidRPr="00AA22B7">
        <w:rPr>
          <w:lang w:val="hu"/>
        </w:rPr>
        <w:t xml:space="preserve">névleges és elvi összegek; </w:t>
      </w:r>
    </w:p>
    <w:p w14:paraId="0EDD20A5" w14:textId="77777777" w:rsidR="000C62E2" w:rsidRPr="00AA22B7" w:rsidRDefault="000C62E2" w:rsidP="000C62E2">
      <w:pPr>
        <w:pStyle w:val="Bulletpoint"/>
        <w:numPr>
          <w:ilvl w:val="1"/>
          <w:numId w:val="6"/>
        </w:numPr>
        <w:rPr>
          <w:lang w:val="hu-HU"/>
        </w:rPr>
      </w:pPr>
      <w:r w:rsidRPr="00AA22B7">
        <w:rPr>
          <w:lang w:val="hu"/>
        </w:rPr>
        <w:t xml:space="preserve">bruttó pozitív piaci értékek; </w:t>
      </w:r>
    </w:p>
    <w:p w14:paraId="543A1043" w14:textId="77777777" w:rsidR="000C62E2" w:rsidRPr="00AA22B7" w:rsidRDefault="000C62E2" w:rsidP="000C62E2">
      <w:pPr>
        <w:pStyle w:val="Bulletpoint"/>
        <w:numPr>
          <w:ilvl w:val="1"/>
          <w:numId w:val="6"/>
        </w:numPr>
        <w:rPr>
          <w:lang w:val="hu-HU"/>
        </w:rPr>
      </w:pPr>
      <w:r w:rsidRPr="00AA22B7">
        <w:rPr>
          <w:lang w:val="hu"/>
        </w:rPr>
        <w:t>bruttó negatív piaci értékek.</w:t>
      </w:r>
    </w:p>
    <w:p w14:paraId="528ECEA1" w14:textId="77777777" w:rsidR="000C62E2" w:rsidRPr="00AA22B7" w:rsidRDefault="000C62E2" w:rsidP="000C62E2">
      <w:pPr>
        <w:pStyle w:val="Bulletpoint"/>
        <w:numPr>
          <w:ilvl w:val="0"/>
          <w:numId w:val="0"/>
        </w:numPr>
        <w:ind w:left="1931"/>
        <w:rPr>
          <w:lang w:val="hu-HU"/>
        </w:rPr>
      </w:pPr>
      <w:r w:rsidRPr="00AA22B7">
        <w:rPr>
          <w:lang w:val="hu"/>
        </w:rPr>
        <w:t xml:space="preserve"> </w:t>
      </w:r>
    </w:p>
    <w:p w14:paraId="4B99CCBB" w14:textId="77777777" w:rsidR="000C62E2" w:rsidRPr="00AA22B7" w:rsidRDefault="000C62E2" w:rsidP="000C62E2">
      <w:pPr>
        <w:pStyle w:val="Bulletpoint"/>
        <w:numPr>
          <w:ilvl w:val="0"/>
          <w:numId w:val="6"/>
        </w:numPr>
        <w:rPr>
          <w:lang w:val="hu-HU"/>
        </w:rPr>
      </w:pPr>
      <w:r w:rsidRPr="00AA22B7">
        <w:rPr>
          <w:lang w:val="hu"/>
        </w:rPr>
        <w:t xml:space="preserve">O4 táblázat – a részvény származékos ügyleteket eszközönként és a partner szektora szerint kell jelenteni hátralevő futamidő szerinti bontásban (egy év vagy egy éven belül; egy év és öt év közötti, 5 éven túli). </w:t>
      </w:r>
    </w:p>
    <w:p w14:paraId="664FFE65" w14:textId="77777777" w:rsidR="000C62E2" w:rsidRPr="00AA22B7" w:rsidRDefault="000C62E2" w:rsidP="000C62E2">
      <w:pPr>
        <w:pStyle w:val="Default"/>
        <w:rPr>
          <w:sz w:val="22"/>
          <w:szCs w:val="22"/>
        </w:rPr>
      </w:pPr>
    </w:p>
    <w:p w14:paraId="25DF4814" w14:textId="77777777" w:rsidR="000C62E2" w:rsidRDefault="000C62E2" w:rsidP="000C62E2">
      <w:pPr>
        <w:pStyle w:val="Default"/>
        <w:rPr>
          <w:sz w:val="22"/>
          <w:szCs w:val="22"/>
          <w:lang w:val="hu"/>
        </w:rPr>
      </w:pPr>
      <w:r w:rsidRPr="00AA22B7">
        <w:rPr>
          <w:sz w:val="22"/>
          <w:szCs w:val="22"/>
          <w:lang w:val="hu"/>
        </w:rPr>
        <w:t xml:space="preserve">A </w:t>
      </w:r>
      <w:proofErr w:type="spellStart"/>
      <w:r w:rsidRPr="00AA22B7">
        <w:rPr>
          <w:sz w:val="22"/>
          <w:szCs w:val="22"/>
          <w:lang w:val="hu"/>
        </w:rPr>
        <w:t>CDS</w:t>
      </w:r>
      <w:proofErr w:type="spellEnd"/>
      <w:r w:rsidRPr="00AA22B7">
        <w:rPr>
          <w:sz w:val="22"/>
          <w:szCs w:val="22"/>
          <w:lang w:val="hu"/>
        </w:rPr>
        <w:t xml:space="preserve"> (hitel-nemfizetési csereügyletek) külön kerülnek gyűjtésre: </w:t>
      </w:r>
    </w:p>
    <w:p w14:paraId="01DCE383" w14:textId="77777777" w:rsidR="003135B1" w:rsidRPr="00AA22B7" w:rsidRDefault="003135B1" w:rsidP="000C62E2">
      <w:pPr>
        <w:pStyle w:val="Default"/>
        <w:rPr>
          <w:sz w:val="22"/>
          <w:szCs w:val="22"/>
        </w:rPr>
      </w:pPr>
    </w:p>
    <w:p w14:paraId="1210CD91" w14:textId="77777777" w:rsidR="000C62E2" w:rsidRPr="00AA22B7" w:rsidRDefault="000C62E2" w:rsidP="000C62E2">
      <w:pPr>
        <w:pStyle w:val="Bulletpoint"/>
        <w:numPr>
          <w:ilvl w:val="0"/>
          <w:numId w:val="0"/>
        </w:numPr>
        <w:ind w:left="10"/>
        <w:rPr>
          <w:szCs w:val="22"/>
          <w:lang w:val="hu-HU"/>
        </w:rPr>
      </w:pPr>
      <w:r w:rsidRPr="00AA22B7">
        <w:rPr>
          <w:lang w:val="hu"/>
        </w:rPr>
        <w:t xml:space="preserve">O5 táblázat – névleges összegeket, bruttó pozitív és bruttó negatív piaci értékeket kell megadni. </w:t>
      </w:r>
    </w:p>
    <w:p w14:paraId="29AAF744" w14:textId="77777777" w:rsidR="000C62E2" w:rsidRPr="00AA22B7" w:rsidRDefault="000C62E2" w:rsidP="000C62E2">
      <w:pPr>
        <w:pStyle w:val="Bulletpoint"/>
        <w:numPr>
          <w:ilvl w:val="0"/>
          <w:numId w:val="0"/>
        </w:numPr>
        <w:ind w:left="10"/>
        <w:rPr>
          <w:szCs w:val="22"/>
          <w:lang w:val="hu"/>
        </w:rPr>
      </w:pPr>
      <w:r w:rsidRPr="00AA22B7">
        <w:rPr>
          <w:szCs w:val="22"/>
          <w:lang w:val="hu"/>
        </w:rPr>
        <w:t xml:space="preserve">A névleges összegeket a mögöttes jogalany típusa szerint kell megadni (külön az állami és nem-állami jogalanyokra) vásárolt vagy eladott szerződésként. Továbbá, itt meg kell adni az instrumentum típusát és a partner gazdasági szektorát. </w:t>
      </w:r>
    </w:p>
    <w:p w14:paraId="1EDCB00A" w14:textId="77777777" w:rsidR="000C62E2" w:rsidRPr="00AA22B7" w:rsidRDefault="000C62E2" w:rsidP="000C62E2">
      <w:pPr>
        <w:pStyle w:val="Default"/>
        <w:ind w:left="10"/>
        <w:rPr>
          <w:sz w:val="22"/>
          <w:szCs w:val="22"/>
        </w:rPr>
      </w:pPr>
      <w:r w:rsidRPr="00AA22B7">
        <w:rPr>
          <w:sz w:val="22"/>
          <w:szCs w:val="22"/>
          <w:lang w:val="hu"/>
        </w:rPr>
        <w:t xml:space="preserve">A bruttó pozitív és bruttó piaci értékeket instrumentumonként és a partner gazdasági szektora szerinti bontásban kell megadni. </w:t>
      </w:r>
    </w:p>
    <w:p w14:paraId="135A3C4A" w14:textId="77777777" w:rsidR="000C62E2" w:rsidRPr="00647C8D" w:rsidRDefault="000C62E2" w:rsidP="000C62E2">
      <w:pPr>
        <w:pStyle w:val="Paragraph"/>
        <w:ind w:left="10"/>
        <w:rPr>
          <w:szCs w:val="24"/>
          <w:lang w:val="hu-HU"/>
        </w:rPr>
      </w:pPr>
      <w:r w:rsidRPr="00AA22B7">
        <w:rPr>
          <w:szCs w:val="22"/>
          <w:lang w:val="hu"/>
        </w:rPr>
        <w:t xml:space="preserve">A </w:t>
      </w:r>
      <w:proofErr w:type="spellStart"/>
      <w:r w:rsidRPr="00AA22B7">
        <w:rPr>
          <w:szCs w:val="22"/>
          <w:lang w:val="hu"/>
        </w:rPr>
        <w:t>CDS-hez</w:t>
      </w:r>
      <w:proofErr w:type="spellEnd"/>
      <w:r w:rsidRPr="00AA22B7">
        <w:rPr>
          <w:szCs w:val="22"/>
          <w:lang w:val="hu"/>
        </w:rPr>
        <w:t xml:space="preserve"> kapcsolódó pozíciók szektorokba sorolása hasonlóan történik, mint a többi táblázatban, de emellett ki kell terjeszteni az egyéb pénzügyi intézményekre, ahol a központi szerződő felet (</w:t>
      </w:r>
      <w:proofErr w:type="spellStart"/>
      <w:r w:rsidRPr="00AA22B7">
        <w:rPr>
          <w:szCs w:val="22"/>
          <w:lang w:val="hu"/>
        </w:rPr>
        <w:t>CCP</w:t>
      </w:r>
      <w:proofErr w:type="spellEnd"/>
      <w:r w:rsidRPr="00AA22B7">
        <w:rPr>
          <w:szCs w:val="22"/>
          <w:lang w:val="hu"/>
        </w:rPr>
        <w:t xml:space="preserve">) el kell különíteni (ahogy a többi táblázatban is), valamint a bankokat és értékpapírcégeket, biztosítókat (ideértve a nyugdíjalapokat), a speciális célú társaságokat, fedezeti alapokat és a pénzügyi szektorokhoz tartozó egyéb jogalanyokat, a jelentő </w:t>
      </w:r>
      <w:proofErr w:type="spellStart"/>
      <w:r w:rsidRPr="00AA22B7">
        <w:rPr>
          <w:szCs w:val="22"/>
          <w:lang w:val="hu"/>
        </w:rPr>
        <w:t>dealerek</w:t>
      </w:r>
      <w:proofErr w:type="spellEnd"/>
      <w:r w:rsidRPr="00AA22B7">
        <w:rPr>
          <w:szCs w:val="22"/>
          <w:lang w:val="hu"/>
        </w:rPr>
        <w:t xml:space="preserve"> kivételével.</w:t>
      </w:r>
    </w:p>
    <w:p w14:paraId="07C78F65" w14:textId="77777777" w:rsidR="00444B86" w:rsidRPr="00A43950" w:rsidRDefault="005360C6" w:rsidP="00444B86">
      <w:pPr>
        <w:pStyle w:val="IndentedHeading2"/>
        <w:rPr>
          <w:szCs w:val="24"/>
          <w:lang w:val="hu-HU"/>
        </w:rPr>
      </w:pPr>
      <w:bookmarkStart w:id="32" w:name="_Toc89264421"/>
      <w:r w:rsidRPr="00A43950">
        <w:rPr>
          <w:szCs w:val="24"/>
          <w:lang w:val="hu-HU"/>
        </w:rPr>
        <w:t>2</w:t>
      </w:r>
      <w:r w:rsidR="00444B86" w:rsidRPr="00A43950">
        <w:rPr>
          <w:szCs w:val="24"/>
          <w:lang w:val="hu-HU"/>
        </w:rPr>
        <w:t>.</w:t>
      </w:r>
      <w:r w:rsidR="00444B86" w:rsidRPr="00A43950">
        <w:rPr>
          <w:szCs w:val="24"/>
          <w:lang w:val="hu-HU"/>
        </w:rPr>
        <w:tab/>
        <w:t>Kerekítés</w:t>
      </w:r>
      <w:bookmarkEnd w:id="32"/>
    </w:p>
    <w:p w14:paraId="0DD4C520" w14:textId="77777777" w:rsidR="00444B86" w:rsidRPr="00A43950" w:rsidRDefault="00444B86" w:rsidP="00444B86">
      <w:pPr>
        <w:pStyle w:val="Paragraph"/>
        <w:rPr>
          <w:lang w:val="hu-HU"/>
        </w:rPr>
      </w:pPr>
      <w:r w:rsidRPr="00A43950">
        <w:rPr>
          <w:lang w:val="hu-HU"/>
        </w:rPr>
        <w:t xml:space="preserve">A statisztika összeállítása során a jelentő </w:t>
      </w:r>
      <w:proofErr w:type="spellStart"/>
      <w:r w:rsidRPr="00A43950">
        <w:rPr>
          <w:lang w:val="hu-HU"/>
        </w:rPr>
        <w:t>dealereknek</w:t>
      </w:r>
      <w:proofErr w:type="spellEnd"/>
      <w:r w:rsidRPr="00A43950">
        <w:rPr>
          <w:lang w:val="hu-HU"/>
        </w:rPr>
        <w:t xml:space="preserve"> – ahogyan a jegybankoknak is – kerülni kell a kerekítést és legalább 6 tizedesjegy pontossággal kell az adatokat megadni a folyamat minden szintjén. </w:t>
      </w:r>
    </w:p>
    <w:p w14:paraId="369B0F47" w14:textId="77777777" w:rsidR="00444B86" w:rsidRPr="00B05124" w:rsidRDefault="00444B86" w:rsidP="00444B86">
      <w:pPr>
        <w:autoSpaceDE w:val="0"/>
        <w:autoSpaceDN w:val="0"/>
        <w:adjustRightInd w:val="0"/>
        <w:jc w:val="both"/>
      </w:pPr>
      <w:r>
        <w:rPr>
          <w:rFonts w:ascii="Arial-ItalicMT" w:hAnsi="Arial-ItalicMT" w:cs="Arial-ItalicMT"/>
          <w:i/>
          <w:iCs/>
          <w:snapToGrid/>
          <w:sz w:val="20"/>
          <w:lang w:val="hu-HU"/>
        </w:rPr>
        <w:t>Példa: 77327560 USD összeget a jelentésben a következőképpen szükséges szerepeltetni: 77.327560 millió USD.</w:t>
      </w:r>
    </w:p>
    <w:p w14:paraId="75A5E889" w14:textId="77777777" w:rsidR="00444B86" w:rsidRPr="00FE5851" w:rsidRDefault="005360C6" w:rsidP="00444B86">
      <w:pPr>
        <w:pStyle w:val="IndentedHeading2"/>
        <w:rPr>
          <w:szCs w:val="24"/>
          <w:lang w:val="hu-HU"/>
        </w:rPr>
      </w:pPr>
      <w:bookmarkStart w:id="33" w:name="_Toc89264422"/>
      <w:r>
        <w:rPr>
          <w:szCs w:val="24"/>
          <w:lang w:val="hu-HU"/>
        </w:rPr>
        <w:t>3</w:t>
      </w:r>
      <w:r w:rsidR="00444B86" w:rsidRPr="00FE5851">
        <w:rPr>
          <w:szCs w:val="24"/>
          <w:lang w:val="hu-HU"/>
        </w:rPr>
        <w:t>.</w:t>
      </w:r>
      <w:r w:rsidR="00444B86" w:rsidRPr="00FE5851">
        <w:rPr>
          <w:szCs w:val="24"/>
          <w:lang w:val="hu-HU"/>
        </w:rPr>
        <w:tab/>
        <w:t>A beszámoló pénzneme és devizakonverzió</w:t>
      </w:r>
      <w:bookmarkEnd w:id="33"/>
    </w:p>
    <w:p w14:paraId="78D6D67D" w14:textId="77777777" w:rsidR="00444B86" w:rsidRPr="00FE5851" w:rsidRDefault="00444B86" w:rsidP="00444B86">
      <w:pPr>
        <w:pStyle w:val="Paragraph"/>
        <w:rPr>
          <w:szCs w:val="24"/>
          <w:lang w:val="hu-HU"/>
        </w:rPr>
      </w:pPr>
      <w:r w:rsidRPr="00FE5851">
        <w:rPr>
          <w:szCs w:val="24"/>
          <w:lang w:val="hu-HU"/>
        </w:rPr>
        <w:t>Általánosságban elmondható, hogy a nyitott kötésállományok adatait USD-ben kifejezve kell jelenteni. A nem dollárban denominált kontraktusokat át kell váltani USD-re a beszámoló</w:t>
      </w:r>
      <w:r>
        <w:rPr>
          <w:szCs w:val="24"/>
          <w:lang w:val="hu-HU"/>
        </w:rPr>
        <w:t xml:space="preserve"> </w:t>
      </w:r>
      <w:r w:rsidRPr="00FE5851">
        <w:rPr>
          <w:szCs w:val="24"/>
          <w:lang w:val="hu-HU"/>
        </w:rPr>
        <w:t>készítés időpontjában érvényes időszak végi devizaárfolyamon. Gyakorlati megfontolásból a jelentő intézmények használhatják belső (számviteli) árfolyamukat a nem USD-ben denominált nyitott kötésállományok átváltására, ha ezek az árfolyamok jól követik a piaci árfolyamokat.</w:t>
      </w:r>
    </w:p>
    <w:p w14:paraId="64EF6A07" w14:textId="77777777" w:rsidR="00444B86" w:rsidRPr="00FE5851" w:rsidRDefault="00444B86" w:rsidP="00B81B30">
      <w:pPr>
        <w:pStyle w:val="Paragraph"/>
        <w:rPr>
          <w:szCs w:val="24"/>
          <w:lang w:val="hu-HU"/>
        </w:rPr>
      </w:pPr>
    </w:p>
    <w:p w14:paraId="4FC368AE" w14:textId="77777777" w:rsidR="00D313C3" w:rsidRPr="00FE5851" w:rsidRDefault="00D313C3">
      <w:pPr>
        <w:pStyle w:val="empty"/>
        <w:rPr>
          <w:szCs w:val="24"/>
          <w:lang w:val="hu-HU"/>
        </w:rPr>
      </w:pPr>
    </w:p>
    <w:p w14:paraId="1693C8C2" w14:textId="77777777" w:rsidR="003135B1" w:rsidRPr="00AA22B7" w:rsidRDefault="003135B1" w:rsidP="00AA22B7">
      <w:pPr>
        <w:pStyle w:val="IndentedHeading1"/>
        <w:spacing w:after="0"/>
        <w:rPr>
          <w:bCs/>
          <w:szCs w:val="24"/>
          <w:lang w:val="hu"/>
        </w:rPr>
      </w:pPr>
      <w:bookmarkStart w:id="34" w:name="_Toc89264423"/>
      <w:r w:rsidRPr="00AA22B7">
        <w:rPr>
          <w:bCs/>
          <w:szCs w:val="24"/>
          <w:lang w:val="hu"/>
        </w:rPr>
        <w:t>1. melléklet: Példa a határidős és csereügyletek piaci értékének kiszámítására</w:t>
      </w:r>
      <w:bookmarkEnd w:id="34"/>
      <w:r w:rsidRPr="00AA22B7">
        <w:rPr>
          <w:bCs/>
          <w:szCs w:val="24"/>
          <w:lang w:val="hu"/>
        </w:rPr>
        <w:t xml:space="preserve"> </w:t>
      </w:r>
    </w:p>
    <w:p w14:paraId="3E898362" w14:textId="77777777" w:rsidR="003135B1" w:rsidRPr="00AA22B7" w:rsidRDefault="003135B1" w:rsidP="003135B1">
      <w:pPr>
        <w:pStyle w:val="Default"/>
        <w:jc w:val="both"/>
        <w:rPr>
          <w:sz w:val="26"/>
          <w:szCs w:val="26"/>
        </w:rPr>
      </w:pPr>
    </w:p>
    <w:p w14:paraId="3C821653" w14:textId="77777777" w:rsidR="003135B1" w:rsidRPr="00AA22B7" w:rsidRDefault="003135B1" w:rsidP="003135B1">
      <w:pPr>
        <w:pStyle w:val="Default"/>
        <w:jc w:val="both"/>
        <w:rPr>
          <w:sz w:val="22"/>
          <w:szCs w:val="22"/>
          <w:lang w:val="hu"/>
        </w:rPr>
      </w:pPr>
      <w:r w:rsidRPr="00AA22B7">
        <w:rPr>
          <w:sz w:val="22"/>
          <w:szCs w:val="22"/>
          <w:lang w:val="hu"/>
        </w:rPr>
        <w:t xml:space="preserve">A határidős ügyletek esetében egy olyan szerződés, amelyben a kötéskor 1,00 határidős árfolyamon </w:t>
      </w:r>
      <w:r w:rsidR="00E418CB" w:rsidRPr="00AA22B7">
        <w:rPr>
          <w:sz w:val="22"/>
          <w:szCs w:val="22"/>
          <w:lang w:val="hu"/>
        </w:rPr>
        <w:t>veszünk</w:t>
      </w:r>
      <w:r w:rsidRPr="00AA22B7">
        <w:rPr>
          <w:sz w:val="22"/>
          <w:szCs w:val="22"/>
          <w:lang w:val="hu"/>
        </w:rPr>
        <w:t xml:space="preserve"> USD-t EUR ellenében, pozitív piaci értékkel bír, ha az EUR/USD határidős árfolyam a jelentés időpontjában ugyanarra az elszámolási napra vonatkozóan 1,00-nél alacsonyabb. Negatív a piaci érték, ha a határidős árfolyam a jelentés időpontjában magasabb mint 1,00 és nulla a piaci érték, ha a határidős árfolyam a jelentés időpontjában még mindig 1,00. Mint azt a fenti D. szakasz ismerteti, minden egyes pozitív vagy negatív piaci értéket kétszer kell jelenteni, összhangban a szerződés két „</w:t>
      </w:r>
      <w:proofErr w:type="gramStart"/>
      <w:r w:rsidRPr="00AA22B7">
        <w:rPr>
          <w:sz w:val="22"/>
          <w:szCs w:val="22"/>
          <w:lang w:val="hu"/>
        </w:rPr>
        <w:t>lábát“ alkotó</w:t>
      </w:r>
      <w:proofErr w:type="gramEnd"/>
      <w:r w:rsidRPr="00AA22B7">
        <w:rPr>
          <w:sz w:val="22"/>
          <w:szCs w:val="22"/>
          <w:lang w:val="hu"/>
        </w:rPr>
        <w:t xml:space="preserve"> devizákkal. </w:t>
      </w:r>
    </w:p>
    <w:p w14:paraId="659F522E" w14:textId="77777777" w:rsidR="00E418CB" w:rsidRPr="00AA22B7" w:rsidRDefault="00E418CB" w:rsidP="003135B1">
      <w:pPr>
        <w:pStyle w:val="Default"/>
        <w:jc w:val="both"/>
        <w:rPr>
          <w:sz w:val="22"/>
          <w:szCs w:val="22"/>
        </w:rPr>
      </w:pPr>
    </w:p>
    <w:p w14:paraId="2C209B5C" w14:textId="77777777" w:rsidR="003135B1" w:rsidRPr="00AA22B7" w:rsidRDefault="003135B1" w:rsidP="003135B1">
      <w:pPr>
        <w:pStyle w:val="Default"/>
        <w:jc w:val="both"/>
        <w:rPr>
          <w:sz w:val="22"/>
          <w:szCs w:val="22"/>
          <w:lang w:val="hu"/>
        </w:rPr>
      </w:pPr>
      <w:r w:rsidRPr="00AA22B7">
        <w:rPr>
          <w:sz w:val="22"/>
          <w:szCs w:val="22"/>
          <w:lang w:val="hu"/>
        </w:rPr>
        <w:t xml:space="preserve">Az olyan csereügyletek esetén, amelyeknél több (és néha </w:t>
      </w:r>
      <w:proofErr w:type="spellStart"/>
      <w:r w:rsidRPr="00AA22B7">
        <w:rPr>
          <w:sz w:val="22"/>
          <w:szCs w:val="22"/>
          <w:lang w:val="hu"/>
        </w:rPr>
        <w:t>kétirányú</w:t>
      </w:r>
      <w:proofErr w:type="spellEnd"/>
      <w:r w:rsidRPr="00AA22B7">
        <w:rPr>
          <w:sz w:val="22"/>
          <w:szCs w:val="22"/>
          <w:lang w:val="hu"/>
        </w:rPr>
        <w:t xml:space="preserve">) fizetés történik, a piaci érték a felek között a jelentés időpontja és a szerződés lejárata között teljesítendő fizetések nettó jelenértéke, ahol az alkalmazandó diszkonttényező általában a szerződés hátralevő </w:t>
      </w:r>
      <w:proofErr w:type="spellStart"/>
      <w:r w:rsidRPr="00AA22B7">
        <w:rPr>
          <w:sz w:val="22"/>
          <w:szCs w:val="22"/>
          <w:lang w:val="hu"/>
        </w:rPr>
        <w:t>futamidejére</w:t>
      </w:r>
      <w:proofErr w:type="spellEnd"/>
      <w:r w:rsidRPr="00AA22B7">
        <w:rPr>
          <w:sz w:val="22"/>
          <w:szCs w:val="22"/>
          <w:lang w:val="hu"/>
        </w:rPr>
        <w:t xml:space="preserve"> vonatkozó piaci kamatlábat tükrözi. Ily módon, egy rögzített/változó kamatozású csereügylet, amely – a jelentés időpontjában aktuális kamatlábak mellett – éves szinten az adatszolgáltatónak pl. a névleges tőkeösszeg 2%-</w:t>
      </w:r>
      <w:proofErr w:type="spellStart"/>
      <w:r w:rsidRPr="00AA22B7">
        <w:rPr>
          <w:sz w:val="22"/>
          <w:szCs w:val="22"/>
          <w:lang w:val="hu"/>
        </w:rPr>
        <w:t>ának</w:t>
      </w:r>
      <w:proofErr w:type="spellEnd"/>
      <w:r w:rsidRPr="00AA22B7">
        <w:rPr>
          <w:sz w:val="22"/>
          <w:szCs w:val="22"/>
          <w:lang w:val="hu"/>
        </w:rPr>
        <w:t xml:space="preserve"> megfelelő nettó bevételt biztosít az elkövetkező három évben, a három nettó fizetés (egyenként a névleges összeg 2%-a) összegével megegyező pozitív piaci értéken értékelt (vagy pótlási) értékkel rendelkezik, amely a beszámolási időpontban érvényes piaci kamatlábbal kerül diszkontálásra. </w:t>
      </w:r>
    </w:p>
    <w:p w14:paraId="79F4DA6E" w14:textId="77777777" w:rsidR="00E418CB" w:rsidRPr="00AA22B7" w:rsidRDefault="00E418CB" w:rsidP="003135B1">
      <w:pPr>
        <w:pStyle w:val="Default"/>
        <w:jc w:val="both"/>
        <w:rPr>
          <w:sz w:val="22"/>
          <w:szCs w:val="22"/>
        </w:rPr>
      </w:pPr>
    </w:p>
    <w:p w14:paraId="416CAF23" w14:textId="77777777" w:rsidR="00E418CB" w:rsidRPr="00AA22B7" w:rsidRDefault="003135B1" w:rsidP="003135B1">
      <w:pPr>
        <w:pStyle w:val="Default"/>
        <w:jc w:val="both"/>
        <w:rPr>
          <w:sz w:val="22"/>
          <w:szCs w:val="22"/>
          <w:lang w:val="hu"/>
        </w:rPr>
      </w:pPr>
      <w:r w:rsidRPr="00AA22B7">
        <w:rPr>
          <w:sz w:val="22"/>
          <w:szCs w:val="22"/>
          <w:lang w:val="hu"/>
        </w:rPr>
        <w:t>Amennyiben a szerződés nem az adatszolgáltatónak kedvez (azaz az adatszolgáltató éves szinten nettó fizető), a szerződés negatív jelenértékkel rendelkezik. Ez esetben is, a piaci (vagy pótlási) értékek összegében a „</w:t>
      </w:r>
      <w:proofErr w:type="gramStart"/>
      <w:r w:rsidRPr="00AA22B7">
        <w:rPr>
          <w:sz w:val="22"/>
          <w:szCs w:val="22"/>
          <w:lang w:val="hu"/>
        </w:rPr>
        <w:t>bruttó“ megjelölés</w:t>
      </w:r>
      <w:proofErr w:type="gramEnd"/>
      <w:r w:rsidRPr="00AA22B7">
        <w:rPr>
          <w:sz w:val="22"/>
          <w:szCs w:val="22"/>
          <w:lang w:val="hu"/>
        </w:rPr>
        <w:t xml:space="preserve"> arra a tényre utal, hogy az összes pozitív és negatív értékű szerződést külön-külön kell összesíteni, azaz az egyazon partnerre kötött nyereséges és veszteséges szerződések nem </w:t>
      </w:r>
      <w:proofErr w:type="spellStart"/>
      <w:r w:rsidRPr="00AA22B7">
        <w:rPr>
          <w:sz w:val="22"/>
          <w:szCs w:val="22"/>
          <w:lang w:val="hu"/>
        </w:rPr>
        <w:t>nettósíthatók</w:t>
      </w:r>
      <w:proofErr w:type="spellEnd"/>
      <w:r w:rsidRPr="00AA22B7">
        <w:rPr>
          <w:sz w:val="22"/>
          <w:szCs w:val="22"/>
          <w:lang w:val="hu"/>
        </w:rPr>
        <w:t xml:space="preserve"> az összesítést megelőzően, valamint pl. egy adott devizában fennálló pozitív értékű csereügyletek nem ellentételezhetők az ugyanazon devizában fennálló negatív értékű csereügyletekkel szemben.</w:t>
      </w:r>
    </w:p>
    <w:p w14:paraId="0187B141" w14:textId="77777777" w:rsidR="003135B1" w:rsidRPr="00AA22B7" w:rsidRDefault="003135B1" w:rsidP="003135B1">
      <w:pPr>
        <w:pStyle w:val="Default"/>
        <w:jc w:val="both"/>
        <w:rPr>
          <w:sz w:val="22"/>
          <w:szCs w:val="22"/>
        </w:rPr>
      </w:pPr>
      <w:r w:rsidRPr="00AA22B7">
        <w:rPr>
          <w:sz w:val="22"/>
          <w:szCs w:val="22"/>
          <w:lang w:val="hu"/>
        </w:rPr>
        <w:t xml:space="preserve"> </w:t>
      </w:r>
    </w:p>
    <w:p w14:paraId="4DA7AE6E" w14:textId="77777777" w:rsidR="003135B1" w:rsidRPr="00AA22B7" w:rsidRDefault="003135B1" w:rsidP="003135B1">
      <w:pPr>
        <w:pStyle w:val="Default"/>
        <w:jc w:val="both"/>
        <w:rPr>
          <w:sz w:val="22"/>
          <w:szCs w:val="22"/>
          <w:lang w:val="hu"/>
        </w:rPr>
      </w:pPr>
      <w:r w:rsidRPr="00AA22B7">
        <w:rPr>
          <w:sz w:val="22"/>
          <w:szCs w:val="22"/>
          <w:lang w:val="hu"/>
        </w:rPr>
        <w:t>A keresztdevizás csereügyleteknél általában lejáratkor a tőkeösszeg cseréjére kerül sor. Az összes pénzáram jelenértékét, ideértve a tőkeösszegeket is, figyelembe kell venni a bruttó piaci értékek kiszámításához. Egy keresztdevizás csereügyletben a tőkeösszegek ugyanazon az árfolyamon kerülnek kicserélésre lejáratkor, mint amelyen a szerződés indulásakor kerültek kicserélésre. Ily módon, ha a lejárat napjáig az árfolyam elmozdul, a szerződő felek a „</w:t>
      </w:r>
      <w:proofErr w:type="gramStart"/>
      <w:r w:rsidRPr="00AA22B7">
        <w:rPr>
          <w:sz w:val="22"/>
          <w:szCs w:val="22"/>
          <w:lang w:val="hu"/>
        </w:rPr>
        <w:t>hazai“ devizából</w:t>
      </w:r>
      <w:proofErr w:type="gramEnd"/>
      <w:r w:rsidRPr="00AA22B7">
        <w:rPr>
          <w:sz w:val="22"/>
          <w:szCs w:val="22"/>
          <w:lang w:val="hu"/>
        </w:rPr>
        <w:t xml:space="preserve"> több/kevesebb egységet kapnak vissza. Ez bármely időpontban befolyásolja a szerződés piaci értékét, és ez az, amit rögzíteni kell.  </w:t>
      </w:r>
    </w:p>
    <w:p w14:paraId="34DB850F" w14:textId="77777777" w:rsidR="00E418CB" w:rsidRPr="00AA22B7" w:rsidRDefault="00E418CB" w:rsidP="003135B1">
      <w:pPr>
        <w:pStyle w:val="Default"/>
        <w:jc w:val="both"/>
        <w:rPr>
          <w:sz w:val="22"/>
          <w:szCs w:val="22"/>
        </w:rPr>
      </w:pPr>
    </w:p>
    <w:p w14:paraId="648C603F" w14:textId="77777777" w:rsidR="003135B1" w:rsidRDefault="003135B1" w:rsidP="003135B1">
      <w:pPr>
        <w:pStyle w:val="Default"/>
        <w:jc w:val="both"/>
        <w:rPr>
          <w:sz w:val="22"/>
          <w:szCs w:val="22"/>
          <w:lang w:val="hu"/>
        </w:rPr>
      </w:pPr>
      <w:r w:rsidRPr="00AA22B7">
        <w:rPr>
          <w:sz w:val="22"/>
          <w:szCs w:val="22"/>
          <w:lang w:val="hu"/>
        </w:rPr>
        <w:t xml:space="preserve">Például, a </w:t>
      </w:r>
      <w:proofErr w:type="spellStart"/>
      <w:r w:rsidRPr="00AA22B7">
        <w:rPr>
          <w:sz w:val="22"/>
          <w:szCs w:val="22"/>
          <w:lang w:val="hu"/>
        </w:rPr>
        <w:t>Macquarie</w:t>
      </w:r>
      <w:proofErr w:type="spellEnd"/>
      <w:r w:rsidRPr="00AA22B7">
        <w:rPr>
          <w:sz w:val="22"/>
          <w:szCs w:val="22"/>
          <w:lang w:val="hu"/>
        </w:rPr>
        <w:t xml:space="preserve"> egy keresztdevizás csereügyletet köt a </w:t>
      </w:r>
      <w:proofErr w:type="spellStart"/>
      <w:r w:rsidRPr="00AA22B7">
        <w:rPr>
          <w:sz w:val="22"/>
          <w:szCs w:val="22"/>
          <w:lang w:val="hu"/>
        </w:rPr>
        <w:t>JPMorgannal</w:t>
      </w:r>
      <w:proofErr w:type="spellEnd"/>
      <w:r w:rsidRPr="00AA22B7">
        <w:rPr>
          <w:sz w:val="22"/>
          <w:szCs w:val="22"/>
          <w:lang w:val="hu"/>
        </w:rPr>
        <w:t xml:space="preserve">. </w:t>
      </w:r>
      <w:r w:rsidR="00E418CB" w:rsidRPr="00AA22B7">
        <w:rPr>
          <w:sz w:val="22"/>
          <w:szCs w:val="22"/>
          <w:lang w:val="hu"/>
        </w:rPr>
        <w:t>az</w:t>
      </w:r>
      <w:r w:rsidRPr="00AA22B7">
        <w:rPr>
          <w:sz w:val="22"/>
          <w:szCs w:val="22"/>
          <w:lang w:val="hu"/>
        </w:rPr>
        <w:t xml:space="preserve"> aláírás napján a Mac 103 USD-t vesz a </w:t>
      </w:r>
      <w:proofErr w:type="spellStart"/>
      <w:r w:rsidRPr="00AA22B7">
        <w:rPr>
          <w:sz w:val="22"/>
          <w:szCs w:val="22"/>
          <w:lang w:val="hu"/>
        </w:rPr>
        <w:t>JPM-től</w:t>
      </w:r>
      <w:proofErr w:type="spellEnd"/>
      <w:r w:rsidRPr="00AA22B7">
        <w:rPr>
          <w:sz w:val="22"/>
          <w:szCs w:val="22"/>
          <w:lang w:val="hu"/>
        </w:rPr>
        <w:t xml:space="preserve"> és 100 </w:t>
      </w:r>
      <w:proofErr w:type="spellStart"/>
      <w:r w:rsidRPr="00AA22B7">
        <w:rPr>
          <w:sz w:val="22"/>
          <w:szCs w:val="22"/>
          <w:lang w:val="hu"/>
        </w:rPr>
        <w:t>AUD</w:t>
      </w:r>
      <w:proofErr w:type="spellEnd"/>
      <w:r w:rsidRPr="00AA22B7">
        <w:rPr>
          <w:sz w:val="22"/>
          <w:szCs w:val="22"/>
          <w:lang w:val="hu"/>
        </w:rPr>
        <w:t xml:space="preserve">-t </w:t>
      </w:r>
      <w:r w:rsidR="00E418CB" w:rsidRPr="00AA22B7">
        <w:rPr>
          <w:sz w:val="22"/>
          <w:szCs w:val="22"/>
          <w:lang w:val="hu"/>
        </w:rPr>
        <w:t>ad</w:t>
      </w:r>
      <w:r w:rsidRPr="00AA22B7">
        <w:rPr>
          <w:sz w:val="22"/>
          <w:szCs w:val="22"/>
          <w:lang w:val="hu"/>
        </w:rPr>
        <w:t xml:space="preserve"> a </w:t>
      </w:r>
      <w:proofErr w:type="spellStart"/>
      <w:r w:rsidRPr="00AA22B7">
        <w:rPr>
          <w:sz w:val="22"/>
          <w:szCs w:val="22"/>
          <w:lang w:val="hu"/>
        </w:rPr>
        <w:t>JPM-nek</w:t>
      </w:r>
      <w:proofErr w:type="spellEnd"/>
      <w:r w:rsidRPr="00AA22B7">
        <w:rPr>
          <w:sz w:val="22"/>
          <w:szCs w:val="22"/>
          <w:lang w:val="hu"/>
        </w:rPr>
        <w:t xml:space="preserve"> (így a keresztdevizás csereügylet árfolyama 1 </w:t>
      </w:r>
      <w:proofErr w:type="spellStart"/>
      <w:r w:rsidRPr="00AA22B7">
        <w:rPr>
          <w:sz w:val="22"/>
          <w:szCs w:val="22"/>
          <w:lang w:val="hu"/>
        </w:rPr>
        <w:t>AUD</w:t>
      </w:r>
      <w:proofErr w:type="spellEnd"/>
      <w:r w:rsidRPr="00AA22B7">
        <w:rPr>
          <w:sz w:val="22"/>
          <w:szCs w:val="22"/>
          <w:lang w:val="hu"/>
        </w:rPr>
        <w:t xml:space="preserve"> = 1,03 USD értéken kerül rögzítésre). Amennyiben a beszámolási időpontban a csereügylet lejárati dátumára vonatkozó határidős devizaárfolyam 1 </w:t>
      </w:r>
      <w:proofErr w:type="spellStart"/>
      <w:r w:rsidRPr="00AA22B7">
        <w:rPr>
          <w:sz w:val="22"/>
          <w:szCs w:val="22"/>
          <w:lang w:val="hu"/>
        </w:rPr>
        <w:t>AUD</w:t>
      </w:r>
      <w:proofErr w:type="spellEnd"/>
      <w:r w:rsidRPr="00AA22B7">
        <w:rPr>
          <w:sz w:val="22"/>
          <w:szCs w:val="22"/>
          <w:lang w:val="hu"/>
        </w:rPr>
        <w:t xml:space="preserve"> = 1,05 USD, a Mac a tőkeösszegek lejáratkori cseréjekor nyereségre számíthat. Konkrétan, a Mac 103 USD-t fizet vissza a </w:t>
      </w:r>
      <w:proofErr w:type="spellStart"/>
      <w:r w:rsidRPr="00AA22B7">
        <w:rPr>
          <w:sz w:val="22"/>
          <w:szCs w:val="22"/>
          <w:lang w:val="hu"/>
        </w:rPr>
        <w:t>JPM-nek</w:t>
      </w:r>
      <w:proofErr w:type="spellEnd"/>
      <w:r w:rsidRPr="00AA22B7">
        <w:rPr>
          <w:sz w:val="22"/>
          <w:szCs w:val="22"/>
          <w:lang w:val="hu"/>
        </w:rPr>
        <w:t xml:space="preserve"> és 100 </w:t>
      </w:r>
      <w:proofErr w:type="spellStart"/>
      <w:r w:rsidRPr="00AA22B7">
        <w:rPr>
          <w:sz w:val="22"/>
          <w:szCs w:val="22"/>
          <w:lang w:val="hu"/>
        </w:rPr>
        <w:t>AUD</w:t>
      </w:r>
      <w:proofErr w:type="spellEnd"/>
      <w:r w:rsidRPr="00AA22B7">
        <w:rPr>
          <w:sz w:val="22"/>
          <w:szCs w:val="22"/>
          <w:lang w:val="hu"/>
        </w:rPr>
        <w:t xml:space="preserve">-t kap a </w:t>
      </w:r>
      <w:proofErr w:type="spellStart"/>
      <w:r w:rsidRPr="00AA22B7">
        <w:rPr>
          <w:sz w:val="22"/>
          <w:szCs w:val="22"/>
          <w:lang w:val="hu"/>
        </w:rPr>
        <w:t>JPM-től</w:t>
      </w:r>
      <w:proofErr w:type="spellEnd"/>
      <w:r w:rsidRPr="00AA22B7">
        <w:rPr>
          <w:sz w:val="22"/>
          <w:szCs w:val="22"/>
          <w:lang w:val="hu"/>
        </w:rPr>
        <w:t xml:space="preserve">, de a </w:t>
      </w:r>
      <w:proofErr w:type="spellStart"/>
      <w:r w:rsidRPr="00AA22B7">
        <w:rPr>
          <w:sz w:val="22"/>
          <w:szCs w:val="22"/>
          <w:lang w:val="hu"/>
        </w:rPr>
        <w:t>JPM-től</w:t>
      </w:r>
      <w:proofErr w:type="spellEnd"/>
      <w:r w:rsidRPr="00AA22B7">
        <w:rPr>
          <w:sz w:val="22"/>
          <w:szCs w:val="22"/>
          <w:lang w:val="hu"/>
        </w:rPr>
        <w:t xml:space="preserve"> kapott 100 </w:t>
      </w:r>
      <w:proofErr w:type="spellStart"/>
      <w:r w:rsidRPr="00AA22B7">
        <w:rPr>
          <w:sz w:val="22"/>
          <w:szCs w:val="22"/>
          <w:lang w:val="hu"/>
        </w:rPr>
        <w:t>AUD</w:t>
      </w:r>
      <w:proofErr w:type="spellEnd"/>
      <w:r w:rsidRPr="00AA22B7">
        <w:rPr>
          <w:sz w:val="22"/>
          <w:szCs w:val="22"/>
          <w:lang w:val="hu"/>
        </w:rPr>
        <w:t xml:space="preserve"> 105 USD-t fog érni, így a szerződés beszámolási időpontban érvényes piaci értéke 2 USD (a kamatfizetésekből származó egyéb bevételtől eltekintve, amit szintén figyelembe kell venni, amennyiben azok piaci értéke nem nulla). Ha a Mac és </w:t>
      </w:r>
      <w:proofErr w:type="spellStart"/>
      <w:r w:rsidRPr="00AA22B7">
        <w:rPr>
          <w:sz w:val="22"/>
          <w:szCs w:val="22"/>
          <w:lang w:val="hu"/>
        </w:rPr>
        <w:t>JPM</w:t>
      </w:r>
      <w:proofErr w:type="spellEnd"/>
      <w:r w:rsidRPr="00AA22B7">
        <w:rPr>
          <w:sz w:val="22"/>
          <w:szCs w:val="22"/>
          <w:lang w:val="hu"/>
        </w:rPr>
        <w:t xml:space="preserve"> egy másik származékos ügyletet is kötött, pl. egy részvény teljes hozamra szóló csereügyletet</w:t>
      </w:r>
      <w:r w:rsidR="00E418CB" w:rsidRPr="00AA22B7">
        <w:rPr>
          <w:sz w:val="22"/>
          <w:szCs w:val="22"/>
          <w:lang w:val="hu"/>
        </w:rPr>
        <w:t>,</w:t>
      </w:r>
      <w:r w:rsidRPr="00AA22B7">
        <w:rPr>
          <w:sz w:val="22"/>
          <w:szCs w:val="22"/>
          <w:lang w:val="hu"/>
        </w:rPr>
        <w:t xml:space="preserve"> amely piaci értéke a </w:t>
      </w:r>
      <w:proofErr w:type="spellStart"/>
      <w:r w:rsidRPr="00AA22B7">
        <w:rPr>
          <w:sz w:val="22"/>
          <w:szCs w:val="22"/>
          <w:lang w:val="hu"/>
        </w:rPr>
        <w:t>JPM</w:t>
      </w:r>
      <w:proofErr w:type="spellEnd"/>
      <w:r w:rsidRPr="00AA22B7">
        <w:rPr>
          <w:sz w:val="22"/>
          <w:szCs w:val="22"/>
          <w:lang w:val="hu"/>
        </w:rPr>
        <w:t xml:space="preserve"> számára +1 USD (és így -1 USD a Mac számára), akkor a Mac csak a 2 USD bruttó pozitív piaci értéket és az 1 USD bruttó negatív piaci értéket köteles jelenteni.</w:t>
      </w:r>
      <w:r>
        <w:rPr>
          <w:sz w:val="22"/>
          <w:szCs w:val="22"/>
          <w:lang w:val="hu"/>
        </w:rPr>
        <w:t xml:space="preserve"> </w:t>
      </w:r>
    </w:p>
    <w:p w14:paraId="78553BE2" w14:textId="77777777" w:rsidR="00D313C3" w:rsidRDefault="00D313C3" w:rsidP="00AA22B7">
      <w:pPr>
        <w:pStyle w:val="IndentedHeading1"/>
        <w:numPr>
          <w:ilvl w:val="0"/>
          <w:numId w:val="44"/>
        </w:numPr>
        <w:spacing w:after="0"/>
      </w:pPr>
      <w:r w:rsidRPr="00FE5851">
        <w:br w:type="page"/>
      </w:r>
      <w:r w:rsidR="00AF20C0">
        <w:rPr>
          <w:bCs/>
          <w:szCs w:val="24"/>
          <w:lang w:val="hu"/>
        </w:rPr>
        <w:t xml:space="preserve"> </w:t>
      </w:r>
      <w:bookmarkStart w:id="35" w:name="_Toc89264424"/>
      <w:r w:rsidRPr="00AA22B7">
        <w:rPr>
          <w:bCs/>
          <w:szCs w:val="24"/>
          <w:lang w:val="hu"/>
        </w:rPr>
        <w:t xml:space="preserve">számú melléklet: Központi szerződő felek </w:t>
      </w:r>
      <w:r w:rsidR="003B1768" w:rsidRPr="00AA22B7">
        <w:rPr>
          <w:bCs/>
          <w:szCs w:val="24"/>
          <w:lang w:val="hu"/>
        </w:rPr>
        <w:t>(</w:t>
      </w:r>
      <w:proofErr w:type="spellStart"/>
      <w:r w:rsidR="003B1768" w:rsidRPr="00AA22B7">
        <w:rPr>
          <w:bCs/>
          <w:szCs w:val="24"/>
          <w:lang w:val="hu"/>
        </w:rPr>
        <w:t>CCP</w:t>
      </w:r>
      <w:proofErr w:type="spellEnd"/>
      <w:r w:rsidR="003B1768" w:rsidRPr="00AA22B7">
        <w:rPr>
          <w:bCs/>
          <w:szCs w:val="24"/>
          <w:lang w:val="hu"/>
        </w:rPr>
        <w:t xml:space="preserve">) </w:t>
      </w:r>
      <w:r w:rsidRPr="00AA22B7">
        <w:rPr>
          <w:bCs/>
          <w:szCs w:val="24"/>
          <w:lang w:val="hu"/>
        </w:rPr>
        <w:t>jegyzéke</w:t>
      </w:r>
      <w:bookmarkEnd w:id="35"/>
      <w:r w:rsidRPr="00FE5851">
        <w:t xml:space="preserve"> </w:t>
      </w:r>
    </w:p>
    <w:p w14:paraId="78E735A0" w14:textId="77777777" w:rsidR="00591A15" w:rsidRPr="000754A9" w:rsidRDefault="00591A15" w:rsidP="00AA22B7">
      <w:pPr>
        <w:pStyle w:val="Default"/>
        <w:ind w:left="423"/>
        <w:jc w:val="both"/>
        <w:rPr>
          <w:sz w:val="22"/>
          <w:szCs w:val="22"/>
          <w:highlight w:val="cyan"/>
        </w:rPr>
      </w:pPr>
    </w:p>
    <w:p w14:paraId="590123F3" w14:textId="77777777" w:rsidR="00C92B05" w:rsidRDefault="004F1023" w:rsidP="00CB7D0C">
      <w:pPr>
        <w:spacing w:before="120" w:after="240"/>
        <w:rPr>
          <w:szCs w:val="24"/>
          <w:lang w:val="hu-HU"/>
        </w:rPr>
      </w:pPr>
      <w:r>
        <w:rPr>
          <w:szCs w:val="24"/>
          <w:lang w:val="hu-HU"/>
        </w:rPr>
        <w:t>A lista nem teljes körű</w:t>
      </w:r>
      <w:r w:rsidR="00700B15">
        <w:rPr>
          <w:szCs w:val="24"/>
          <w:lang w:val="hu-HU"/>
        </w:rPr>
        <w:t xml:space="preserve">. </w:t>
      </w:r>
      <w:r w:rsidR="00591A15">
        <w:rPr>
          <w:szCs w:val="24"/>
          <w:lang w:val="hu-HU"/>
        </w:rPr>
        <w:t xml:space="preserve"> </w:t>
      </w:r>
    </w:p>
    <w:p w14:paraId="1BCCFF9D" w14:textId="77777777" w:rsidR="00700B15" w:rsidRDefault="00591A15" w:rsidP="000754A9">
      <w:pPr>
        <w:spacing w:before="120" w:after="240"/>
        <w:jc w:val="both"/>
        <w:rPr>
          <w:szCs w:val="22"/>
          <w:lang w:val="hu"/>
        </w:rPr>
      </w:pPr>
      <w:r w:rsidRPr="00A13251">
        <w:rPr>
          <w:szCs w:val="22"/>
          <w:lang w:val="hu"/>
        </w:rPr>
        <w:t xml:space="preserve">A </w:t>
      </w:r>
      <w:proofErr w:type="spellStart"/>
      <w:r w:rsidRPr="00A13251">
        <w:rPr>
          <w:szCs w:val="22"/>
          <w:lang w:val="hu"/>
        </w:rPr>
        <w:t>CLS</w:t>
      </w:r>
      <w:proofErr w:type="spellEnd"/>
      <w:r w:rsidRPr="00A13251">
        <w:rPr>
          <w:szCs w:val="22"/>
          <w:lang w:val="hu"/>
        </w:rPr>
        <w:t xml:space="preserve"> Bank nem minősül központi szerződő félnek. A harmadik fél szolgáltatásokat nyújtó </w:t>
      </w:r>
      <w:proofErr w:type="spellStart"/>
      <w:r w:rsidRPr="00A13251">
        <w:rPr>
          <w:szCs w:val="22"/>
          <w:lang w:val="hu"/>
        </w:rPr>
        <w:t>CLS</w:t>
      </w:r>
      <w:proofErr w:type="spellEnd"/>
      <w:r w:rsidRPr="00A13251">
        <w:rPr>
          <w:szCs w:val="22"/>
          <w:lang w:val="hu"/>
        </w:rPr>
        <w:t xml:space="preserve"> elszámolási tagon keresztül történő elszámolás pedig önmagában nem központi klíring. A </w:t>
      </w:r>
      <w:proofErr w:type="spellStart"/>
      <w:r w:rsidRPr="00A13251">
        <w:rPr>
          <w:szCs w:val="22"/>
          <w:lang w:val="hu"/>
        </w:rPr>
        <w:t>CLS</w:t>
      </w:r>
      <w:proofErr w:type="spellEnd"/>
      <w:r w:rsidRPr="00A13251">
        <w:rPr>
          <w:szCs w:val="22"/>
          <w:lang w:val="hu"/>
        </w:rPr>
        <w:t xml:space="preserve"> az </w:t>
      </w:r>
      <w:r w:rsidRPr="00A13251">
        <w:rPr>
          <w:i/>
          <w:iCs/>
          <w:szCs w:val="22"/>
          <w:lang w:val="hu"/>
        </w:rPr>
        <w:t>elszámolásra</w:t>
      </w:r>
      <w:r>
        <w:rPr>
          <w:i/>
          <w:iCs/>
          <w:szCs w:val="22"/>
          <w:lang w:val="hu"/>
        </w:rPr>
        <w:t xml:space="preserve"> </w:t>
      </w:r>
      <w:r w:rsidRPr="00A13251">
        <w:rPr>
          <w:szCs w:val="22"/>
          <w:lang w:val="hu"/>
        </w:rPr>
        <w:t xml:space="preserve">(a legvégső lépésre) szakosodott, nem pedig a klíringre. A </w:t>
      </w:r>
      <w:proofErr w:type="spellStart"/>
      <w:r w:rsidRPr="00A13251">
        <w:rPr>
          <w:szCs w:val="22"/>
          <w:lang w:val="hu"/>
        </w:rPr>
        <w:t>CLS</w:t>
      </w:r>
      <w:proofErr w:type="spellEnd"/>
      <w:r w:rsidRPr="00A13251">
        <w:rPr>
          <w:szCs w:val="22"/>
          <w:lang w:val="hu"/>
        </w:rPr>
        <w:t xml:space="preserve"> elszámolási tagjai jelenleg mind bankok, és nem központi szerződő felek. Lehetséges, hogy a jövőben néhány központi szerződő fél </w:t>
      </w:r>
      <w:proofErr w:type="spellStart"/>
      <w:r w:rsidRPr="00A13251">
        <w:rPr>
          <w:szCs w:val="22"/>
          <w:lang w:val="hu"/>
        </w:rPr>
        <w:t>CLS</w:t>
      </w:r>
      <w:proofErr w:type="spellEnd"/>
      <w:r w:rsidRPr="00A13251">
        <w:rPr>
          <w:szCs w:val="22"/>
          <w:lang w:val="hu"/>
        </w:rPr>
        <w:t xml:space="preserve"> elszámoló taggá válik; de amíg ez nem történik meg, addig az elszámoló tagon keresztüli elszámolás elkülönül a központi klíringtől</w:t>
      </w:r>
      <w:r>
        <w:rPr>
          <w:szCs w:val="22"/>
          <w:lang w:val="hu"/>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3261"/>
        <w:gridCol w:w="1307"/>
      </w:tblGrid>
      <w:tr w:rsidR="003B1768" w:rsidRPr="00AA22B7" w14:paraId="1C28DE55" w14:textId="77777777" w:rsidTr="00AA22B7">
        <w:trPr>
          <w:trHeight w:val="567"/>
        </w:trPr>
        <w:tc>
          <w:tcPr>
            <w:tcW w:w="4644" w:type="dxa"/>
            <w:shd w:val="clear" w:color="auto" w:fill="auto"/>
          </w:tcPr>
          <w:p w14:paraId="2276F7D0" w14:textId="77777777" w:rsidR="003B1768" w:rsidRPr="00AA22B7" w:rsidRDefault="003B1768" w:rsidP="00806EC0">
            <w:pPr>
              <w:spacing w:before="360" w:after="240"/>
              <w:jc w:val="center"/>
              <w:rPr>
                <w:rStyle w:val="Jegyzethivatkozs"/>
                <w:b/>
                <w:snapToGrid/>
                <w:sz w:val="20"/>
                <w:szCs w:val="20"/>
                <w:lang w:eastAsia="en-US"/>
              </w:rPr>
            </w:pPr>
            <w:proofErr w:type="spellStart"/>
            <w:r w:rsidRPr="00AA22B7">
              <w:rPr>
                <w:rStyle w:val="Jegyzethivatkozs"/>
                <w:b/>
                <w:snapToGrid/>
                <w:sz w:val="20"/>
                <w:szCs w:val="20"/>
                <w:lang w:eastAsia="en-US"/>
              </w:rPr>
              <w:t>Név</w:t>
            </w:r>
            <w:proofErr w:type="spellEnd"/>
          </w:p>
        </w:tc>
        <w:tc>
          <w:tcPr>
            <w:tcW w:w="3261" w:type="dxa"/>
            <w:shd w:val="clear" w:color="auto" w:fill="auto"/>
          </w:tcPr>
          <w:p w14:paraId="490DAEDE" w14:textId="77777777" w:rsidR="003B1768" w:rsidRPr="00AA22B7" w:rsidRDefault="003B1768" w:rsidP="00806EC0">
            <w:pPr>
              <w:spacing w:before="360" w:after="240"/>
              <w:jc w:val="center"/>
              <w:rPr>
                <w:rStyle w:val="Jegyzethivatkozs"/>
                <w:b/>
                <w:snapToGrid/>
                <w:sz w:val="20"/>
                <w:szCs w:val="20"/>
                <w:lang w:eastAsia="en-US"/>
              </w:rPr>
            </w:pPr>
            <w:proofErr w:type="spellStart"/>
            <w:r w:rsidRPr="00AA22B7">
              <w:rPr>
                <w:rStyle w:val="Jegyzethivatkozs"/>
                <w:b/>
                <w:snapToGrid/>
                <w:sz w:val="20"/>
                <w:szCs w:val="20"/>
                <w:lang w:eastAsia="en-US"/>
              </w:rPr>
              <w:t>Azonosító</w:t>
            </w:r>
            <w:proofErr w:type="spellEnd"/>
            <w:r w:rsidRPr="00AA22B7">
              <w:rPr>
                <w:rStyle w:val="Jegyzethivatkozs"/>
                <w:b/>
                <w:snapToGrid/>
                <w:sz w:val="20"/>
                <w:szCs w:val="20"/>
                <w:lang w:eastAsia="en-US"/>
              </w:rPr>
              <w:t xml:space="preserve"> </w:t>
            </w:r>
            <w:proofErr w:type="spellStart"/>
            <w:r w:rsidRPr="00AA22B7">
              <w:rPr>
                <w:rStyle w:val="Jegyzethivatkozs"/>
                <w:b/>
                <w:snapToGrid/>
                <w:sz w:val="20"/>
                <w:szCs w:val="20"/>
                <w:lang w:eastAsia="en-US"/>
              </w:rPr>
              <w:t>kód</w:t>
            </w:r>
            <w:proofErr w:type="spellEnd"/>
            <w:r w:rsidRPr="00AA22B7">
              <w:rPr>
                <w:rStyle w:val="Jegyzethivatkozs"/>
                <w:b/>
                <w:snapToGrid/>
                <w:sz w:val="20"/>
                <w:szCs w:val="20"/>
                <w:lang w:eastAsia="en-US"/>
              </w:rPr>
              <w:t xml:space="preserve"> (LEI)</w:t>
            </w:r>
          </w:p>
        </w:tc>
        <w:tc>
          <w:tcPr>
            <w:tcW w:w="1307" w:type="dxa"/>
            <w:shd w:val="clear" w:color="auto" w:fill="auto"/>
          </w:tcPr>
          <w:p w14:paraId="2CFA5F5B" w14:textId="77777777" w:rsidR="003B1768" w:rsidRPr="00AA22B7" w:rsidRDefault="003B1768" w:rsidP="00806EC0">
            <w:pPr>
              <w:spacing w:before="360" w:after="240"/>
              <w:jc w:val="center"/>
              <w:rPr>
                <w:rStyle w:val="Jegyzethivatkozs"/>
                <w:b/>
                <w:snapToGrid/>
                <w:sz w:val="20"/>
                <w:szCs w:val="20"/>
                <w:lang w:eastAsia="en-US"/>
              </w:rPr>
            </w:pPr>
            <w:r w:rsidRPr="00AA22B7">
              <w:rPr>
                <w:rStyle w:val="Jegyzethivatkozs"/>
                <w:b/>
                <w:snapToGrid/>
                <w:sz w:val="20"/>
                <w:szCs w:val="20"/>
                <w:lang w:eastAsia="en-US"/>
              </w:rPr>
              <w:t>Ország</w:t>
            </w:r>
          </w:p>
        </w:tc>
      </w:tr>
      <w:tr w:rsidR="003B1768" w:rsidRPr="00AA22B7" w14:paraId="0309DE2A" w14:textId="77777777" w:rsidTr="00AA22B7">
        <w:trPr>
          <w:trHeight w:val="567"/>
        </w:trPr>
        <w:tc>
          <w:tcPr>
            <w:tcW w:w="4644" w:type="dxa"/>
            <w:shd w:val="clear" w:color="auto" w:fill="auto"/>
          </w:tcPr>
          <w:p w14:paraId="66E6262A" w14:textId="77777777" w:rsidR="003B1768" w:rsidRPr="00AA22B7" w:rsidRDefault="003B1768" w:rsidP="005B5271">
            <w:pPr>
              <w:spacing w:before="360" w:after="240"/>
              <w:rPr>
                <w:rStyle w:val="Jegyzethivatkozs"/>
                <w:snapToGrid/>
                <w:lang w:eastAsia="en-US"/>
              </w:rPr>
            </w:pPr>
            <w:r w:rsidRPr="00AA22B7">
              <w:rPr>
                <w:rStyle w:val="Jegyzethivatkozs"/>
                <w:snapToGrid/>
                <w:lang w:eastAsia="en-US"/>
              </w:rPr>
              <w:t>Argentina Clearing S.A.</w:t>
            </w:r>
          </w:p>
        </w:tc>
        <w:tc>
          <w:tcPr>
            <w:tcW w:w="3261" w:type="dxa"/>
            <w:shd w:val="clear" w:color="auto" w:fill="auto"/>
          </w:tcPr>
          <w:p w14:paraId="2652F772"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57EB9040" w14:textId="77777777" w:rsidR="003B1768" w:rsidRPr="00AA22B7" w:rsidRDefault="003B1768" w:rsidP="005B5271">
            <w:pPr>
              <w:spacing w:before="360" w:after="240"/>
              <w:rPr>
                <w:rStyle w:val="Jegyzethivatkozs"/>
                <w:snapToGrid/>
                <w:lang w:eastAsia="en-US"/>
              </w:rPr>
            </w:pPr>
            <w:r w:rsidRPr="00AA22B7">
              <w:rPr>
                <w:rStyle w:val="Jegyzethivatkozs"/>
                <w:snapToGrid/>
                <w:lang w:eastAsia="en-US"/>
              </w:rPr>
              <w:t>AR</w:t>
            </w:r>
          </w:p>
        </w:tc>
      </w:tr>
      <w:tr w:rsidR="003B1768" w:rsidRPr="00AA22B7" w14:paraId="6D9416F1" w14:textId="77777777" w:rsidTr="00AA22B7">
        <w:trPr>
          <w:trHeight w:val="567"/>
        </w:trPr>
        <w:tc>
          <w:tcPr>
            <w:tcW w:w="4644" w:type="dxa"/>
            <w:shd w:val="clear" w:color="auto" w:fill="auto"/>
          </w:tcPr>
          <w:p w14:paraId="2C9CAEDA" w14:textId="77777777" w:rsidR="003B1768" w:rsidRPr="00AA22B7" w:rsidRDefault="003B1768" w:rsidP="005B5271">
            <w:pPr>
              <w:spacing w:before="360" w:after="240"/>
              <w:rPr>
                <w:rStyle w:val="Jegyzethivatkozs"/>
                <w:snapToGrid/>
                <w:lang w:eastAsia="en-US"/>
              </w:rPr>
            </w:pPr>
            <w:proofErr w:type="spellStart"/>
            <w:r w:rsidRPr="00AA22B7">
              <w:rPr>
                <w:rStyle w:val="Jegyzethivatkozs"/>
                <w:snapToGrid/>
                <w:lang w:eastAsia="en-US"/>
              </w:rPr>
              <w:t>Asigna</w:t>
            </w:r>
            <w:proofErr w:type="spellEnd"/>
            <w:r w:rsidRPr="00AA22B7">
              <w:rPr>
                <w:rStyle w:val="Jegyzethivatkozs"/>
                <w:snapToGrid/>
                <w:lang w:eastAsia="en-US"/>
              </w:rPr>
              <w:t xml:space="preserve"> </w:t>
            </w:r>
            <w:proofErr w:type="spellStart"/>
            <w:r w:rsidRPr="00AA22B7">
              <w:rPr>
                <w:rStyle w:val="Jegyzethivatkozs"/>
                <w:snapToGrid/>
                <w:lang w:eastAsia="en-US"/>
              </w:rPr>
              <w:t>Compensacion</w:t>
            </w:r>
            <w:proofErr w:type="spellEnd"/>
            <w:r w:rsidRPr="00AA22B7">
              <w:rPr>
                <w:rStyle w:val="Jegyzethivatkozs"/>
                <w:snapToGrid/>
                <w:lang w:eastAsia="en-US"/>
              </w:rPr>
              <w:t xml:space="preserve"> y </w:t>
            </w:r>
            <w:proofErr w:type="spellStart"/>
            <w:r w:rsidRPr="00AA22B7">
              <w:rPr>
                <w:rStyle w:val="Jegyzethivatkozs"/>
                <w:snapToGrid/>
                <w:lang w:eastAsia="en-US"/>
              </w:rPr>
              <w:t>Liquidacion</w:t>
            </w:r>
            <w:proofErr w:type="spellEnd"/>
          </w:p>
        </w:tc>
        <w:tc>
          <w:tcPr>
            <w:tcW w:w="3261" w:type="dxa"/>
            <w:shd w:val="clear" w:color="auto" w:fill="auto"/>
          </w:tcPr>
          <w:p w14:paraId="11ECA084"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3DD69EBA" w14:textId="77777777" w:rsidR="003B1768" w:rsidRPr="00AA22B7" w:rsidRDefault="003B1768" w:rsidP="005B5271">
            <w:pPr>
              <w:spacing w:before="360" w:after="240"/>
              <w:rPr>
                <w:rStyle w:val="Jegyzethivatkozs"/>
                <w:snapToGrid/>
                <w:lang w:eastAsia="en-US"/>
              </w:rPr>
            </w:pPr>
            <w:r w:rsidRPr="00AA22B7">
              <w:rPr>
                <w:rStyle w:val="Jegyzethivatkozs"/>
                <w:snapToGrid/>
                <w:lang w:eastAsia="en-US"/>
              </w:rPr>
              <w:t>MX</w:t>
            </w:r>
          </w:p>
        </w:tc>
      </w:tr>
      <w:tr w:rsidR="003B1768" w:rsidRPr="00AA22B7" w14:paraId="29CC8B9E" w14:textId="77777777" w:rsidTr="00AA22B7">
        <w:trPr>
          <w:trHeight w:val="567"/>
        </w:trPr>
        <w:tc>
          <w:tcPr>
            <w:tcW w:w="4644" w:type="dxa"/>
            <w:shd w:val="clear" w:color="auto" w:fill="auto"/>
          </w:tcPr>
          <w:p w14:paraId="6540FF6E" w14:textId="77777777" w:rsidR="003B1768" w:rsidRPr="00AA22B7" w:rsidRDefault="00B76A4D" w:rsidP="005B5271">
            <w:pPr>
              <w:spacing w:before="360" w:after="240"/>
              <w:rPr>
                <w:rStyle w:val="Jegyzethivatkozs"/>
                <w:snapToGrid/>
                <w:lang w:eastAsia="en-US"/>
              </w:rPr>
            </w:pPr>
            <w:r w:rsidRPr="00AA22B7">
              <w:rPr>
                <w:rStyle w:val="Jegyzethivatkozs"/>
                <w:lang w:eastAsia="en-US"/>
              </w:rPr>
              <w:t>ASX Clear (Futures) Pty Limited</w:t>
            </w:r>
          </w:p>
        </w:tc>
        <w:tc>
          <w:tcPr>
            <w:tcW w:w="3261" w:type="dxa"/>
            <w:shd w:val="clear" w:color="auto" w:fill="auto"/>
          </w:tcPr>
          <w:p w14:paraId="0993FDC0" w14:textId="77777777" w:rsidR="003B1768" w:rsidRPr="00AA22B7" w:rsidRDefault="00B76A4D" w:rsidP="005B5271">
            <w:pPr>
              <w:spacing w:before="360" w:after="240"/>
              <w:rPr>
                <w:rStyle w:val="Jegyzethivatkozs"/>
                <w:snapToGrid/>
                <w:lang w:eastAsia="en-US"/>
              </w:rPr>
            </w:pPr>
            <w:r w:rsidRPr="00AA22B7">
              <w:rPr>
                <w:rStyle w:val="Jegyzethivatkozs"/>
                <w:snapToGrid/>
                <w:lang w:eastAsia="en-US"/>
              </w:rPr>
              <w:t>549300ZD7BBOVZFVHK49</w:t>
            </w:r>
          </w:p>
        </w:tc>
        <w:tc>
          <w:tcPr>
            <w:tcW w:w="1307" w:type="dxa"/>
            <w:shd w:val="clear" w:color="auto" w:fill="auto"/>
          </w:tcPr>
          <w:p w14:paraId="0D7A599D" w14:textId="77777777" w:rsidR="003B1768" w:rsidRPr="00AA22B7" w:rsidRDefault="00B76A4D" w:rsidP="005B5271">
            <w:pPr>
              <w:spacing w:before="360" w:after="240"/>
              <w:rPr>
                <w:rStyle w:val="Jegyzethivatkozs"/>
                <w:snapToGrid/>
                <w:lang w:eastAsia="en-US"/>
              </w:rPr>
            </w:pPr>
            <w:r w:rsidRPr="00AA22B7">
              <w:rPr>
                <w:rStyle w:val="Jegyzethivatkozs"/>
                <w:snapToGrid/>
                <w:lang w:eastAsia="en-US"/>
              </w:rPr>
              <w:t>AU</w:t>
            </w:r>
          </w:p>
        </w:tc>
      </w:tr>
      <w:tr w:rsidR="003B1768" w:rsidRPr="00AA22B7" w14:paraId="2F476E76" w14:textId="77777777" w:rsidTr="00AA22B7">
        <w:trPr>
          <w:trHeight w:val="567"/>
        </w:trPr>
        <w:tc>
          <w:tcPr>
            <w:tcW w:w="4644" w:type="dxa"/>
            <w:shd w:val="clear" w:color="auto" w:fill="auto"/>
          </w:tcPr>
          <w:p w14:paraId="2714ECFD" w14:textId="77777777" w:rsidR="003B1768" w:rsidRPr="00AA22B7" w:rsidRDefault="00B76A4D" w:rsidP="005B5271">
            <w:pPr>
              <w:spacing w:before="360" w:after="240"/>
              <w:rPr>
                <w:rStyle w:val="Jegyzethivatkozs"/>
                <w:snapToGrid/>
                <w:lang w:eastAsia="en-US"/>
              </w:rPr>
            </w:pPr>
            <w:r w:rsidRPr="00AA22B7">
              <w:rPr>
                <w:rStyle w:val="Jegyzethivatkozs"/>
                <w:snapToGrid/>
                <w:lang w:eastAsia="en-US"/>
              </w:rPr>
              <w:t>ASX Clear Pty Limited</w:t>
            </w:r>
          </w:p>
        </w:tc>
        <w:tc>
          <w:tcPr>
            <w:tcW w:w="3261" w:type="dxa"/>
            <w:shd w:val="clear" w:color="auto" w:fill="auto"/>
          </w:tcPr>
          <w:p w14:paraId="68D46F6A" w14:textId="77777777" w:rsidR="003B1768" w:rsidRPr="00AA22B7" w:rsidRDefault="00B76A4D" w:rsidP="005B5271">
            <w:pPr>
              <w:spacing w:before="360" w:after="240"/>
              <w:rPr>
                <w:rStyle w:val="Jegyzethivatkozs"/>
                <w:snapToGrid/>
                <w:lang w:eastAsia="en-US"/>
              </w:rPr>
            </w:pPr>
            <w:r w:rsidRPr="00AA22B7">
              <w:rPr>
                <w:rStyle w:val="Jegyzethivatkozs"/>
                <w:snapToGrid/>
                <w:lang w:eastAsia="en-US"/>
              </w:rPr>
              <w:t>549300JQL1BXTGCCGP11</w:t>
            </w:r>
          </w:p>
        </w:tc>
        <w:tc>
          <w:tcPr>
            <w:tcW w:w="1307" w:type="dxa"/>
            <w:shd w:val="clear" w:color="auto" w:fill="auto"/>
          </w:tcPr>
          <w:p w14:paraId="38C3169E" w14:textId="77777777" w:rsidR="003B1768" w:rsidRPr="00AA22B7" w:rsidRDefault="008B4C63" w:rsidP="005B5271">
            <w:pPr>
              <w:spacing w:before="360" w:after="240"/>
              <w:rPr>
                <w:rStyle w:val="Jegyzethivatkozs"/>
                <w:snapToGrid/>
                <w:lang w:eastAsia="en-US"/>
              </w:rPr>
            </w:pPr>
            <w:r w:rsidRPr="00AA22B7">
              <w:rPr>
                <w:rStyle w:val="Jegyzethivatkozs"/>
                <w:snapToGrid/>
                <w:lang w:eastAsia="en-US"/>
              </w:rPr>
              <w:t>AU</w:t>
            </w:r>
          </w:p>
        </w:tc>
      </w:tr>
      <w:tr w:rsidR="003B1768" w:rsidRPr="00AA22B7" w14:paraId="1F73E054" w14:textId="77777777" w:rsidTr="00AA22B7">
        <w:trPr>
          <w:trHeight w:val="567"/>
        </w:trPr>
        <w:tc>
          <w:tcPr>
            <w:tcW w:w="4644" w:type="dxa"/>
            <w:shd w:val="clear" w:color="auto" w:fill="auto"/>
          </w:tcPr>
          <w:p w14:paraId="62656E25" w14:textId="77777777" w:rsidR="003B1768" w:rsidRPr="00AA22B7" w:rsidRDefault="008B4C63" w:rsidP="005B5271">
            <w:pPr>
              <w:spacing w:before="360" w:after="240"/>
              <w:rPr>
                <w:rStyle w:val="Jegyzethivatkozs"/>
                <w:snapToGrid/>
                <w:lang w:eastAsia="en-US"/>
              </w:rPr>
            </w:pPr>
            <w:r w:rsidRPr="00AA22B7">
              <w:rPr>
                <w:rStyle w:val="Jegyzethivatkozs"/>
                <w:snapToGrid/>
                <w:lang w:eastAsia="en-US"/>
              </w:rPr>
              <w:t>Athens Exchange Clearing House (</w:t>
            </w:r>
            <w:proofErr w:type="spellStart"/>
            <w:r w:rsidRPr="00AA22B7">
              <w:rPr>
                <w:rStyle w:val="Jegyzethivatkozs"/>
                <w:snapToGrid/>
                <w:lang w:eastAsia="en-US"/>
              </w:rPr>
              <w:t>Athex</w:t>
            </w:r>
            <w:proofErr w:type="spellEnd"/>
            <w:r w:rsidRPr="00AA22B7">
              <w:rPr>
                <w:rStyle w:val="Jegyzethivatkozs"/>
                <w:snapToGrid/>
                <w:lang w:eastAsia="en-US"/>
              </w:rPr>
              <w:t xml:space="preserve"> Clear)</w:t>
            </w:r>
          </w:p>
        </w:tc>
        <w:tc>
          <w:tcPr>
            <w:tcW w:w="3261" w:type="dxa"/>
            <w:shd w:val="clear" w:color="auto" w:fill="auto"/>
          </w:tcPr>
          <w:p w14:paraId="683F7401" w14:textId="77777777" w:rsidR="003B1768" w:rsidRPr="00AA22B7" w:rsidRDefault="008B4C63" w:rsidP="005B5271">
            <w:pPr>
              <w:spacing w:before="360" w:after="240"/>
              <w:rPr>
                <w:rStyle w:val="Jegyzethivatkozs"/>
                <w:snapToGrid/>
                <w:lang w:eastAsia="en-US"/>
              </w:rPr>
            </w:pPr>
            <w:r w:rsidRPr="00AA22B7">
              <w:rPr>
                <w:rStyle w:val="Jegyzethivatkozs"/>
                <w:snapToGrid/>
                <w:lang w:eastAsia="en-US"/>
              </w:rPr>
              <w:t>213800IW53U9JMJ4QR40</w:t>
            </w:r>
          </w:p>
        </w:tc>
        <w:tc>
          <w:tcPr>
            <w:tcW w:w="1307" w:type="dxa"/>
            <w:shd w:val="clear" w:color="auto" w:fill="auto"/>
          </w:tcPr>
          <w:p w14:paraId="65524026" w14:textId="77777777" w:rsidR="003B1768" w:rsidRPr="00AA22B7" w:rsidRDefault="008B4C63" w:rsidP="005B5271">
            <w:pPr>
              <w:spacing w:before="360" w:after="240"/>
              <w:rPr>
                <w:rStyle w:val="Jegyzethivatkozs"/>
                <w:snapToGrid/>
                <w:lang w:eastAsia="en-US"/>
              </w:rPr>
            </w:pPr>
            <w:r w:rsidRPr="00AA22B7">
              <w:rPr>
                <w:rStyle w:val="Jegyzethivatkozs"/>
                <w:snapToGrid/>
                <w:lang w:eastAsia="en-US"/>
              </w:rPr>
              <w:t>GR</w:t>
            </w:r>
          </w:p>
        </w:tc>
      </w:tr>
      <w:tr w:rsidR="003B1768" w:rsidRPr="00AA22B7" w14:paraId="4955253F" w14:textId="77777777" w:rsidTr="00AA22B7">
        <w:trPr>
          <w:trHeight w:val="567"/>
        </w:trPr>
        <w:tc>
          <w:tcPr>
            <w:tcW w:w="4644" w:type="dxa"/>
            <w:shd w:val="clear" w:color="auto" w:fill="auto"/>
          </w:tcPr>
          <w:p w14:paraId="3B71A6EB" w14:textId="77777777" w:rsidR="003B1768" w:rsidRPr="00AA22B7" w:rsidRDefault="008B4C63" w:rsidP="005B5271">
            <w:pPr>
              <w:spacing w:before="360" w:after="240"/>
              <w:rPr>
                <w:rStyle w:val="Jegyzethivatkozs"/>
                <w:snapToGrid/>
                <w:lang w:eastAsia="en-US"/>
              </w:rPr>
            </w:pPr>
            <w:r w:rsidRPr="00AA22B7">
              <w:rPr>
                <w:rStyle w:val="Jegyzethivatkozs"/>
                <w:snapToGrid/>
                <w:lang w:eastAsia="en-US"/>
              </w:rPr>
              <w:t>BME Clearing</w:t>
            </w:r>
          </w:p>
        </w:tc>
        <w:tc>
          <w:tcPr>
            <w:tcW w:w="3261" w:type="dxa"/>
            <w:shd w:val="clear" w:color="auto" w:fill="auto"/>
          </w:tcPr>
          <w:p w14:paraId="121D6C40" w14:textId="77777777" w:rsidR="003B1768" w:rsidRPr="00AA22B7" w:rsidRDefault="008B4C63" w:rsidP="005B5271">
            <w:pPr>
              <w:spacing w:before="360" w:after="240"/>
              <w:rPr>
                <w:rStyle w:val="Jegyzethivatkozs"/>
                <w:snapToGrid/>
                <w:lang w:eastAsia="en-US"/>
              </w:rPr>
            </w:pPr>
            <w:r w:rsidRPr="00AA22B7">
              <w:rPr>
                <w:rStyle w:val="Jegyzethivatkozs"/>
                <w:snapToGrid/>
                <w:lang w:eastAsia="en-US"/>
              </w:rPr>
              <w:t>5299009QA8BBE2OOB349</w:t>
            </w:r>
          </w:p>
        </w:tc>
        <w:tc>
          <w:tcPr>
            <w:tcW w:w="1307" w:type="dxa"/>
            <w:shd w:val="clear" w:color="auto" w:fill="auto"/>
          </w:tcPr>
          <w:p w14:paraId="0DCE95CA" w14:textId="77777777" w:rsidR="003B1768" w:rsidRPr="00AA22B7" w:rsidRDefault="00AA0CD3" w:rsidP="005B5271">
            <w:pPr>
              <w:spacing w:before="360" w:after="240"/>
              <w:rPr>
                <w:rStyle w:val="Jegyzethivatkozs"/>
                <w:snapToGrid/>
                <w:lang w:eastAsia="en-US"/>
              </w:rPr>
            </w:pPr>
            <w:r w:rsidRPr="00AA22B7">
              <w:rPr>
                <w:rStyle w:val="Jegyzethivatkozs"/>
                <w:snapToGrid/>
                <w:lang w:eastAsia="en-US"/>
              </w:rPr>
              <w:t>ES</w:t>
            </w:r>
          </w:p>
        </w:tc>
      </w:tr>
      <w:tr w:rsidR="003B1768" w:rsidRPr="00AA22B7" w14:paraId="7535CF64" w14:textId="77777777" w:rsidTr="00AA22B7">
        <w:trPr>
          <w:trHeight w:val="567"/>
        </w:trPr>
        <w:tc>
          <w:tcPr>
            <w:tcW w:w="4644" w:type="dxa"/>
            <w:shd w:val="clear" w:color="auto" w:fill="auto"/>
          </w:tcPr>
          <w:p w14:paraId="6282CAEF" w14:textId="77777777" w:rsidR="003B1768" w:rsidRPr="00AA22B7" w:rsidRDefault="00AA0CD3" w:rsidP="005B5271">
            <w:pPr>
              <w:spacing w:before="360" w:after="240"/>
              <w:rPr>
                <w:rStyle w:val="Jegyzethivatkozs"/>
                <w:snapToGrid/>
                <w:lang w:eastAsia="en-US"/>
              </w:rPr>
            </w:pPr>
            <w:proofErr w:type="spellStart"/>
            <w:r w:rsidRPr="00AA22B7">
              <w:rPr>
                <w:rStyle w:val="Jegyzethivatkozs"/>
                <w:snapToGrid/>
                <w:lang w:eastAsia="en-US"/>
              </w:rPr>
              <w:t>BMF</w:t>
            </w:r>
            <w:proofErr w:type="spellEnd"/>
            <w:r w:rsidRPr="00AA22B7">
              <w:rPr>
                <w:rStyle w:val="Jegyzethivatkozs"/>
                <w:snapToGrid/>
                <w:lang w:eastAsia="en-US"/>
              </w:rPr>
              <w:t xml:space="preserve"> </w:t>
            </w:r>
            <w:proofErr w:type="spellStart"/>
            <w:r w:rsidRPr="00AA22B7">
              <w:rPr>
                <w:rStyle w:val="Jegyzethivatkozs"/>
                <w:snapToGrid/>
                <w:lang w:eastAsia="en-US"/>
              </w:rPr>
              <w:t>Bovespa</w:t>
            </w:r>
            <w:proofErr w:type="spellEnd"/>
            <w:r w:rsidRPr="00AA22B7">
              <w:rPr>
                <w:rStyle w:val="Jegyzethivatkozs"/>
                <w:snapToGrid/>
                <w:lang w:eastAsia="en-US"/>
              </w:rPr>
              <w:t xml:space="preserve"> SA</w:t>
            </w:r>
          </w:p>
        </w:tc>
        <w:tc>
          <w:tcPr>
            <w:tcW w:w="3261" w:type="dxa"/>
            <w:shd w:val="clear" w:color="auto" w:fill="auto"/>
          </w:tcPr>
          <w:p w14:paraId="4EB025FD"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56AE3BB7" w14:textId="77777777" w:rsidR="003B1768" w:rsidRPr="00AA22B7" w:rsidRDefault="00AA0CD3" w:rsidP="005B5271">
            <w:pPr>
              <w:spacing w:before="360" w:after="240"/>
              <w:rPr>
                <w:rStyle w:val="Jegyzethivatkozs"/>
                <w:snapToGrid/>
                <w:lang w:eastAsia="en-US"/>
              </w:rPr>
            </w:pPr>
            <w:r w:rsidRPr="00AA22B7">
              <w:rPr>
                <w:rStyle w:val="Jegyzethivatkozs"/>
                <w:snapToGrid/>
                <w:lang w:eastAsia="en-US"/>
              </w:rPr>
              <w:t>BR</w:t>
            </w:r>
          </w:p>
        </w:tc>
      </w:tr>
      <w:tr w:rsidR="003B1768" w:rsidRPr="00AA22B7" w14:paraId="4F92ECD6" w14:textId="77777777" w:rsidTr="00AA22B7">
        <w:trPr>
          <w:trHeight w:val="567"/>
        </w:trPr>
        <w:tc>
          <w:tcPr>
            <w:tcW w:w="4644" w:type="dxa"/>
            <w:shd w:val="clear" w:color="auto" w:fill="auto"/>
          </w:tcPr>
          <w:p w14:paraId="2C622F75" w14:textId="77777777" w:rsidR="003B1768" w:rsidRPr="00AA22B7" w:rsidRDefault="00AA0CD3" w:rsidP="005B5271">
            <w:pPr>
              <w:spacing w:before="360" w:after="240"/>
              <w:rPr>
                <w:rStyle w:val="Jegyzethivatkozs"/>
                <w:snapToGrid/>
                <w:lang w:eastAsia="en-US"/>
              </w:rPr>
            </w:pPr>
            <w:r w:rsidRPr="00AA22B7">
              <w:rPr>
                <w:rStyle w:val="Jegyzethivatkozs"/>
                <w:snapToGrid/>
                <w:lang w:eastAsia="en-US"/>
              </w:rPr>
              <w:t xml:space="preserve">Bursa Malaysia Derivatives Clearing </w:t>
            </w:r>
            <w:proofErr w:type="spellStart"/>
            <w:r w:rsidRPr="00AA22B7">
              <w:rPr>
                <w:rStyle w:val="Jegyzethivatkozs"/>
                <w:snapToGrid/>
                <w:lang w:eastAsia="en-US"/>
              </w:rPr>
              <w:t>Berhad</w:t>
            </w:r>
            <w:proofErr w:type="spellEnd"/>
            <w:r w:rsidRPr="00AA22B7">
              <w:rPr>
                <w:rStyle w:val="Jegyzethivatkozs"/>
                <w:snapToGrid/>
                <w:lang w:eastAsia="en-US"/>
              </w:rPr>
              <w:t xml:space="preserve"> (</w:t>
            </w:r>
            <w:proofErr w:type="spellStart"/>
            <w:r w:rsidRPr="00AA22B7">
              <w:rPr>
                <w:rStyle w:val="Jegyzethivatkozs"/>
                <w:snapToGrid/>
                <w:lang w:eastAsia="en-US"/>
              </w:rPr>
              <w:t>BMDC</w:t>
            </w:r>
            <w:proofErr w:type="spellEnd"/>
            <w:r w:rsidRPr="00AA22B7">
              <w:rPr>
                <w:rStyle w:val="Jegyzethivatkozs"/>
                <w:snapToGrid/>
                <w:lang w:eastAsia="en-US"/>
              </w:rPr>
              <w:t>)</w:t>
            </w:r>
          </w:p>
        </w:tc>
        <w:tc>
          <w:tcPr>
            <w:tcW w:w="3261" w:type="dxa"/>
            <w:shd w:val="clear" w:color="auto" w:fill="auto"/>
          </w:tcPr>
          <w:p w14:paraId="4DC3665B"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5C3A9C81" w14:textId="77777777" w:rsidR="003B1768" w:rsidRPr="00AA22B7" w:rsidRDefault="00AA0CD3" w:rsidP="005B5271">
            <w:pPr>
              <w:spacing w:before="360" w:after="240"/>
              <w:rPr>
                <w:rStyle w:val="Jegyzethivatkozs"/>
                <w:snapToGrid/>
                <w:lang w:eastAsia="en-US"/>
              </w:rPr>
            </w:pPr>
            <w:r w:rsidRPr="00AA22B7">
              <w:rPr>
                <w:rStyle w:val="Jegyzethivatkozs"/>
                <w:snapToGrid/>
                <w:lang w:eastAsia="en-US"/>
              </w:rPr>
              <w:t>MY</w:t>
            </w:r>
          </w:p>
        </w:tc>
      </w:tr>
      <w:tr w:rsidR="003B1768" w:rsidRPr="00AA22B7" w14:paraId="01C2DEF4" w14:textId="77777777" w:rsidTr="00AA22B7">
        <w:trPr>
          <w:trHeight w:val="567"/>
        </w:trPr>
        <w:tc>
          <w:tcPr>
            <w:tcW w:w="4644" w:type="dxa"/>
            <w:shd w:val="clear" w:color="auto" w:fill="auto"/>
          </w:tcPr>
          <w:p w14:paraId="52949DC4" w14:textId="77777777" w:rsidR="003B1768" w:rsidRPr="00AA22B7" w:rsidRDefault="00AA0CD3" w:rsidP="005B5271">
            <w:pPr>
              <w:spacing w:before="360" w:after="240"/>
              <w:rPr>
                <w:rStyle w:val="Jegyzethivatkozs"/>
                <w:snapToGrid/>
                <w:lang w:eastAsia="en-US"/>
              </w:rPr>
            </w:pPr>
            <w:r w:rsidRPr="00AA22B7">
              <w:rPr>
                <w:rStyle w:val="Jegyzethivatkozs"/>
                <w:snapToGrid/>
                <w:lang w:eastAsia="en-US"/>
              </w:rPr>
              <w:t>Canadian Derivatives Clearing Corporation</w:t>
            </w:r>
          </w:p>
        </w:tc>
        <w:tc>
          <w:tcPr>
            <w:tcW w:w="3261" w:type="dxa"/>
            <w:shd w:val="clear" w:color="auto" w:fill="auto"/>
          </w:tcPr>
          <w:p w14:paraId="2A7541BE"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6F67F22F" w14:textId="77777777" w:rsidR="003B1768" w:rsidRPr="00AA22B7" w:rsidRDefault="00AA0CD3" w:rsidP="005B5271">
            <w:pPr>
              <w:spacing w:before="360" w:after="240"/>
              <w:rPr>
                <w:rStyle w:val="Jegyzethivatkozs"/>
                <w:snapToGrid/>
                <w:lang w:eastAsia="en-US"/>
              </w:rPr>
            </w:pPr>
            <w:r w:rsidRPr="00AA22B7">
              <w:rPr>
                <w:rStyle w:val="Jegyzethivatkozs"/>
                <w:snapToGrid/>
                <w:lang w:eastAsia="en-US"/>
              </w:rPr>
              <w:t>CA</w:t>
            </w:r>
          </w:p>
        </w:tc>
      </w:tr>
      <w:tr w:rsidR="003B1768" w:rsidRPr="00AA22B7" w14:paraId="45123334" w14:textId="77777777" w:rsidTr="00AA22B7">
        <w:trPr>
          <w:trHeight w:val="567"/>
        </w:trPr>
        <w:tc>
          <w:tcPr>
            <w:tcW w:w="4644" w:type="dxa"/>
            <w:shd w:val="clear" w:color="auto" w:fill="auto"/>
          </w:tcPr>
          <w:p w14:paraId="2BEFDD15" w14:textId="77777777" w:rsidR="003B1768" w:rsidRPr="00AA22B7" w:rsidRDefault="00AA0CD3" w:rsidP="005B5271">
            <w:pPr>
              <w:spacing w:before="360" w:after="240"/>
              <w:rPr>
                <w:rStyle w:val="Jegyzethivatkozs"/>
                <w:snapToGrid/>
                <w:lang w:eastAsia="en-US"/>
              </w:rPr>
            </w:pPr>
            <w:r w:rsidRPr="00AA22B7">
              <w:rPr>
                <w:rStyle w:val="Jegyzethivatkozs"/>
                <w:snapToGrid/>
                <w:lang w:eastAsia="en-US"/>
              </w:rPr>
              <w:t xml:space="preserve">Cassa di </w:t>
            </w:r>
            <w:proofErr w:type="spellStart"/>
            <w:r w:rsidRPr="00AA22B7">
              <w:rPr>
                <w:rStyle w:val="Jegyzethivatkozs"/>
                <w:snapToGrid/>
                <w:lang w:eastAsia="en-US"/>
              </w:rPr>
              <w:t>Compensazione</w:t>
            </w:r>
            <w:proofErr w:type="spellEnd"/>
            <w:r w:rsidRPr="00AA22B7">
              <w:rPr>
                <w:rStyle w:val="Jegyzethivatkozs"/>
                <w:snapToGrid/>
                <w:lang w:eastAsia="en-US"/>
              </w:rPr>
              <w:t xml:space="preserve"> e </w:t>
            </w:r>
            <w:proofErr w:type="spellStart"/>
            <w:r w:rsidRPr="00AA22B7">
              <w:rPr>
                <w:rStyle w:val="Jegyzethivatkozs"/>
                <w:snapToGrid/>
                <w:lang w:eastAsia="en-US"/>
              </w:rPr>
              <w:t>Garanzia</w:t>
            </w:r>
            <w:proofErr w:type="spellEnd"/>
            <w:r w:rsidRPr="00AA22B7">
              <w:rPr>
                <w:rStyle w:val="Jegyzethivatkozs"/>
                <w:snapToGrid/>
                <w:lang w:eastAsia="en-US"/>
              </w:rPr>
              <w:t xml:space="preserve"> S.p.A. (CCG)</w:t>
            </w:r>
          </w:p>
        </w:tc>
        <w:tc>
          <w:tcPr>
            <w:tcW w:w="3261" w:type="dxa"/>
            <w:shd w:val="clear" w:color="auto" w:fill="auto"/>
          </w:tcPr>
          <w:p w14:paraId="2C012914" w14:textId="77777777" w:rsidR="003B1768" w:rsidRPr="00AA22B7" w:rsidRDefault="00AA0CD3" w:rsidP="005B5271">
            <w:pPr>
              <w:spacing w:before="360" w:after="240"/>
              <w:rPr>
                <w:rStyle w:val="Jegyzethivatkozs"/>
                <w:snapToGrid/>
                <w:lang w:eastAsia="en-US"/>
              </w:rPr>
            </w:pPr>
            <w:r w:rsidRPr="00AA22B7">
              <w:rPr>
                <w:rStyle w:val="Jegyzethivatkozs"/>
                <w:snapToGrid/>
                <w:lang w:eastAsia="en-US"/>
              </w:rPr>
              <w:t>8156006407E264D2C725</w:t>
            </w:r>
          </w:p>
        </w:tc>
        <w:tc>
          <w:tcPr>
            <w:tcW w:w="1307" w:type="dxa"/>
            <w:shd w:val="clear" w:color="auto" w:fill="auto"/>
          </w:tcPr>
          <w:p w14:paraId="4391A275" w14:textId="77777777" w:rsidR="003B1768" w:rsidRPr="00AA22B7" w:rsidRDefault="00AA0CD3" w:rsidP="005B5271">
            <w:pPr>
              <w:spacing w:before="360" w:after="240"/>
              <w:rPr>
                <w:rStyle w:val="Jegyzethivatkozs"/>
                <w:snapToGrid/>
                <w:lang w:eastAsia="en-US"/>
              </w:rPr>
            </w:pPr>
            <w:r w:rsidRPr="00AA22B7">
              <w:rPr>
                <w:rStyle w:val="Jegyzethivatkozs"/>
                <w:snapToGrid/>
                <w:lang w:eastAsia="en-US"/>
              </w:rPr>
              <w:t>IT</w:t>
            </w:r>
          </w:p>
        </w:tc>
      </w:tr>
      <w:tr w:rsidR="003B1768" w:rsidRPr="00AA22B7" w14:paraId="28D85787" w14:textId="77777777" w:rsidTr="00AA22B7">
        <w:trPr>
          <w:trHeight w:val="567"/>
        </w:trPr>
        <w:tc>
          <w:tcPr>
            <w:tcW w:w="4644" w:type="dxa"/>
            <w:shd w:val="clear" w:color="auto" w:fill="auto"/>
          </w:tcPr>
          <w:p w14:paraId="66431D6B" w14:textId="77777777" w:rsidR="003B1768" w:rsidRPr="00AA22B7" w:rsidRDefault="00A1110C" w:rsidP="005B5271">
            <w:pPr>
              <w:spacing w:before="360" w:after="240"/>
              <w:rPr>
                <w:rStyle w:val="Jegyzethivatkozs"/>
                <w:snapToGrid/>
                <w:lang w:eastAsia="en-US"/>
              </w:rPr>
            </w:pPr>
            <w:proofErr w:type="spellStart"/>
            <w:r w:rsidRPr="00AA22B7">
              <w:rPr>
                <w:rStyle w:val="Jegyzethivatkozs"/>
                <w:snapToGrid/>
                <w:lang w:eastAsia="en-US"/>
              </w:rPr>
              <w:t>CCP</w:t>
            </w:r>
            <w:proofErr w:type="spellEnd"/>
            <w:r w:rsidRPr="00AA22B7">
              <w:rPr>
                <w:rStyle w:val="Jegyzethivatkozs"/>
                <w:snapToGrid/>
                <w:lang w:eastAsia="en-US"/>
              </w:rPr>
              <w:t xml:space="preserve"> Austria </w:t>
            </w:r>
            <w:proofErr w:type="spellStart"/>
            <w:r w:rsidRPr="00AA22B7">
              <w:rPr>
                <w:rStyle w:val="Jegyzethivatkozs"/>
                <w:snapToGrid/>
                <w:lang w:eastAsia="en-US"/>
              </w:rPr>
              <w:t>Abwicklungsstelle</w:t>
            </w:r>
            <w:proofErr w:type="spellEnd"/>
            <w:r w:rsidRPr="00AA22B7">
              <w:rPr>
                <w:rStyle w:val="Jegyzethivatkozs"/>
                <w:snapToGrid/>
                <w:lang w:eastAsia="en-US"/>
              </w:rPr>
              <w:t xml:space="preserve"> für </w:t>
            </w:r>
            <w:proofErr w:type="spellStart"/>
            <w:r w:rsidRPr="00AA22B7">
              <w:rPr>
                <w:rStyle w:val="Jegyzethivatkozs"/>
                <w:snapToGrid/>
                <w:lang w:eastAsia="en-US"/>
              </w:rPr>
              <w:t>Börsengeschäfte</w:t>
            </w:r>
            <w:proofErr w:type="spellEnd"/>
            <w:r w:rsidRPr="00AA22B7">
              <w:rPr>
                <w:rStyle w:val="Jegyzethivatkozs"/>
                <w:snapToGrid/>
                <w:lang w:eastAsia="en-US"/>
              </w:rPr>
              <w:t xml:space="preserve"> GmbH (</w:t>
            </w:r>
            <w:proofErr w:type="spellStart"/>
            <w:r w:rsidRPr="00AA22B7">
              <w:rPr>
                <w:rStyle w:val="Jegyzethivatkozs"/>
                <w:snapToGrid/>
                <w:lang w:eastAsia="en-US"/>
              </w:rPr>
              <w:t>CCP.A</w:t>
            </w:r>
            <w:proofErr w:type="spellEnd"/>
            <w:r w:rsidRPr="00AA22B7">
              <w:rPr>
                <w:rStyle w:val="Jegyzethivatkozs"/>
                <w:snapToGrid/>
                <w:lang w:eastAsia="en-US"/>
              </w:rPr>
              <w:t>)</w:t>
            </w:r>
          </w:p>
        </w:tc>
        <w:tc>
          <w:tcPr>
            <w:tcW w:w="3261" w:type="dxa"/>
            <w:shd w:val="clear" w:color="auto" w:fill="auto"/>
          </w:tcPr>
          <w:p w14:paraId="37CC6F4F" w14:textId="77777777" w:rsidR="003B1768" w:rsidRPr="00AA22B7" w:rsidRDefault="00A1110C" w:rsidP="005B5271">
            <w:pPr>
              <w:spacing w:before="360" w:after="240"/>
              <w:rPr>
                <w:rStyle w:val="Jegyzethivatkozs"/>
                <w:snapToGrid/>
                <w:lang w:eastAsia="en-US"/>
              </w:rPr>
            </w:pPr>
            <w:r w:rsidRPr="00AA22B7">
              <w:rPr>
                <w:rStyle w:val="Jegyzethivatkozs"/>
                <w:snapToGrid/>
                <w:lang w:eastAsia="en-US"/>
              </w:rPr>
              <w:t>29900QF6QY66QULSI15</w:t>
            </w:r>
          </w:p>
        </w:tc>
        <w:tc>
          <w:tcPr>
            <w:tcW w:w="1307" w:type="dxa"/>
            <w:shd w:val="clear" w:color="auto" w:fill="auto"/>
          </w:tcPr>
          <w:p w14:paraId="38D6F095" w14:textId="77777777" w:rsidR="003B1768" w:rsidRPr="00AA22B7" w:rsidRDefault="00A1110C" w:rsidP="005B5271">
            <w:pPr>
              <w:spacing w:before="360" w:after="240"/>
              <w:rPr>
                <w:rStyle w:val="Jegyzethivatkozs"/>
                <w:snapToGrid/>
                <w:lang w:eastAsia="en-US"/>
              </w:rPr>
            </w:pPr>
            <w:r w:rsidRPr="00AA22B7">
              <w:rPr>
                <w:rStyle w:val="Jegyzethivatkozs"/>
                <w:snapToGrid/>
                <w:lang w:eastAsia="en-US"/>
              </w:rPr>
              <w:t>AT</w:t>
            </w:r>
          </w:p>
        </w:tc>
      </w:tr>
      <w:tr w:rsidR="003B1768" w:rsidRPr="00AA22B7" w14:paraId="47BF746F" w14:textId="77777777" w:rsidTr="00AA22B7">
        <w:trPr>
          <w:trHeight w:val="567"/>
        </w:trPr>
        <w:tc>
          <w:tcPr>
            <w:tcW w:w="4644" w:type="dxa"/>
            <w:shd w:val="clear" w:color="auto" w:fill="auto"/>
          </w:tcPr>
          <w:p w14:paraId="0EA28FE4" w14:textId="77777777" w:rsidR="003B1768" w:rsidRPr="00AA22B7" w:rsidRDefault="00A1110C" w:rsidP="005B5271">
            <w:pPr>
              <w:spacing w:before="360" w:after="240"/>
              <w:rPr>
                <w:rStyle w:val="Jegyzethivatkozs"/>
                <w:snapToGrid/>
                <w:lang w:eastAsia="en-US"/>
              </w:rPr>
            </w:pPr>
            <w:r w:rsidRPr="00AA22B7">
              <w:rPr>
                <w:rStyle w:val="Jegyzethivatkozs"/>
                <w:snapToGrid/>
                <w:lang w:eastAsia="en-US"/>
              </w:rPr>
              <w:t>CDS Clearing and Depository Services Inc.</w:t>
            </w:r>
          </w:p>
        </w:tc>
        <w:tc>
          <w:tcPr>
            <w:tcW w:w="3261" w:type="dxa"/>
            <w:shd w:val="clear" w:color="auto" w:fill="auto"/>
          </w:tcPr>
          <w:p w14:paraId="0D76DA00"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2395E002"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CA</w:t>
            </w:r>
          </w:p>
        </w:tc>
      </w:tr>
      <w:tr w:rsidR="003B1768" w:rsidRPr="00AA22B7" w14:paraId="3169EAC8" w14:textId="77777777" w:rsidTr="00AA22B7">
        <w:trPr>
          <w:trHeight w:val="567"/>
        </w:trPr>
        <w:tc>
          <w:tcPr>
            <w:tcW w:w="4644" w:type="dxa"/>
            <w:shd w:val="clear" w:color="auto" w:fill="auto"/>
          </w:tcPr>
          <w:p w14:paraId="16E299A6"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Central Depository (Pte) Limited</w:t>
            </w:r>
          </w:p>
        </w:tc>
        <w:tc>
          <w:tcPr>
            <w:tcW w:w="3261" w:type="dxa"/>
            <w:shd w:val="clear" w:color="auto" w:fill="auto"/>
          </w:tcPr>
          <w:p w14:paraId="0E2D282F"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549300CMH3J8ASUM8N29</w:t>
            </w:r>
          </w:p>
        </w:tc>
        <w:tc>
          <w:tcPr>
            <w:tcW w:w="1307" w:type="dxa"/>
            <w:shd w:val="clear" w:color="auto" w:fill="auto"/>
          </w:tcPr>
          <w:p w14:paraId="756B535C"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SG</w:t>
            </w:r>
          </w:p>
        </w:tc>
      </w:tr>
      <w:tr w:rsidR="003B1768" w:rsidRPr="00AA22B7" w14:paraId="79ECD2BE" w14:textId="77777777" w:rsidTr="00AA22B7">
        <w:trPr>
          <w:trHeight w:val="567"/>
        </w:trPr>
        <w:tc>
          <w:tcPr>
            <w:tcW w:w="4644" w:type="dxa"/>
            <w:shd w:val="clear" w:color="auto" w:fill="auto"/>
          </w:tcPr>
          <w:p w14:paraId="4760C5F6"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Chicago Mercantile Exchange Inc</w:t>
            </w:r>
          </w:p>
        </w:tc>
        <w:tc>
          <w:tcPr>
            <w:tcW w:w="3261" w:type="dxa"/>
            <w:shd w:val="clear" w:color="auto" w:fill="auto"/>
          </w:tcPr>
          <w:p w14:paraId="669736E5"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5221E8CD"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US</w:t>
            </w:r>
          </w:p>
        </w:tc>
      </w:tr>
      <w:tr w:rsidR="003B1768" w:rsidRPr="00AA22B7" w14:paraId="395A2BA2" w14:textId="77777777" w:rsidTr="00AA22B7">
        <w:trPr>
          <w:trHeight w:val="567"/>
        </w:trPr>
        <w:tc>
          <w:tcPr>
            <w:tcW w:w="4644" w:type="dxa"/>
            <w:shd w:val="clear" w:color="auto" w:fill="auto"/>
          </w:tcPr>
          <w:p w14:paraId="0D5DADCD"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CME Clearing Europe Ltd</w:t>
            </w:r>
          </w:p>
        </w:tc>
        <w:tc>
          <w:tcPr>
            <w:tcW w:w="3261" w:type="dxa"/>
            <w:shd w:val="clear" w:color="auto" w:fill="auto"/>
          </w:tcPr>
          <w:p w14:paraId="5DE13ECE"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6SI7IOVECKBHVYBTB459</w:t>
            </w:r>
          </w:p>
        </w:tc>
        <w:tc>
          <w:tcPr>
            <w:tcW w:w="1307" w:type="dxa"/>
            <w:shd w:val="clear" w:color="auto" w:fill="auto"/>
          </w:tcPr>
          <w:p w14:paraId="25333A8E"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GB</w:t>
            </w:r>
          </w:p>
        </w:tc>
      </w:tr>
      <w:tr w:rsidR="003B1768" w:rsidRPr="00AA22B7" w14:paraId="6871A74F" w14:textId="77777777" w:rsidTr="00AA22B7">
        <w:trPr>
          <w:trHeight w:val="567"/>
        </w:trPr>
        <w:tc>
          <w:tcPr>
            <w:tcW w:w="4644" w:type="dxa"/>
            <w:shd w:val="clear" w:color="auto" w:fill="auto"/>
          </w:tcPr>
          <w:p w14:paraId="5348BBB8"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Deutsche Börse</w:t>
            </w:r>
          </w:p>
        </w:tc>
        <w:tc>
          <w:tcPr>
            <w:tcW w:w="3261" w:type="dxa"/>
            <w:shd w:val="clear" w:color="auto" w:fill="auto"/>
          </w:tcPr>
          <w:p w14:paraId="285661D4"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14F3CFA5"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DE</w:t>
            </w:r>
          </w:p>
        </w:tc>
      </w:tr>
      <w:tr w:rsidR="003B1768" w:rsidRPr="00AA22B7" w14:paraId="495398DF" w14:textId="77777777" w:rsidTr="00AA22B7">
        <w:trPr>
          <w:trHeight w:val="567"/>
        </w:trPr>
        <w:tc>
          <w:tcPr>
            <w:tcW w:w="4644" w:type="dxa"/>
            <w:shd w:val="clear" w:color="auto" w:fill="auto"/>
          </w:tcPr>
          <w:p w14:paraId="6B2C6EA5"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DTCC</w:t>
            </w:r>
          </w:p>
        </w:tc>
        <w:tc>
          <w:tcPr>
            <w:tcW w:w="3261" w:type="dxa"/>
            <w:shd w:val="clear" w:color="auto" w:fill="auto"/>
          </w:tcPr>
          <w:p w14:paraId="229D8DD4"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1156C86C" w14:textId="77777777" w:rsidR="003B1768" w:rsidRPr="00AA22B7" w:rsidRDefault="003B1768" w:rsidP="005B5271">
            <w:pPr>
              <w:spacing w:before="360" w:after="240"/>
              <w:rPr>
                <w:rStyle w:val="Jegyzethivatkozs"/>
                <w:snapToGrid/>
                <w:lang w:eastAsia="en-US"/>
              </w:rPr>
            </w:pPr>
          </w:p>
        </w:tc>
      </w:tr>
      <w:tr w:rsidR="003B1768" w:rsidRPr="00AA22B7" w14:paraId="40D6C806" w14:textId="77777777" w:rsidTr="00AA22B7">
        <w:trPr>
          <w:trHeight w:val="567"/>
        </w:trPr>
        <w:tc>
          <w:tcPr>
            <w:tcW w:w="4644" w:type="dxa"/>
            <w:shd w:val="clear" w:color="auto" w:fill="auto"/>
          </w:tcPr>
          <w:p w14:paraId="271C8159"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Dubai Commodities Clearing Corporation DMCC</w:t>
            </w:r>
          </w:p>
        </w:tc>
        <w:tc>
          <w:tcPr>
            <w:tcW w:w="3261" w:type="dxa"/>
            <w:shd w:val="clear" w:color="auto" w:fill="auto"/>
          </w:tcPr>
          <w:p w14:paraId="0B9B011C"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5486577A"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AE</w:t>
            </w:r>
          </w:p>
        </w:tc>
      </w:tr>
      <w:tr w:rsidR="003B1768" w:rsidRPr="00AA22B7" w14:paraId="487A38AD" w14:textId="77777777" w:rsidTr="00AA22B7">
        <w:trPr>
          <w:trHeight w:val="567"/>
        </w:trPr>
        <w:tc>
          <w:tcPr>
            <w:tcW w:w="4644" w:type="dxa"/>
            <w:shd w:val="clear" w:color="auto" w:fill="auto"/>
          </w:tcPr>
          <w:p w14:paraId="0AC46CD1" w14:textId="77777777" w:rsidR="003B1768" w:rsidRPr="00AA22B7" w:rsidRDefault="00B45A66" w:rsidP="005B5271">
            <w:pPr>
              <w:spacing w:before="360" w:after="240"/>
              <w:rPr>
                <w:rStyle w:val="Jegyzethivatkozs"/>
                <w:snapToGrid/>
                <w:lang w:eastAsia="en-US"/>
              </w:rPr>
            </w:pPr>
            <w:proofErr w:type="spellStart"/>
            <w:r w:rsidRPr="00AA22B7">
              <w:rPr>
                <w:rStyle w:val="Jegyzethivatkozs"/>
                <w:snapToGrid/>
                <w:lang w:eastAsia="en-US"/>
              </w:rPr>
              <w:t>Eurex</w:t>
            </w:r>
            <w:proofErr w:type="spellEnd"/>
          </w:p>
        </w:tc>
        <w:tc>
          <w:tcPr>
            <w:tcW w:w="3261" w:type="dxa"/>
            <w:shd w:val="clear" w:color="auto" w:fill="auto"/>
          </w:tcPr>
          <w:p w14:paraId="2C8F5137"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112B62CE" w14:textId="77777777" w:rsidR="003B1768" w:rsidRPr="00AA22B7" w:rsidRDefault="003B1768" w:rsidP="005B5271">
            <w:pPr>
              <w:spacing w:before="360" w:after="240"/>
              <w:rPr>
                <w:rStyle w:val="Jegyzethivatkozs"/>
                <w:snapToGrid/>
                <w:lang w:eastAsia="en-US"/>
              </w:rPr>
            </w:pPr>
          </w:p>
        </w:tc>
      </w:tr>
      <w:tr w:rsidR="003B1768" w:rsidRPr="00AA22B7" w14:paraId="6B917BE4" w14:textId="77777777" w:rsidTr="00AA22B7">
        <w:trPr>
          <w:trHeight w:val="567"/>
        </w:trPr>
        <w:tc>
          <w:tcPr>
            <w:tcW w:w="4644" w:type="dxa"/>
            <w:shd w:val="clear" w:color="auto" w:fill="auto"/>
          </w:tcPr>
          <w:p w14:paraId="13DD1566" w14:textId="77777777" w:rsidR="003B1768" w:rsidRPr="00AA22B7" w:rsidRDefault="00B45A66" w:rsidP="005B5271">
            <w:pPr>
              <w:spacing w:before="360" w:after="240"/>
              <w:rPr>
                <w:rStyle w:val="Jegyzethivatkozs"/>
                <w:snapToGrid/>
                <w:lang w:eastAsia="en-US"/>
              </w:rPr>
            </w:pPr>
            <w:proofErr w:type="spellStart"/>
            <w:r w:rsidRPr="00AA22B7">
              <w:rPr>
                <w:rStyle w:val="Jegyzethivatkozs"/>
                <w:snapToGrid/>
                <w:lang w:eastAsia="en-US"/>
              </w:rPr>
              <w:t>Eurex</w:t>
            </w:r>
            <w:proofErr w:type="spellEnd"/>
            <w:r w:rsidRPr="00AA22B7">
              <w:rPr>
                <w:rStyle w:val="Jegyzethivatkozs"/>
                <w:snapToGrid/>
                <w:lang w:eastAsia="en-US"/>
              </w:rPr>
              <w:t xml:space="preserve"> Clearing AG</w:t>
            </w:r>
          </w:p>
        </w:tc>
        <w:tc>
          <w:tcPr>
            <w:tcW w:w="3261" w:type="dxa"/>
            <w:shd w:val="clear" w:color="auto" w:fill="auto"/>
          </w:tcPr>
          <w:p w14:paraId="238AA7A6"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529900LN3S50JPU47S06</w:t>
            </w:r>
          </w:p>
        </w:tc>
        <w:tc>
          <w:tcPr>
            <w:tcW w:w="1307" w:type="dxa"/>
            <w:shd w:val="clear" w:color="auto" w:fill="auto"/>
          </w:tcPr>
          <w:p w14:paraId="194E4A9F"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DE</w:t>
            </w:r>
          </w:p>
        </w:tc>
      </w:tr>
      <w:tr w:rsidR="003B1768" w:rsidRPr="00AA22B7" w14:paraId="523AA945" w14:textId="77777777" w:rsidTr="00AA22B7">
        <w:trPr>
          <w:trHeight w:val="567"/>
        </w:trPr>
        <w:tc>
          <w:tcPr>
            <w:tcW w:w="4644" w:type="dxa"/>
            <w:shd w:val="clear" w:color="auto" w:fill="auto"/>
          </w:tcPr>
          <w:p w14:paraId="474ADAA1"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Euroclear</w:t>
            </w:r>
          </w:p>
        </w:tc>
        <w:tc>
          <w:tcPr>
            <w:tcW w:w="3261" w:type="dxa"/>
            <w:shd w:val="clear" w:color="auto" w:fill="auto"/>
          </w:tcPr>
          <w:p w14:paraId="1DB2359F"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58BFD426" w14:textId="77777777" w:rsidR="003B1768" w:rsidRPr="00AA22B7" w:rsidRDefault="003B1768" w:rsidP="005B5271">
            <w:pPr>
              <w:spacing w:before="360" w:after="240"/>
              <w:rPr>
                <w:rStyle w:val="Jegyzethivatkozs"/>
                <w:snapToGrid/>
                <w:lang w:eastAsia="en-US"/>
              </w:rPr>
            </w:pPr>
          </w:p>
        </w:tc>
      </w:tr>
      <w:tr w:rsidR="003B1768" w:rsidRPr="00AA22B7" w14:paraId="6BEEAF99" w14:textId="77777777" w:rsidTr="00AA22B7">
        <w:trPr>
          <w:trHeight w:val="567"/>
        </w:trPr>
        <w:tc>
          <w:tcPr>
            <w:tcW w:w="4644" w:type="dxa"/>
            <w:shd w:val="clear" w:color="auto" w:fill="auto"/>
          </w:tcPr>
          <w:p w14:paraId="2F7C9263"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European Central Counterparty N.V.</w:t>
            </w:r>
          </w:p>
        </w:tc>
        <w:tc>
          <w:tcPr>
            <w:tcW w:w="3261" w:type="dxa"/>
            <w:shd w:val="clear" w:color="auto" w:fill="auto"/>
          </w:tcPr>
          <w:p w14:paraId="59089D08"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724500937F740MHCX307</w:t>
            </w:r>
          </w:p>
        </w:tc>
        <w:tc>
          <w:tcPr>
            <w:tcW w:w="1307" w:type="dxa"/>
            <w:shd w:val="clear" w:color="auto" w:fill="auto"/>
          </w:tcPr>
          <w:p w14:paraId="3A7D172B" w14:textId="77777777" w:rsidR="003B1768" w:rsidRPr="00AA22B7" w:rsidRDefault="00B45A66" w:rsidP="005B5271">
            <w:pPr>
              <w:spacing w:before="360" w:after="240"/>
              <w:rPr>
                <w:rStyle w:val="Jegyzethivatkozs"/>
                <w:snapToGrid/>
                <w:lang w:eastAsia="en-US"/>
              </w:rPr>
            </w:pPr>
            <w:r w:rsidRPr="00AA22B7">
              <w:rPr>
                <w:rStyle w:val="Jegyzethivatkozs"/>
                <w:snapToGrid/>
                <w:lang w:eastAsia="en-US"/>
              </w:rPr>
              <w:t>NL</w:t>
            </w:r>
          </w:p>
        </w:tc>
      </w:tr>
      <w:tr w:rsidR="003B1768" w:rsidRPr="00AA22B7" w14:paraId="058A520E" w14:textId="77777777" w:rsidTr="00AA22B7">
        <w:trPr>
          <w:trHeight w:val="567"/>
        </w:trPr>
        <w:tc>
          <w:tcPr>
            <w:tcW w:w="4644" w:type="dxa"/>
            <w:shd w:val="clear" w:color="auto" w:fill="auto"/>
          </w:tcPr>
          <w:p w14:paraId="3ED37EC3"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European Central Counterparty (</w:t>
            </w:r>
            <w:proofErr w:type="spellStart"/>
            <w:r w:rsidRPr="00AA22B7">
              <w:rPr>
                <w:rStyle w:val="Jegyzethivatkozs"/>
                <w:snapToGrid/>
                <w:lang w:eastAsia="en-US"/>
              </w:rPr>
              <w:t>EuroCCP</w:t>
            </w:r>
            <w:proofErr w:type="spellEnd"/>
            <w:r w:rsidRPr="00AA22B7">
              <w:rPr>
                <w:rStyle w:val="Jegyzethivatkozs"/>
                <w:snapToGrid/>
                <w:lang w:eastAsia="en-US"/>
              </w:rPr>
              <w:t>) Ltd</w:t>
            </w:r>
          </w:p>
        </w:tc>
        <w:tc>
          <w:tcPr>
            <w:tcW w:w="3261" w:type="dxa"/>
            <w:shd w:val="clear" w:color="auto" w:fill="auto"/>
          </w:tcPr>
          <w:p w14:paraId="52B2D42F"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3182E4A5"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GB</w:t>
            </w:r>
          </w:p>
        </w:tc>
      </w:tr>
      <w:tr w:rsidR="003B1768" w:rsidRPr="00AA22B7" w14:paraId="70E087F8" w14:textId="77777777" w:rsidTr="00AA22B7">
        <w:trPr>
          <w:trHeight w:val="567"/>
        </w:trPr>
        <w:tc>
          <w:tcPr>
            <w:tcW w:w="4644" w:type="dxa"/>
            <w:shd w:val="clear" w:color="auto" w:fill="auto"/>
          </w:tcPr>
          <w:p w14:paraId="267A9AD6"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Fixed Income Clearing Corporation</w:t>
            </w:r>
          </w:p>
        </w:tc>
        <w:tc>
          <w:tcPr>
            <w:tcW w:w="3261" w:type="dxa"/>
            <w:shd w:val="clear" w:color="auto" w:fill="auto"/>
          </w:tcPr>
          <w:p w14:paraId="4892BC9D"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405AA7B4"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US</w:t>
            </w:r>
          </w:p>
        </w:tc>
      </w:tr>
      <w:tr w:rsidR="003B1768" w:rsidRPr="00AA22B7" w14:paraId="64F557B4" w14:textId="77777777" w:rsidTr="00AA22B7">
        <w:trPr>
          <w:trHeight w:val="567"/>
        </w:trPr>
        <w:tc>
          <w:tcPr>
            <w:tcW w:w="4644" w:type="dxa"/>
            <w:shd w:val="clear" w:color="auto" w:fill="auto"/>
          </w:tcPr>
          <w:p w14:paraId="70CD1E4A"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Holland Clearing House B.V.</w:t>
            </w:r>
          </w:p>
        </w:tc>
        <w:tc>
          <w:tcPr>
            <w:tcW w:w="3261" w:type="dxa"/>
            <w:shd w:val="clear" w:color="auto" w:fill="auto"/>
          </w:tcPr>
          <w:p w14:paraId="080FFDFD"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245003TLNC4R9XFDX32</w:t>
            </w:r>
          </w:p>
        </w:tc>
        <w:tc>
          <w:tcPr>
            <w:tcW w:w="1307" w:type="dxa"/>
            <w:shd w:val="clear" w:color="auto" w:fill="auto"/>
          </w:tcPr>
          <w:p w14:paraId="688F852F"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NL</w:t>
            </w:r>
          </w:p>
        </w:tc>
      </w:tr>
      <w:tr w:rsidR="003B1768" w:rsidRPr="00AA22B7" w14:paraId="04D1E428" w14:textId="77777777" w:rsidTr="00AA22B7">
        <w:trPr>
          <w:trHeight w:val="567"/>
        </w:trPr>
        <w:tc>
          <w:tcPr>
            <w:tcW w:w="4644" w:type="dxa"/>
            <w:shd w:val="clear" w:color="auto" w:fill="auto"/>
          </w:tcPr>
          <w:p w14:paraId="3332895B"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Hong Kong Exchanges and Clearing</w:t>
            </w:r>
          </w:p>
        </w:tc>
        <w:tc>
          <w:tcPr>
            <w:tcW w:w="3261" w:type="dxa"/>
            <w:shd w:val="clear" w:color="auto" w:fill="auto"/>
          </w:tcPr>
          <w:p w14:paraId="34CC304A"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1865649F"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HK</w:t>
            </w:r>
          </w:p>
        </w:tc>
      </w:tr>
      <w:tr w:rsidR="003B1768" w:rsidRPr="00AA22B7" w14:paraId="51C20A69" w14:textId="77777777" w:rsidTr="00AA22B7">
        <w:trPr>
          <w:trHeight w:val="567"/>
        </w:trPr>
        <w:tc>
          <w:tcPr>
            <w:tcW w:w="4644" w:type="dxa"/>
            <w:shd w:val="clear" w:color="auto" w:fill="auto"/>
          </w:tcPr>
          <w:p w14:paraId="032A9572" w14:textId="77777777" w:rsidR="003B1768" w:rsidRPr="00AA22B7" w:rsidRDefault="00742C29" w:rsidP="005B5271">
            <w:pPr>
              <w:spacing w:before="360" w:after="240"/>
              <w:rPr>
                <w:rStyle w:val="Jegyzethivatkozs"/>
                <w:snapToGrid/>
                <w:lang w:eastAsia="en-US"/>
              </w:rPr>
            </w:pPr>
            <w:proofErr w:type="spellStart"/>
            <w:r w:rsidRPr="00AA22B7">
              <w:rPr>
                <w:rStyle w:val="Jegyzethivatkozs"/>
                <w:snapToGrid/>
                <w:lang w:eastAsia="en-US"/>
              </w:rPr>
              <w:t>HKFE</w:t>
            </w:r>
            <w:proofErr w:type="spellEnd"/>
            <w:r w:rsidRPr="00AA22B7">
              <w:rPr>
                <w:rStyle w:val="Jegyzethivatkozs"/>
                <w:snapToGrid/>
                <w:lang w:eastAsia="en-US"/>
              </w:rPr>
              <w:t xml:space="preserve"> Clearing Corporation Limited</w:t>
            </w:r>
          </w:p>
        </w:tc>
        <w:tc>
          <w:tcPr>
            <w:tcW w:w="3261" w:type="dxa"/>
            <w:shd w:val="clear" w:color="auto" w:fill="auto"/>
          </w:tcPr>
          <w:p w14:paraId="13B3F1C3"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213800WPJUJBAVXI5162</w:t>
            </w:r>
          </w:p>
        </w:tc>
        <w:tc>
          <w:tcPr>
            <w:tcW w:w="1307" w:type="dxa"/>
            <w:shd w:val="clear" w:color="auto" w:fill="auto"/>
          </w:tcPr>
          <w:p w14:paraId="794E73EB"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HK</w:t>
            </w:r>
          </w:p>
        </w:tc>
      </w:tr>
      <w:tr w:rsidR="003B1768" w:rsidRPr="00AA22B7" w14:paraId="6B938636" w14:textId="77777777" w:rsidTr="00AA22B7">
        <w:trPr>
          <w:trHeight w:val="567"/>
        </w:trPr>
        <w:tc>
          <w:tcPr>
            <w:tcW w:w="4644" w:type="dxa"/>
            <w:shd w:val="clear" w:color="auto" w:fill="auto"/>
          </w:tcPr>
          <w:p w14:paraId="1C164AB8"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Hong Kong Securities Clearing Company Limited</w:t>
            </w:r>
          </w:p>
        </w:tc>
        <w:tc>
          <w:tcPr>
            <w:tcW w:w="3261" w:type="dxa"/>
            <w:shd w:val="clear" w:color="auto" w:fill="auto"/>
          </w:tcPr>
          <w:p w14:paraId="1E3D2FE4"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213800NM8ZN1F16ARD34</w:t>
            </w:r>
          </w:p>
        </w:tc>
        <w:tc>
          <w:tcPr>
            <w:tcW w:w="1307" w:type="dxa"/>
            <w:shd w:val="clear" w:color="auto" w:fill="auto"/>
          </w:tcPr>
          <w:p w14:paraId="2C62F667"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HK</w:t>
            </w:r>
          </w:p>
        </w:tc>
      </w:tr>
      <w:tr w:rsidR="003B1768" w:rsidRPr="00AA22B7" w14:paraId="189ED1BF" w14:textId="77777777" w:rsidTr="00AA22B7">
        <w:trPr>
          <w:trHeight w:val="567"/>
        </w:trPr>
        <w:tc>
          <w:tcPr>
            <w:tcW w:w="4644" w:type="dxa"/>
            <w:shd w:val="clear" w:color="auto" w:fill="auto"/>
          </w:tcPr>
          <w:p w14:paraId="1590B9AF" w14:textId="77777777" w:rsidR="003B1768" w:rsidRPr="00AA22B7" w:rsidRDefault="00742C29" w:rsidP="005B5271">
            <w:pPr>
              <w:spacing w:before="360" w:after="240"/>
              <w:rPr>
                <w:rStyle w:val="Jegyzethivatkozs"/>
                <w:snapToGrid/>
                <w:lang w:eastAsia="en-US"/>
              </w:rPr>
            </w:pPr>
            <w:proofErr w:type="spellStart"/>
            <w:r w:rsidRPr="00AA22B7">
              <w:rPr>
                <w:rStyle w:val="Jegyzethivatkozs"/>
                <w:snapToGrid/>
                <w:lang w:eastAsia="en-US"/>
              </w:rPr>
              <w:t>ICBPI</w:t>
            </w:r>
            <w:proofErr w:type="spellEnd"/>
          </w:p>
        </w:tc>
        <w:tc>
          <w:tcPr>
            <w:tcW w:w="3261" w:type="dxa"/>
            <w:shd w:val="clear" w:color="auto" w:fill="auto"/>
          </w:tcPr>
          <w:p w14:paraId="6C302FFC"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0FADC658"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IT</w:t>
            </w:r>
          </w:p>
        </w:tc>
      </w:tr>
      <w:tr w:rsidR="003B1768" w:rsidRPr="00AA22B7" w14:paraId="5205883E" w14:textId="77777777" w:rsidTr="00AA22B7">
        <w:trPr>
          <w:trHeight w:val="567"/>
        </w:trPr>
        <w:tc>
          <w:tcPr>
            <w:tcW w:w="4644" w:type="dxa"/>
            <w:shd w:val="clear" w:color="auto" w:fill="auto"/>
          </w:tcPr>
          <w:p w14:paraId="1FE15392"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ICE Clear Canada Inc.</w:t>
            </w:r>
          </w:p>
        </w:tc>
        <w:tc>
          <w:tcPr>
            <w:tcW w:w="3261" w:type="dxa"/>
            <w:shd w:val="clear" w:color="auto" w:fill="auto"/>
          </w:tcPr>
          <w:p w14:paraId="224FD0F2"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6B0FA3A3"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CA</w:t>
            </w:r>
          </w:p>
        </w:tc>
      </w:tr>
      <w:tr w:rsidR="003B1768" w:rsidRPr="00AA22B7" w14:paraId="6E069483" w14:textId="77777777" w:rsidTr="00AA22B7">
        <w:trPr>
          <w:trHeight w:val="567"/>
        </w:trPr>
        <w:tc>
          <w:tcPr>
            <w:tcW w:w="4644" w:type="dxa"/>
            <w:shd w:val="clear" w:color="auto" w:fill="auto"/>
          </w:tcPr>
          <w:p w14:paraId="39489F3F"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ICE Clear Credit LLC</w:t>
            </w:r>
          </w:p>
        </w:tc>
        <w:tc>
          <w:tcPr>
            <w:tcW w:w="3261" w:type="dxa"/>
            <w:shd w:val="clear" w:color="auto" w:fill="auto"/>
          </w:tcPr>
          <w:p w14:paraId="3211FCDE"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771EA756"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US</w:t>
            </w:r>
          </w:p>
        </w:tc>
      </w:tr>
      <w:tr w:rsidR="003B1768" w:rsidRPr="00AA22B7" w14:paraId="556906B2" w14:textId="77777777" w:rsidTr="00AA22B7">
        <w:trPr>
          <w:trHeight w:val="567"/>
        </w:trPr>
        <w:tc>
          <w:tcPr>
            <w:tcW w:w="4644" w:type="dxa"/>
            <w:shd w:val="clear" w:color="auto" w:fill="auto"/>
          </w:tcPr>
          <w:p w14:paraId="0D7C529D"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ICE Clear Europe Ltd</w:t>
            </w:r>
          </w:p>
        </w:tc>
        <w:tc>
          <w:tcPr>
            <w:tcW w:w="3261" w:type="dxa"/>
            <w:shd w:val="clear" w:color="auto" w:fill="auto"/>
          </w:tcPr>
          <w:p w14:paraId="757A0F99"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66B5541F"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GB</w:t>
            </w:r>
          </w:p>
        </w:tc>
      </w:tr>
      <w:tr w:rsidR="003B1768" w:rsidRPr="00AA22B7" w14:paraId="39B7AEA3" w14:textId="77777777" w:rsidTr="00AA22B7">
        <w:trPr>
          <w:trHeight w:val="567"/>
        </w:trPr>
        <w:tc>
          <w:tcPr>
            <w:tcW w:w="4644" w:type="dxa"/>
            <w:shd w:val="clear" w:color="auto" w:fill="auto"/>
          </w:tcPr>
          <w:p w14:paraId="3932C7E9"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ICE Clear Singapore</w:t>
            </w:r>
          </w:p>
        </w:tc>
        <w:tc>
          <w:tcPr>
            <w:tcW w:w="3261" w:type="dxa"/>
            <w:shd w:val="clear" w:color="auto" w:fill="auto"/>
          </w:tcPr>
          <w:p w14:paraId="6C2C090A"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7063A4D7"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SG</w:t>
            </w:r>
          </w:p>
        </w:tc>
      </w:tr>
      <w:tr w:rsidR="003B1768" w:rsidRPr="00AA22B7" w14:paraId="0E750E47" w14:textId="77777777" w:rsidTr="00AA22B7">
        <w:trPr>
          <w:trHeight w:val="567"/>
        </w:trPr>
        <w:tc>
          <w:tcPr>
            <w:tcW w:w="4644" w:type="dxa"/>
            <w:shd w:val="clear" w:color="auto" w:fill="auto"/>
          </w:tcPr>
          <w:p w14:paraId="56B377A8"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ICE Clear U.S. Inc.</w:t>
            </w:r>
          </w:p>
        </w:tc>
        <w:tc>
          <w:tcPr>
            <w:tcW w:w="3261" w:type="dxa"/>
            <w:shd w:val="clear" w:color="auto" w:fill="auto"/>
          </w:tcPr>
          <w:p w14:paraId="3E025D12"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7BB94ABC" w14:textId="77777777" w:rsidR="003B1768" w:rsidRPr="00AA22B7" w:rsidRDefault="00742C29" w:rsidP="005B5271">
            <w:pPr>
              <w:spacing w:before="360" w:after="240"/>
              <w:rPr>
                <w:rStyle w:val="Jegyzethivatkozs"/>
                <w:snapToGrid/>
                <w:lang w:eastAsia="en-US"/>
              </w:rPr>
            </w:pPr>
            <w:r w:rsidRPr="00AA22B7">
              <w:rPr>
                <w:rStyle w:val="Jegyzethivatkozs"/>
                <w:snapToGrid/>
                <w:lang w:eastAsia="en-US"/>
              </w:rPr>
              <w:t>US</w:t>
            </w:r>
          </w:p>
        </w:tc>
      </w:tr>
      <w:tr w:rsidR="003B1768" w:rsidRPr="00AA22B7" w14:paraId="02D81F18" w14:textId="77777777" w:rsidTr="00AA22B7">
        <w:trPr>
          <w:trHeight w:val="567"/>
        </w:trPr>
        <w:tc>
          <w:tcPr>
            <w:tcW w:w="4644" w:type="dxa"/>
            <w:shd w:val="clear" w:color="auto" w:fill="auto"/>
          </w:tcPr>
          <w:p w14:paraId="3BB1768F" w14:textId="77777777" w:rsidR="003B1768" w:rsidRPr="00AA22B7" w:rsidRDefault="001A4DED" w:rsidP="005B5271">
            <w:pPr>
              <w:spacing w:before="360" w:after="240"/>
              <w:rPr>
                <w:rStyle w:val="Jegyzethivatkozs"/>
                <w:snapToGrid/>
                <w:lang w:eastAsia="en-US"/>
              </w:rPr>
            </w:pPr>
            <w:r w:rsidRPr="00AA22B7">
              <w:rPr>
                <w:rStyle w:val="Jegyzethivatkozs"/>
                <w:snapToGrid/>
                <w:lang w:eastAsia="en-US"/>
              </w:rPr>
              <w:t>Indian Clearing Corporation limited</w:t>
            </w:r>
          </w:p>
        </w:tc>
        <w:tc>
          <w:tcPr>
            <w:tcW w:w="3261" w:type="dxa"/>
            <w:shd w:val="clear" w:color="auto" w:fill="auto"/>
          </w:tcPr>
          <w:p w14:paraId="221E31B4"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7B65937D" w14:textId="77777777" w:rsidR="003B1768" w:rsidRPr="00AA22B7" w:rsidRDefault="001A4DED" w:rsidP="005B5271">
            <w:pPr>
              <w:spacing w:before="360" w:after="240"/>
              <w:rPr>
                <w:rStyle w:val="Jegyzethivatkozs"/>
                <w:snapToGrid/>
                <w:lang w:eastAsia="en-US"/>
              </w:rPr>
            </w:pPr>
            <w:r w:rsidRPr="00AA22B7">
              <w:rPr>
                <w:rStyle w:val="Jegyzethivatkozs"/>
                <w:snapToGrid/>
                <w:lang w:eastAsia="en-US"/>
              </w:rPr>
              <w:t>IN</w:t>
            </w:r>
          </w:p>
        </w:tc>
      </w:tr>
      <w:tr w:rsidR="003B1768" w:rsidRPr="00AA22B7" w14:paraId="0EC0A9D5" w14:textId="77777777" w:rsidTr="00AA22B7">
        <w:trPr>
          <w:trHeight w:val="567"/>
        </w:trPr>
        <w:tc>
          <w:tcPr>
            <w:tcW w:w="4644" w:type="dxa"/>
            <w:shd w:val="clear" w:color="auto" w:fill="auto"/>
          </w:tcPr>
          <w:p w14:paraId="382D98C9" w14:textId="77777777" w:rsidR="003B1768" w:rsidRPr="00AA22B7" w:rsidRDefault="001A4DED" w:rsidP="005B5271">
            <w:pPr>
              <w:spacing w:before="360" w:after="240"/>
              <w:rPr>
                <w:rStyle w:val="Jegyzethivatkozs"/>
                <w:snapToGrid/>
                <w:lang w:eastAsia="en-US"/>
              </w:rPr>
            </w:pPr>
            <w:r w:rsidRPr="00AA22B7">
              <w:rPr>
                <w:rStyle w:val="Jegyzethivatkozs"/>
                <w:snapToGrid/>
                <w:lang w:eastAsia="en-US"/>
              </w:rPr>
              <w:t>Italian Stock Exchange</w:t>
            </w:r>
          </w:p>
        </w:tc>
        <w:tc>
          <w:tcPr>
            <w:tcW w:w="3261" w:type="dxa"/>
            <w:shd w:val="clear" w:color="auto" w:fill="auto"/>
          </w:tcPr>
          <w:p w14:paraId="484B3249"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07D4EE25" w14:textId="77777777" w:rsidR="003B1768" w:rsidRPr="00AA22B7" w:rsidRDefault="001A4DED" w:rsidP="005B5271">
            <w:pPr>
              <w:spacing w:before="360" w:after="240"/>
              <w:rPr>
                <w:rStyle w:val="Jegyzethivatkozs"/>
                <w:snapToGrid/>
                <w:lang w:eastAsia="en-US"/>
              </w:rPr>
            </w:pPr>
            <w:r w:rsidRPr="00AA22B7">
              <w:rPr>
                <w:rStyle w:val="Jegyzethivatkozs"/>
                <w:snapToGrid/>
                <w:lang w:eastAsia="en-US"/>
              </w:rPr>
              <w:t>IT</w:t>
            </w:r>
          </w:p>
        </w:tc>
      </w:tr>
      <w:tr w:rsidR="003B1768" w:rsidRPr="00AA22B7" w14:paraId="7A560CF1" w14:textId="77777777" w:rsidTr="00AA22B7">
        <w:trPr>
          <w:trHeight w:val="567"/>
        </w:trPr>
        <w:tc>
          <w:tcPr>
            <w:tcW w:w="4644" w:type="dxa"/>
            <w:shd w:val="clear" w:color="auto" w:fill="auto"/>
          </w:tcPr>
          <w:p w14:paraId="10400030"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Japan Commodity Clearing House Co.</w:t>
            </w:r>
          </w:p>
        </w:tc>
        <w:tc>
          <w:tcPr>
            <w:tcW w:w="3261" w:type="dxa"/>
            <w:shd w:val="clear" w:color="auto" w:fill="auto"/>
          </w:tcPr>
          <w:p w14:paraId="0253E092"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66DAFE2E"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JP</w:t>
            </w:r>
          </w:p>
        </w:tc>
      </w:tr>
      <w:tr w:rsidR="003B1768" w:rsidRPr="00AA22B7" w14:paraId="75AB9247" w14:textId="77777777" w:rsidTr="00AA22B7">
        <w:trPr>
          <w:trHeight w:val="567"/>
        </w:trPr>
        <w:tc>
          <w:tcPr>
            <w:tcW w:w="4644" w:type="dxa"/>
            <w:shd w:val="clear" w:color="auto" w:fill="auto"/>
          </w:tcPr>
          <w:p w14:paraId="523B6F6A"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Japan Securities Clearing Corporation</w:t>
            </w:r>
          </w:p>
        </w:tc>
        <w:tc>
          <w:tcPr>
            <w:tcW w:w="3261" w:type="dxa"/>
            <w:shd w:val="clear" w:color="auto" w:fill="auto"/>
          </w:tcPr>
          <w:p w14:paraId="4D2E04B5"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549300JHM7D8P3TS4S86</w:t>
            </w:r>
          </w:p>
        </w:tc>
        <w:tc>
          <w:tcPr>
            <w:tcW w:w="1307" w:type="dxa"/>
            <w:shd w:val="clear" w:color="auto" w:fill="auto"/>
          </w:tcPr>
          <w:p w14:paraId="79776D5D"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JP</w:t>
            </w:r>
          </w:p>
        </w:tc>
      </w:tr>
      <w:tr w:rsidR="003B1768" w:rsidRPr="00AA22B7" w14:paraId="3317FC40" w14:textId="77777777" w:rsidTr="00AA22B7">
        <w:trPr>
          <w:trHeight w:val="567"/>
        </w:trPr>
        <w:tc>
          <w:tcPr>
            <w:tcW w:w="4644" w:type="dxa"/>
            <w:shd w:val="clear" w:color="auto" w:fill="auto"/>
          </w:tcPr>
          <w:p w14:paraId="5217939F" w14:textId="77777777" w:rsidR="003B1768" w:rsidRPr="00AA22B7" w:rsidRDefault="00DB18D6" w:rsidP="00DB18D6">
            <w:pPr>
              <w:spacing w:before="360" w:after="240"/>
              <w:rPr>
                <w:rStyle w:val="Jegyzethivatkozs"/>
                <w:snapToGrid/>
                <w:lang w:eastAsia="en-US"/>
              </w:rPr>
            </w:pPr>
            <w:proofErr w:type="spellStart"/>
            <w:r w:rsidRPr="00AA22B7">
              <w:rPr>
                <w:rStyle w:val="Jegyzethivatkozs"/>
                <w:snapToGrid/>
                <w:lang w:eastAsia="en-US"/>
              </w:rPr>
              <w:t>JSE</w:t>
            </w:r>
            <w:proofErr w:type="spellEnd"/>
            <w:r w:rsidRPr="00AA22B7">
              <w:rPr>
                <w:rStyle w:val="Jegyzethivatkozs"/>
                <w:snapToGrid/>
                <w:lang w:eastAsia="en-US"/>
              </w:rPr>
              <w:t xml:space="preserve"> Clear (Pty) Ltd (previously the </w:t>
            </w:r>
            <w:proofErr w:type="spellStart"/>
            <w:r w:rsidRPr="00AA22B7">
              <w:rPr>
                <w:rStyle w:val="Jegyzethivatkozs"/>
                <w:snapToGrid/>
                <w:lang w:eastAsia="en-US"/>
              </w:rPr>
              <w:t>Safex</w:t>
            </w:r>
            <w:proofErr w:type="spellEnd"/>
            <w:r w:rsidRPr="00AA22B7">
              <w:rPr>
                <w:rStyle w:val="Jegyzethivatkozs"/>
                <w:snapToGrid/>
                <w:lang w:eastAsia="en-US"/>
              </w:rPr>
              <w:t xml:space="preserve"> Clearing Company (Pty) Ltd)</w:t>
            </w:r>
          </w:p>
        </w:tc>
        <w:tc>
          <w:tcPr>
            <w:tcW w:w="3261" w:type="dxa"/>
            <w:shd w:val="clear" w:color="auto" w:fill="auto"/>
          </w:tcPr>
          <w:p w14:paraId="6D870EE7"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7153B371"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ZA</w:t>
            </w:r>
          </w:p>
        </w:tc>
      </w:tr>
      <w:tr w:rsidR="003B1768" w:rsidRPr="00AA22B7" w14:paraId="11281E7D" w14:textId="77777777" w:rsidTr="00AA22B7">
        <w:trPr>
          <w:trHeight w:val="567"/>
        </w:trPr>
        <w:tc>
          <w:tcPr>
            <w:tcW w:w="4644" w:type="dxa"/>
            <w:shd w:val="clear" w:color="auto" w:fill="auto"/>
          </w:tcPr>
          <w:p w14:paraId="3A34E304" w14:textId="77777777" w:rsidR="003B1768" w:rsidRPr="00AA22B7" w:rsidRDefault="00DB18D6" w:rsidP="005B5271">
            <w:pPr>
              <w:spacing w:before="360" w:after="240"/>
              <w:rPr>
                <w:rStyle w:val="Jegyzethivatkozs"/>
                <w:snapToGrid/>
                <w:lang w:eastAsia="en-US"/>
              </w:rPr>
            </w:pPr>
            <w:proofErr w:type="spellStart"/>
            <w:r w:rsidRPr="00AA22B7">
              <w:rPr>
                <w:rStyle w:val="Jegyzethivatkozs"/>
                <w:snapToGrid/>
                <w:lang w:eastAsia="en-US"/>
              </w:rPr>
              <w:t>KDPW_CCP</w:t>
            </w:r>
            <w:proofErr w:type="spellEnd"/>
          </w:p>
        </w:tc>
        <w:tc>
          <w:tcPr>
            <w:tcW w:w="3261" w:type="dxa"/>
            <w:shd w:val="clear" w:color="auto" w:fill="auto"/>
          </w:tcPr>
          <w:p w14:paraId="19F5DA09"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2594000K576D5CQXI987</w:t>
            </w:r>
          </w:p>
        </w:tc>
        <w:tc>
          <w:tcPr>
            <w:tcW w:w="1307" w:type="dxa"/>
            <w:shd w:val="clear" w:color="auto" w:fill="auto"/>
          </w:tcPr>
          <w:p w14:paraId="07BA4CFC"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PL</w:t>
            </w:r>
          </w:p>
        </w:tc>
      </w:tr>
      <w:tr w:rsidR="003B1768" w:rsidRPr="00AA22B7" w14:paraId="2B93F80E" w14:textId="77777777" w:rsidTr="00AA22B7">
        <w:trPr>
          <w:trHeight w:val="567"/>
        </w:trPr>
        <w:tc>
          <w:tcPr>
            <w:tcW w:w="4644" w:type="dxa"/>
            <w:shd w:val="clear" w:color="auto" w:fill="auto"/>
          </w:tcPr>
          <w:p w14:paraId="4B266B10"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 xml:space="preserve">Keler </w:t>
            </w:r>
            <w:proofErr w:type="spellStart"/>
            <w:r w:rsidRPr="00AA22B7">
              <w:rPr>
                <w:rStyle w:val="Jegyzethivatkozs"/>
                <w:snapToGrid/>
                <w:lang w:eastAsia="en-US"/>
              </w:rPr>
              <w:t>CCP</w:t>
            </w:r>
            <w:proofErr w:type="spellEnd"/>
          </w:p>
        </w:tc>
        <w:tc>
          <w:tcPr>
            <w:tcW w:w="3261" w:type="dxa"/>
            <w:shd w:val="clear" w:color="auto" w:fill="auto"/>
          </w:tcPr>
          <w:p w14:paraId="1BE633DC"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529900MHIW6Z8OTOAH28</w:t>
            </w:r>
          </w:p>
        </w:tc>
        <w:tc>
          <w:tcPr>
            <w:tcW w:w="1307" w:type="dxa"/>
            <w:shd w:val="clear" w:color="auto" w:fill="auto"/>
          </w:tcPr>
          <w:p w14:paraId="696039BD"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HU</w:t>
            </w:r>
          </w:p>
        </w:tc>
      </w:tr>
      <w:tr w:rsidR="003B1768" w:rsidRPr="00AA22B7" w14:paraId="6EE72243" w14:textId="77777777" w:rsidTr="00AA22B7">
        <w:trPr>
          <w:trHeight w:val="567"/>
        </w:trPr>
        <w:tc>
          <w:tcPr>
            <w:tcW w:w="4644" w:type="dxa"/>
            <w:shd w:val="clear" w:color="auto" w:fill="auto"/>
          </w:tcPr>
          <w:p w14:paraId="669FF63E"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Korea Exchange Inc.</w:t>
            </w:r>
          </w:p>
        </w:tc>
        <w:tc>
          <w:tcPr>
            <w:tcW w:w="3261" w:type="dxa"/>
            <w:shd w:val="clear" w:color="auto" w:fill="auto"/>
          </w:tcPr>
          <w:p w14:paraId="21B69B77"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7576F021"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KR</w:t>
            </w:r>
          </w:p>
        </w:tc>
      </w:tr>
      <w:tr w:rsidR="003B1768" w:rsidRPr="00AA22B7" w14:paraId="1550311D" w14:textId="77777777" w:rsidTr="00AA22B7">
        <w:trPr>
          <w:trHeight w:val="567"/>
        </w:trPr>
        <w:tc>
          <w:tcPr>
            <w:tcW w:w="4644" w:type="dxa"/>
            <w:shd w:val="clear" w:color="auto" w:fill="auto"/>
          </w:tcPr>
          <w:p w14:paraId="341A6358"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Korea Securities Depository</w:t>
            </w:r>
          </w:p>
        </w:tc>
        <w:tc>
          <w:tcPr>
            <w:tcW w:w="3261" w:type="dxa"/>
            <w:shd w:val="clear" w:color="auto" w:fill="auto"/>
          </w:tcPr>
          <w:p w14:paraId="7361FC4F"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11195EA2"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KR</w:t>
            </w:r>
          </w:p>
        </w:tc>
      </w:tr>
      <w:tr w:rsidR="003B1768" w:rsidRPr="00AA22B7" w14:paraId="24FCF1EF" w14:textId="77777777" w:rsidTr="00AA22B7">
        <w:trPr>
          <w:trHeight w:val="567"/>
        </w:trPr>
        <w:tc>
          <w:tcPr>
            <w:tcW w:w="4644" w:type="dxa"/>
            <w:shd w:val="clear" w:color="auto" w:fill="auto"/>
          </w:tcPr>
          <w:p w14:paraId="4078EB38" w14:textId="77777777" w:rsidR="003B1768" w:rsidRPr="00AA22B7" w:rsidRDefault="00DB18D6" w:rsidP="005B5271">
            <w:pPr>
              <w:spacing w:before="360" w:after="240"/>
              <w:rPr>
                <w:rStyle w:val="Jegyzethivatkozs"/>
                <w:snapToGrid/>
                <w:lang w:eastAsia="en-US"/>
              </w:rPr>
            </w:pPr>
            <w:proofErr w:type="spellStart"/>
            <w:r w:rsidRPr="00AA22B7">
              <w:rPr>
                <w:rStyle w:val="Jegyzethivatkozs"/>
                <w:snapToGrid/>
                <w:lang w:eastAsia="en-US"/>
              </w:rPr>
              <w:t>LCH.Clearnet</w:t>
            </w:r>
            <w:proofErr w:type="spellEnd"/>
            <w:r w:rsidRPr="00AA22B7">
              <w:rPr>
                <w:rStyle w:val="Jegyzethivatkozs"/>
                <w:snapToGrid/>
                <w:lang w:eastAsia="en-US"/>
              </w:rPr>
              <w:t xml:space="preserve"> LLC</w:t>
            </w:r>
          </w:p>
        </w:tc>
        <w:tc>
          <w:tcPr>
            <w:tcW w:w="3261" w:type="dxa"/>
            <w:shd w:val="clear" w:color="auto" w:fill="auto"/>
          </w:tcPr>
          <w:p w14:paraId="79E49A55"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5201AAA9"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US</w:t>
            </w:r>
          </w:p>
        </w:tc>
      </w:tr>
      <w:tr w:rsidR="003B1768" w:rsidRPr="00AA22B7" w14:paraId="2B330BF8" w14:textId="77777777" w:rsidTr="00AA22B7">
        <w:trPr>
          <w:trHeight w:val="567"/>
        </w:trPr>
        <w:tc>
          <w:tcPr>
            <w:tcW w:w="4644" w:type="dxa"/>
            <w:shd w:val="clear" w:color="auto" w:fill="auto"/>
          </w:tcPr>
          <w:p w14:paraId="16DA1DD1" w14:textId="77777777" w:rsidR="003B1768" w:rsidRPr="00AA22B7" w:rsidRDefault="00DB18D6" w:rsidP="005B5271">
            <w:pPr>
              <w:spacing w:before="360" w:after="240"/>
              <w:rPr>
                <w:rStyle w:val="Jegyzethivatkozs"/>
                <w:snapToGrid/>
                <w:lang w:eastAsia="en-US"/>
              </w:rPr>
            </w:pPr>
            <w:proofErr w:type="spellStart"/>
            <w:r w:rsidRPr="00AA22B7">
              <w:rPr>
                <w:rStyle w:val="Jegyzethivatkozs"/>
                <w:snapToGrid/>
                <w:lang w:eastAsia="en-US"/>
              </w:rPr>
              <w:t>LCH.Clearnet</w:t>
            </w:r>
            <w:proofErr w:type="spellEnd"/>
            <w:r w:rsidRPr="00AA22B7">
              <w:rPr>
                <w:rStyle w:val="Jegyzethivatkozs"/>
                <w:snapToGrid/>
                <w:lang w:eastAsia="en-US"/>
              </w:rPr>
              <w:t xml:space="preserve"> Ltd</w:t>
            </w:r>
          </w:p>
        </w:tc>
        <w:tc>
          <w:tcPr>
            <w:tcW w:w="3261" w:type="dxa"/>
            <w:shd w:val="clear" w:color="auto" w:fill="auto"/>
          </w:tcPr>
          <w:p w14:paraId="48B6930C"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F226TOH6YD6XJB17KS62</w:t>
            </w:r>
          </w:p>
        </w:tc>
        <w:tc>
          <w:tcPr>
            <w:tcW w:w="1307" w:type="dxa"/>
            <w:shd w:val="clear" w:color="auto" w:fill="auto"/>
          </w:tcPr>
          <w:p w14:paraId="1F340F13"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GB</w:t>
            </w:r>
          </w:p>
        </w:tc>
      </w:tr>
      <w:tr w:rsidR="003B1768" w:rsidRPr="00AA22B7" w14:paraId="77E429E1" w14:textId="77777777" w:rsidTr="00AA22B7">
        <w:trPr>
          <w:trHeight w:val="567"/>
        </w:trPr>
        <w:tc>
          <w:tcPr>
            <w:tcW w:w="4644" w:type="dxa"/>
            <w:shd w:val="clear" w:color="auto" w:fill="auto"/>
          </w:tcPr>
          <w:p w14:paraId="605EE82F" w14:textId="77777777" w:rsidR="003B1768" w:rsidRPr="00AA22B7" w:rsidRDefault="00DB18D6" w:rsidP="005B5271">
            <w:pPr>
              <w:spacing w:before="360" w:after="240"/>
              <w:rPr>
                <w:rStyle w:val="Jegyzethivatkozs"/>
                <w:snapToGrid/>
                <w:lang w:eastAsia="en-US"/>
              </w:rPr>
            </w:pPr>
            <w:proofErr w:type="spellStart"/>
            <w:r w:rsidRPr="00AA22B7">
              <w:rPr>
                <w:rStyle w:val="Jegyzethivatkozs"/>
                <w:snapToGrid/>
                <w:lang w:eastAsia="en-US"/>
              </w:rPr>
              <w:t>LCH.Clearnet</w:t>
            </w:r>
            <w:proofErr w:type="spellEnd"/>
            <w:r w:rsidRPr="00AA22B7">
              <w:rPr>
                <w:rStyle w:val="Jegyzethivatkozs"/>
                <w:snapToGrid/>
                <w:lang w:eastAsia="en-US"/>
              </w:rPr>
              <w:t xml:space="preserve"> SA</w:t>
            </w:r>
          </w:p>
        </w:tc>
        <w:tc>
          <w:tcPr>
            <w:tcW w:w="3261" w:type="dxa"/>
            <w:shd w:val="clear" w:color="auto" w:fill="auto"/>
          </w:tcPr>
          <w:p w14:paraId="33FE2AAB"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R1IO4YJ0O79SMWVCHB58</w:t>
            </w:r>
          </w:p>
        </w:tc>
        <w:tc>
          <w:tcPr>
            <w:tcW w:w="1307" w:type="dxa"/>
            <w:shd w:val="clear" w:color="auto" w:fill="auto"/>
          </w:tcPr>
          <w:p w14:paraId="38B7A28F"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FR</w:t>
            </w:r>
          </w:p>
        </w:tc>
      </w:tr>
      <w:tr w:rsidR="003B1768" w:rsidRPr="00AA22B7" w14:paraId="01D3DA40" w14:textId="77777777" w:rsidTr="00AA22B7">
        <w:trPr>
          <w:trHeight w:val="567"/>
        </w:trPr>
        <w:tc>
          <w:tcPr>
            <w:tcW w:w="4644" w:type="dxa"/>
            <w:shd w:val="clear" w:color="auto" w:fill="auto"/>
          </w:tcPr>
          <w:p w14:paraId="07278617"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LME Clear Ltd</w:t>
            </w:r>
          </w:p>
        </w:tc>
        <w:tc>
          <w:tcPr>
            <w:tcW w:w="3261" w:type="dxa"/>
            <w:shd w:val="clear" w:color="auto" w:fill="auto"/>
          </w:tcPr>
          <w:p w14:paraId="124FE2D2"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213800L8AQD59D3JRW81</w:t>
            </w:r>
          </w:p>
        </w:tc>
        <w:tc>
          <w:tcPr>
            <w:tcW w:w="1307" w:type="dxa"/>
            <w:shd w:val="clear" w:color="auto" w:fill="auto"/>
          </w:tcPr>
          <w:p w14:paraId="1DBD4A30" w14:textId="77777777" w:rsidR="003B1768" w:rsidRPr="00AA22B7" w:rsidRDefault="00DB18D6" w:rsidP="005B5271">
            <w:pPr>
              <w:spacing w:before="360" w:after="240"/>
              <w:rPr>
                <w:rStyle w:val="Jegyzethivatkozs"/>
                <w:snapToGrid/>
                <w:lang w:eastAsia="en-US"/>
              </w:rPr>
            </w:pPr>
            <w:r w:rsidRPr="00AA22B7">
              <w:rPr>
                <w:rStyle w:val="Jegyzethivatkozs"/>
                <w:snapToGrid/>
                <w:lang w:eastAsia="en-US"/>
              </w:rPr>
              <w:t>GB</w:t>
            </w:r>
          </w:p>
        </w:tc>
      </w:tr>
      <w:tr w:rsidR="003B1768" w:rsidRPr="00AA22B7" w14:paraId="470D5F3C" w14:textId="77777777" w:rsidTr="00AA22B7">
        <w:trPr>
          <w:trHeight w:val="567"/>
        </w:trPr>
        <w:tc>
          <w:tcPr>
            <w:tcW w:w="4644" w:type="dxa"/>
            <w:shd w:val="clear" w:color="auto" w:fill="auto"/>
          </w:tcPr>
          <w:p w14:paraId="37686F50" w14:textId="77777777" w:rsidR="003B1768" w:rsidRPr="00AA22B7" w:rsidRDefault="00500356" w:rsidP="005B5271">
            <w:pPr>
              <w:spacing w:before="360" w:after="240"/>
              <w:rPr>
                <w:rStyle w:val="Jegyzethivatkozs"/>
                <w:snapToGrid/>
                <w:lang w:eastAsia="en-US"/>
              </w:rPr>
            </w:pPr>
            <w:proofErr w:type="spellStart"/>
            <w:r w:rsidRPr="00AA22B7">
              <w:rPr>
                <w:rStyle w:val="Jegyzethivatkozs"/>
                <w:snapToGrid/>
                <w:lang w:eastAsia="en-US"/>
              </w:rPr>
              <w:t>MAOF</w:t>
            </w:r>
            <w:proofErr w:type="spellEnd"/>
            <w:r w:rsidRPr="00AA22B7">
              <w:rPr>
                <w:rStyle w:val="Jegyzethivatkozs"/>
                <w:snapToGrid/>
                <w:lang w:eastAsia="en-US"/>
              </w:rPr>
              <w:t xml:space="preserve"> Clearing House Limited</w:t>
            </w:r>
          </w:p>
        </w:tc>
        <w:tc>
          <w:tcPr>
            <w:tcW w:w="3261" w:type="dxa"/>
            <w:shd w:val="clear" w:color="auto" w:fill="auto"/>
          </w:tcPr>
          <w:p w14:paraId="3C833465"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107DD97E"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IL</w:t>
            </w:r>
          </w:p>
        </w:tc>
      </w:tr>
      <w:tr w:rsidR="003B1768" w:rsidRPr="00AA22B7" w14:paraId="21AC21B5" w14:textId="77777777" w:rsidTr="00AA22B7">
        <w:trPr>
          <w:trHeight w:val="567"/>
        </w:trPr>
        <w:tc>
          <w:tcPr>
            <w:tcW w:w="4644" w:type="dxa"/>
            <w:shd w:val="clear" w:color="auto" w:fill="auto"/>
          </w:tcPr>
          <w:p w14:paraId="670B5DEE"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MCX-</w:t>
            </w:r>
            <w:proofErr w:type="spellStart"/>
            <w:r w:rsidRPr="00AA22B7">
              <w:rPr>
                <w:rStyle w:val="Jegyzethivatkozs"/>
                <w:snapToGrid/>
                <w:lang w:eastAsia="en-US"/>
              </w:rPr>
              <w:t>SX</w:t>
            </w:r>
            <w:proofErr w:type="spellEnd"/>
            <w:r w:rsidRPr="00AA22B7">
              <w:rPr>
                <w:rStyle w:val="Jegyzethivatkozs"/>
                <w:snapToGrid/>
                <w:lang w:eastAsia="en-US"/>
              </w:rPr>
              <w:t xml:space="preserve"> Clearing Corporation Ltd.</w:t>
            </w:r>
          </w:p>
        </w:tc>
        <w:tc>
          <w:tcPr>
            <w:tcW w:w="3261" w:type="dxa"/>
            <w:shd w:val="clear" w:color="auto" w:fill="auto"/>
          </w:tcPr>
          <w:p w14:paraId="3A1F6B32"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6260410B"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IN</w:t>
            </w:r>
          </w:p>
        </w:tc>
      </w:tr>
      <w:tr w:rsidR="003B1768" w:rsidRPr="00AA22B7" w14:paraId="2208A265" w14:textId="77777777" w:rsidTr="00AA22B7">
        <w:trPr>
          <w:trHeight w:val="567"/>
        </w:trPr>
        <w:tc>
          <w:tcPr>
            <w:tcW w:w="4644" w:type="dxa"/>
            <w:shd w:val="clear" w:color="auto" w:fill="auto"/>
          </w:tcPr>
          <w:p w14:paraId="6395E702"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Minneapolis Grain Exchange Inc.</w:t>
            </w:r>
          </w:p>
        </w:tc>
        <w:tc>
          <w:tcPr>
            <w:tcW w:w="3261" w:type="dxa"/>
            <w:shd w:val="clear" w:color="auto" w:fill="auto"/>
          </w:tcPr>
          <w:p w14:paraId="08CC11CB"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17D358F6"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US</w:t>
            </w:r>
          </w:p>
        </w:tc>
      </w:tr>
      <w:tr w:rsidR="003B1768" w:rsidRPr="00AA22B7" w14:paraId="7399CFDE" w14:textId="77777777" w:rsidTr="00AA22B7">
        <w:trPr>
          <w:trHeight w:val="567"/>
        </w:trPr>
        <w:tc>
          <w:tcPr>
            <w:tcW w:w="4644" w:type="dxa"/>
            <w:shd w:val="clear" w:color="auto" w:fill="auto"/>
          </w:tcPr>
          <w:p w14:paraId="404ACC0A"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NASDAQ Dubai Limited</w:t>
            </w:r>
          </w:p>
        </w:tc>
        <w:tc>
          <w:tcPr>
            <w:tcW w:w="3261" w:type="dxa"/>
            <w:shd w:val="clear" w:color="auto" w:fill="auto"/>
          </w:tcPr>
          <w:p w14:paraId="10828330"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79EF7CF6"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AE</w:t>
            </w:r>
          </w:p>
        </w:tc>
      </w:tr>
      <w:tr w:rsidR="003B1768" w:rsidRPr="00AA22B7" w14:paraId="25FE7717" w14:textId="77777777" w:rsidTr="00AA22B7">
        <w:trPr>
          <w:trHeight w:val="567"/>
        </w:trPr>
        <w:tc>
          <w:tcPr>
            <w:tcW w:w="4644" w:type="dxa"/>
            <w:shd w:val="clear" w:color="auto" w:fill="auto"/>
          </w:tcPr>
          <w:p w14:paraId="6EC86411"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Nasdaq OMX Clearing AB</w:t>
            </w:r>
          </w:p>
        </w:tc>
        <w:tc>
          <w:tcPr>
            <w:tcW w:w="3261" w:type="dxa"/>
            <w:shd w:val="clear" w:color="auto" w:fill="auto"/>
          </w:tcPr>
          <w:p w14:paraId="18B3DA16"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54930002A8LR1AAUCU78</w:t>
            </w:r>
          </w:p>
        </w:tc>
        <w:tc>
          <w:tcPr>
            <w:tcW w:w="1307" w:type="dxa"/>
            <w:shd w:val="clear" w:color="auto" w:fill="auto"/>
          </w:tcPr>
          <w:p w14:paraId="46C245D9"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SE</w:t>
            </w:r>
          </w:p>
        </w:tc>
      </w:tr>
      <w:tr w:rsidR="003B1768" w:rsidRPr="00AA22B7" w14:paraId="7FAEF7A6" w14:textId="77777777" w:rsidTr="00AA22B7">
        <w:trPr>
          <w:trHeight w:val="567"/>
        </w:trPr>
        <w:tc>
          <w:tcPr>
            <w:tcW w:w="4644" w:type="dxa"/>
            <w:shd w:val="clear" w:color="auto" w:fill="auto"/>
          </w:tcPr>
          <w:p w14:paraId="2E2B7E5B"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National Securities Clearing Corporation</w:t>
            </w:r>
          </w:p>
        </w:tc>
        <w:tc>
          <w:tcPr>
            <w:tcW w:w="3261" w:type="dxa"/>
            <w:shd w:val="clear" w:color="auto" w:fill="auto"/>
          </w:tcPr>
          <w:p w14:paraId="559B2A18"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3CAACE09"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US</w:t>
            </w:r>
          </w:p>
        </w:tc>
      </w:tr>
      <w:tr w:rsidR="003B1768" w:rsidRPr="00AA22B7" w14:paraId="024A4759" w14:textId="77777777" w:rsidTr="00AA22B7">
        <w:trPr>
          <w:trHeight w:val="567"/>
        </w:trPr>
        <w:tc>
          <w:tcPr>
            <w:tcW w:w="4644" w:type="dxa"/>
            <w:shd w:val="clear" w:color="auto" w:fill="auto"/>
          </w:tcPr>
          <w:p w14:paraId="765F86F9"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National Securities Clearing Corporation Limited</w:t>
            </w:r>
          </w:p>
        </w:tc>
        <w:tc>
          <w:tcPr>
            <w:tcW w:w="3261" w:type="dxa"/>
            <w:shd w:val="clear" w:color="auto" w:fill="auto"/>
          </w:tcPr>
          <w:p w14:paraId="49C9FF69"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655829D9"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IN</w:t>
            </w:r>
          </w:p>
        </w:tc>
      </w:tr>
      <w:tr w:rsidR="003B1768" w:rsidRPr="00AA22B7" w14:paraId="13EE5372" w14:textId="77777777" w:rsidTr="00AA22B7">
        <w:trPr>
          <w:trHeight w:val="567"/>
        </w:trPr>
        <w:tc>
          <w:tcPr>
            <w:tcW w:w="4644" w:type="dxa"/>
            <w:shd w:val="clear" w:color="auto" w:fill="auto"/>
          </w:tcPr>
          <w:p w14:paraId="769FC8D1"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Natural Gas Exchange Inc.</w:t>
            </w:r>
          </w:p>
        </w:tc>
        <w:tc>
          <w:tcPr>
            <w:tcW w:w="3261" w:type="dxa"/>
            <w:shd w:val="clear" w:color="auto" w:fill="auto"/>
          </w:tcPr>
          <w:p w14:paraId="6AE7EF90"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5EDE5EF9"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CA</w:t>
            </w:r>
          </w:p>
        </w:tc>
      </w:tr>
      <w:tr w:rsidR="003B1768" w:rsidRPr="00AA22B7" w14:paraId="2E15C63E" w14:textId="77777777" w:rsidTr="00AA22B7">
        <w:trPr>
          <w:trHeight w:val="567"/>
        </w:trPr>
        <w:tc>
          <w:tcPr>
            <w:tcW w:w="4644" w:type="dxa"/>
            <w:shd w:val="clear" w:color="auto" w:fill="auto"/>
          </w:tcPr>
          <w:p w14:paraId="3903FFDA"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New Zealand Clearing and Depository Ltd.</w:t>
            </w:r>
          </w:p>
        </w:tc>
        <w:tc>
          <w:tcPr>
            <w:tcW w:w="3261" w:type="dxa"/>
            <w:shd w:val="clear" w:color="auto" w:fill="auto"/>
          </w:tcPr>
          <w:p w14:paraId="697B13F4"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31B9559A"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NZ</w:t>
            </w:r>
          </w:p>
        </w:tc>
      </w:tr>
      <w:tr w:rsidR="003B1768" w:rsidRPr="00AA22B7" w14:paraId="285517BB" w14:textId="77777777" w:rsidTr="00AA22B7">
        <w:trPr>
          <w:trHeight w:val="567"/>
        </w:trPr>
        <w:tc>
          <w:tcPr>
            <w:tcW w:w="4644" w:type="dxa"/>
            <w:shd w:val="clear" w:color="auto" w:fill="auto"/>
          </w:tcPr>
          <w:p w14:paraId="14631570" w14:textId="77777777" w:rsidR="003B1768" w:rsidRPr="00AA22B7" w:rsidRDefault="00500356" w:rsidP="005B5271">
            <w:pPr>
              <w:spacing w:before="360" w:after="240"/>
              <w:rPr>
                <w:rStyle w:val="Jegyzethivatkozs"/>
                <w:snapToGrid/>
                <w:lang w:eastAsia="en-US"/>
              </w:rPr>
            </w:pPr>
            <w:proofErr w:type="spellStart"/>
            <w:r w:rsidRPr="00AA22B7">
              <w:rPr>
                <w:rStyle w:val="Jegyzethivatkozs"/>
                <w:snapToGrid/>
                <w:lang w:eastAsia="en-US"/>
              </w:rPr>
              <w:t>NSE</w:t>
            </w:r>
            <w:proofErr w:type="spellEnd"/>
            <w:r w:rsidRPr="00AA22B7">
              <w:rPr>
                <w:rStyle w:val="Jegyzethivatkozs"/>
                <w:snapToGrid/>
                <w:lang w:eastAsia="en-US"/>
              </w:rPr>
              <w:t xml:space="preserve"> India</w:t>
            </w:r>
          </w:p>
        </w:tc>
        <w:tc>
          <w:tcPr>
            <w:tcW w:w="3261" w:type="dxa"/>
            <w:shd w:val="clear" w:color="auto" w:fill="auto"/>
          </w:tcPr>
          <w:p w14:paraId="383A2628"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29D6966A" w14:textId="77777777" w:rsidR="003B1768" w:rsidRPr="00AA22B7" w:rsidRDefault="00500356" w:rsidP="005B5271">
            <w:pPr>
              <w:spacing w:before="360" w:after="240"/>
              <w:rPr>
                <w:rStyle w:val="Jegyzethivatkozs"/>
                <w:snapToGrid/>
                <w:lang w:eastAsia="en-US"/>
              </w:rPr>
            </w:pPr>
            <w:r w:rsidRPr="00AA22B7">
              <w:rPr>
                <w:rStyle w:val="Jegyzethivatkozs"/>
                <w:snapToGrid/>
                <w:lang w:eastAsia="en-US"/>
              </w:rPr>
              <w:t>IN</w:t>
            </w:r>
          </w:p>
        </w:tc>
      </w:tr>
      <w:tr w:rsidR="003B1768" w:rsidRPr="00AA22B7" w14:paraId="31BE13E2" w14:textId="77777777" w:rsidTr="00AA22B7">
        <w:trPr>
          <w:trHeight w:val="567"/>
        </w:trPr>
        <w:tc>
          <w:tcPr>
            <w:tcW w:w="4644" w:type="dxa"/>
            <w:shd w:val="clear" w:color="auto" w:fill="auto"/>
          </w:tcPr>
          <w:p w14:paraId="637C35C0" w14:textId="77777777" w:rsidR="003B1768" w:rsidRPr="00AA22B7" w:rsidRDefault="00411430" w:rsidP="005B5271">
            <w:pPr>
              <w:spacing w:before="360" w:after="240"/>
              <w:rPr>
                <w:rStyle w:val="Jegyzethivatkozs"/>
                <w:snapToGrid/>
                <w:lang w:eastAsia="en-US"/>
              </w:rPr>
            </w:pPr>
            <w:proofErr w:type="spellStart"/>
            <w:r w:rsidRPr="00AA22B7">
              <w:rPr>
                <w:rStyle w:val="Jegyzethivatkozs"/>
                <w:snapToGrid/>
                <w:lang w:eastAsia="en-US"/>
              </w:rPr>
              <w:t>OMIClear</w:t>
            </w:r>
            <w:proofErr w:type="spellEnd"/>
            <w:r w:rsidRPr="00AA22B7">
              <w:rPr>
                <w:rStyle w:val="Jegyzethivatkozs"/>
                <w:snapToGrid/>
                <w:lang w:eastAsia="en-US"/>
              </w:rPr>
              <w:t xml:space="preserve"> - C.C., S.A.</w:t>
            </w:r>
          </w:p>
        </w:tc>
        <w:tc>
          <w:tcPr>
            <w:tcW w:w="3261" w:type="dxa"/>
            <w:shd w:val="clear" w:color="auto" w:fill="auto"/>
          </w:tcPr>
          <w:p w14:paraId="2F26F845" w14:textId="77777777" w:rsidR="003B1768" w:rsidRPr="00AA22B7" w:rsidRDefault="00411430" w:rsidP="005B5271">
            <w:pPr>
              <w:spacing w:before="360" w:after="240"/>
              <w:rPr>
                <w:rStyle w:val="Jegyzethivatkozs"/>
                <w:snapToGrid/>
                <w:lang w:eastAsia="en-US"/>
              </w:rPr>
            </w:pPr>
            <w:r w:rsidRPr="00AA22B7">
              <w:rPr>
                <w:rStyle w:val="Jegyzethivatkozs"/>
                <w:snapToGrid/>
                <w:lang w:eastAsia="en-US"/>
              </w:rPr>
              <w:t>5299001PSXO7X2JX4W10</w:t>
            </w:r>
          </w:p>
        </w:tc>
        <w:tc>
          <w:tcPr>
            <w:tcW w:w="1307" w:type="dxa"/>
            <w:shd w:val="clear" w:color="auto" w:fill="auto"/>
          </w:tcPr>
          <w:p w14:paraId="050F29AA" w14:textId="77777777" w:rsidR="003B1768" w:rsidRPr="00AA22B7" w:rsidRDefault="00411430" w:rsidP="005B5271">
            <w:pPr>
              <w:spacing w:before="360" w:after="240"/>
              <w:rPr>
                <w:rStyle w:val="Jegyzethivatkozs"/>
                <w:snapToGrid/>
                <w:lang w:eastAsia="en-US"/>
              </w:rPr>
            </w:pPr>
            <w:r w:rsidRPr="00AA22B7">
              <w:rPr>
                <w:rStyle w:val="Jegyzethivatkozs"/>
                <w:snapToGrid/>
                <w:lang w:eastAsia="en-US"/>
              </w:rPr>
              <w:t>PT</w:t>
            </w:r>
          </w:p>
        </w:tc>
      </w:tr>
      <w:tr w:rsidR="003B1768" w:rsidRPr="00AA22B7" w14:paraId="4D29D7F3" w14:textId="77777777" w:rsidTr="00AA22B7">
        <w:trPr>
          <w:trHeight w:val="567"/>
        </w:trPr>
        <w:tc>
          <w:tcPr>
            <w:tcW w:w="4644" w:type="dxa"/>
            <w:shd w:val="clear" w:color="auto" w:fill="auto"/>
          </w:tcPr>
          <w:p w14:paraId="640D969F" w14:textId="77777777" w:rsidR="003B1768" w:rsidRPr="00AA22B7" w:rsidRDefault="00411430" w:rsidP="005B5271">
            <w:pPr>
              <w:spacing w:before="360" w:after="240"/>
              <w:rPr>
                <w:rStyle w:val="Jegyzethivatkozs"/>
                <w:snapToGrid/>
                <w:lang w:eastAsia="en-US"/>
              </w:rPr>
            </w:pPr>
            <w:r w:rsidRPr="00AA22B7">
              <w:rPr>
                <w:rStyle w:val="Jegyzethivatkozs"/>
                <w:snapToGrid/>
                <w:lang w:eastAsia="en-US"/>
              </w:rPr>
              <w:t>Options Clearing Corp</w:t>
            </w:r>
          </w:p>
        </w:tc>
        <w:tc>
          <w:tcPr>
            <w:tcW w:w="3261" w:type="dxa"/>
            <w:shd w:val="clear" w:color="auto" w:fill="auto"/>
          </w:tcPr>
          <w:p w14:paraId="78584393"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6D255B3B" w14:textId="77777777" w:rsidR="003B1768" w:rsidRPr="00AA22B7" w:rsidRDefault="00411430" w:rsidP="005B5271">
            <w:pPr>
              <w:spacing w:before="360" w:after="240"/>
              <w:rPr>
                <w:rStyle w:val="Jegyzethivatkozs"/>
                <w:snapToGrid/>
                <w:lang w:eastAsia="en-US"/>
              </w:rPr>
            </w:pPr>
            <w:r w:rsidRPr="00AA22B7">
              <w:rPr>
                <w:rStyle w:val="Jegyzethivatkozs"/>
                <w:snapToGrid/>
                <w:lang w:eastAsia="en-US"/>
              </w:rPr>
              <w:t>US</w:t>
            </w:r>
          </w:p>
        </w:tc>
      </w:tr>
      <w:tr w:rsidR="003B1768" w:rsidRPr="00AA22B7" w14:paraId="595C9AA7" w14:textId="77777777" w:rsidTr="00AA22B7">
        <w:trPr>
          <w:trHeight w:val="567"/>
        </w:trPr>
        <w:tc>
          <w:tcPr>
            <w:tcW w:w="4644" w:type="dxa"/>
            <w:shd w:val="clear" w:color="auto" w:fill="auto"/>
          </w:tcPr>
          <w:p w14:paraId="594E664F" w14:textId="77777777" w:rsidR="003B1768" w:rsidRPr="00AA22B7" w:rsidRDefault="00411430" w:rsidP="005B5271">
            <w:pPr>
              <w:spacing w:before="360" w:after="240"/>
              <w:rPr>
                <w:rStyle w:val="Jegyzethivatkozs"/>
                <w:snapToGrid/>
                <w:lang w:eastAsia="en-US"/>
              </w:rPr>
            </w:pPr>
            <w:r w:rsidRPr="00AA22B7">
              <w:rPr>
                <w:rStyle w:val="Jegyzethivatkozs"/>
                <w:snapToGrid/>
                <w:lang w:eastAsia="en-US"/>
              </w:rPr>
              <w:t>Osaka Securities Exchange</w:t>
            </w:r>
          </w:p>
        </w:tc>
        <w:tc>
          <w:tcPr>
            <w:tcW w:w="3261" w:type="dxa"/>
            <w:shd w:val="clear" w:color="auto" w:fill="auto"/>
          </w:tcPr>
          <w:p w14:paraId="2FB7C728"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386016EF" w14:textId="77777777" w:rsidR="003B1768" w:rsidRPr="00AA22B7" w:rsidRDefault="00411430" w:rsidP="005B5271">
            <w:pPr>
              <w:spacing w:before="360" w:after="240"/>
              <w:rPr>
                <w:rStyle w:val="Jegyzethivatkozs"/>
                <w:snapToGrid/>
                <w:lang w:eastAsia="en-US"/>
              </w:rPr>
            </w:pPr>
            <w:r w:rsidRPr="00AA22B7">
              <w:rPr>
                <w:rStyle w:val="Jegyzethivatkozs"/>
                <w:snapToGrid/>
                <w:lang w:eastAsia="en-US"/>
              </w:rPr>
              <w:t>JP</w:t>
            </w:r>
          </w:p>
        </w:tc>
      </w:tr>
      <w:tr w:rsidR="003B1768" w:rsidRPr="00AA22B7" w14:paraId="5F99157C" w14:textId="77777777" w:rsidTr="00AA22B7">
        <w:trPr>
          <w:trHeight w:val="567"/>
        </w:trPr>
        <w:tc>
          <w:tcPr>
            <w:tcW w:w="4644" w:type="dxa"/>
            <w:shd w:val="clear" w:color="auto" w:fill="auto"/>
          </w:tcPr>
          <w:p w14:paraId="50A5CB9D" w14:textId="77777777" w:rsidR="003B1768" w:rsidRPr="00AA22B7" w:rsidRDefault="00411430" w:rsidP="005B5271">
            <w:pPr>
              <w:spacing w:before="360" w:after="240"/>
              <w:rPr>
                <w:rStyle w:val="Jegyzethivatkozs"/>
                <w:snapToGrid/>
                <w:lang w:eastAsia="en-US"/>
              </w:rPr>
            </w:pPr>
            <w:r w:rsidRPr="00AA22B7">
              <w:rPr>
                <w:rStyle w:val="Jegyzethivatkozs"/>
                <w:snapToGrid/>
                <w:lang w:eastAsia="en-US"/>
              </w:rPr>
              <w:t>OTC Clearing Hong Kong Limited</w:t>
            </w:r>
          </w:p>
        </w:tc>
        <w:tc>
          <w:tcPr>
            <w:tcW w:w="3261" w:type="dxa"/>
            <w:shd w:val="clear" w:color="auto" w:fill="auto"/>
          </w:tcPr>
          <w:p w14:paraId="038122CD" w14:textId="77777777" w:rsidR="003B1768" w:rsidRPr="00AA22B7" w:rsidRDefault="00411430" w:rsidP="005B5271">
            <w:pPr>
              <w:spacing w:before="360" w:after="240"/>
              <w:rPr>
                <w:rStyle w:val="Jegyzethivatkozs"/>
                <w:snapToGrid/>
                <w:lang w:eastAsia="en-US"/>
              </w:rPr>
            </w:pPr>
            <w:r w:rsidRPr="00AA22B7">
              <w:rPr>
                <w:rStyle w:val="Jegyzethivatkozs"/>
                <w:snapToGrid/>
                <w:lang w:eastAsia="en-US"/>
              </w:rPr>
              <w:t>213800CKBBZUAHHARH83</w:t>
            </w:r>
          </w:p>
        </w:tc>
        <w:tc>
          <w:tcPr>
            <w:tcW w:w="1307" w:type="dxa"/>
            <w:shd w:val="clear" w:color="auto" w:fill="auto"/>
          </w:tcPr>
          <w:p w14:paraId="0C20C102" w14:textId="77777777" w:rsidR="003B1768" w:rsidRPr="00AA22B7" w:rsidRDefault="00411430" w:rsidP="005B5271">
            <w:pPr>
              <w:spacing w:before="360" w:after="240"/>
              <w:rPr>
                <w:rStyle w:val="Jegyzethivatkozs"/>
                <w:snapToGrid/>
                <w:lang w:eastAsia="en-US"/>
              </w:rPr>
            </w:pPr>
            <w:r w:rsidRPr="00AA22B7">
              <w:rPr>
                <w:rStyle w:val="Jegyzethivatkozs"/>
                <w:snapToGrid/>
                <w:lang w:eastAsia="en-US"/>
              </w:rPr>
              <w:t>HK</w:t>
            </w:r>
          </w:p>
        </w:tc>
      </w:tr>
      <w:tr w:rsidR="003B1768" w:rsidRPr="00AA22B7" w14:paraId="3CDE6B25" w14:textId="77777777" w:rsidTr="00AA22B7">
        <w:trPr>
          <w:trHeight w:val="567"/>
        </w:trPr>
        <w:tc>
          <w:tcPr>
            <w:tcW w:w="4644" w:type="dxa"/>
            <w:shd w:val="clear" w:color="auto" w:fill="auto"/>
          </w:tcPr>
          <w:p w14:paraId="0EDA12E3" w14:textId="77777777" w:rsidR="003B1768" w:rsidRPr="00AA22B7" w:rsidRDefault="00411430" w:rsidP="005B5271">
            <w:pPr>
              <w:spacing w:before="360" w:after="240"/>
              <w:rPr>
                <w:rStyle w:val="Jegyzethivatkozs"/>
                <w:snapToGrid/>
                <w:lang w:eastAsia="en-US"/>
              </w:rPr>
            </w:pPr>
            <w:r w:rsidRPr="00AA22B7">
              <w:rPr>
                <w:rStyle w:val="Jegyzethivatkozs"/>
                <w:snapToGrid/>
                <w:lang w:eastAsia="en-US"/>
              </w:rPr>
              <w:t>Singapore Exchange Derivatives Clearing</w:t>
            </w:r>
          </w:p>
        </w:tc>
        <w:tc>
          <w:tcPr>
            <w:tcW w:w="3261" w:type="dxa"/>
            <w:shd w:val="clear" w:color="auto" w:fill="auto"/>
          </w:tcPr>
          <w:p w14:paraId="5F1343F6" w14:textId="77777777" w:rsidR="003B1768" w:rsidRPr="00AA22B7" w:rsidRDefault="00411430" w:rsidP="005B5271">
            <w:pPr>
              <w:spacing w:before="360" w:after="240"/>
              <w:rPr>
                <w:rStyle w:val="Jegyzethivatkozs"/>
                <w:snapToGrid/>
                <w:lang w:eastAsia="en-US"/>
              </w:rPr>
            </w:pPr>
            <w:r w:rsidRPr="00AA22B7">
              <w:rPr>
                <w:rStyle w:val="Jegyzethivatkozs"/>
                <w:snapToGrid/>
                <w:lang w:eastAsia="en-US"/>
              </w:rPr>
              <w:t>549300ZLWT3FK3F0FW61</w:t>
            </w:r>
          </w:p>
        </w:tc>
        <w:tc>
          <w:tcPr>
            <w:tcW w:w="1307" w:type="dxa"/>
            <w:shd w:val="clear" w:color="auto" w:fill="auto"/>
          </w:tcPr>
          <w:p w14:paraId="012328BC" w14:textId="77777777" w:rsidR="003B1768" w:rsidRPr="00AA22B7" w:rsidRDefault="00411430" w:rsidP="005B5271">
            <w:pPr>
              <w:spacing w:before="360" w:after="240"/>
              <w:rPr>
                <w:rStyle w:val="Jegyzethivatkozs"/>
                <w:snapToGrid/>
                <w:lang w:eastAsia="en-US"/>
              </w:rPr>
            </w:pPr>
            <w:r w:rsidRPr="00AA22B7">
              <w:rPr>
                <w:rStyle w:val="Jegyzethivatkozs"/>
                <w:snapToGrid/>
                <w:lang w:eastAsia="en-US"/>
              </w:rPr>
              <w:t>SG</w:t>
            </w:r>
          </w:p>
        </w:tc>
      </w:tr>
      <w:tr w:rsidR="003B1768" w:rsidRPr="00AA22B7" w14:paraId="4BC2D639" w14:textId="77777777" w:rsidTr="00AA22B7">
        <w:trPr>
          <w:trHeight w:val="567"/>
        </w:trPr>
        <w:tc>
          <w:tcPr>
            <w:tcW w:w="4644" w:type="dxa"/>
            <w:shd w:val="clear" w:color="auto" w:fill="auto"/>
          </w:tcPr>
          <w:p w14:paraId="3BC142C9"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SIX x-clear Ltd.</w:t>
            </w:r>
          </w:p>
        </w:tc>
        <w:tc>
          <w:tcPr>
            <w:tcW w:w="3261" w:type="dxa"/>
            <w:shd w:val="clear" w:color="auto" w:fill="auto"/>
          </w:tcPr>
          <w:p w14:paraId="002BDDE2"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2DEBD7CE"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CH</w:t>
            </w:r>
          </w:p>
        </w:tc>
      </w:tr>
      <w:tr w:rsidR="003B1768" w:rsidRPr="00AA22B7" w14:paraId="3C467B6A" w14:textId="77777777" w:rsidTr="00AA22B7">
        <w:trPr>
          <w:trHeight w:val="567"/>
        </w:trPr>
        <w:tc>
          <w:tcPr>
            <w:tcW w:w="4644" w:type="dxa"/>
            <w:shd w:val="clear" w:color="auto" w:fill="auto"/>
          </w:tcPr>
          <w:p w14:paraId="0CA12F83"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Taiwan Futures Exchange Corporation</w:t>
            </w:r>
          </w:p>
        </w:tc>
        <w:tc>
          <w:tcPr>
            <w:tcW w:w="3261" w:type="dxa"/>
            <w:shd w:val="clear" w:color="auto" w:fill="auto"/>
          </w:tcPr>
          <w:p w14:paraId="1EA87029"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3EE397E1"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TW</w:t>
            </w:r>
          </w:p>
        </w:tc>
      </w:tr>
      <w:tr w:rsidR="003B1768" w:rsidRPr="00AA22B7" w14:paraId="086BF276" w14:textId="77777777" w:rsidTr="00AA22B7">
        <w:trPr>
          <w:trHeight w:val="567"/>
        </w:trPr>
        <w:tc>
          <w:tcPr>
            <w:tcW w:w="4644" w:type="dxa"/>
            <w:shd w:val="clear" w:color="auto" w:fill="auto"/>
          </w:tcPr>
          <w:p w14:paraId="76F961D4"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Tel-Aviv Stock Exchange Clearing House Limited</w:t>
            </w:r>
          </w:p>
        </w:tc>
        <w:tc>
          <w:tcPr>
            <w:tcW w:w="3261" w:type="dxa"/>
            <w:shd w:val="clear" w:color="auto" w:fill="auto"/>
          </w:tcPr>
          <w:p w14:paraId="582AF76D"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036302B8"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IL</w:t>
            </w:r>
          </w:p>
        </w:tc>
      </w:tr>
      <w:tr w:rsidR="003B1768" w:rsidRPr="00AA22B7" w14:paraId="0DA5EC62" w14:textId="77777777" w:rsidTr="00AA22B7">
        <w:trPr>
          <w:trHeight w:val="567"/>
        </w:trPr>
        <w:tc>
          <w:tcPr>
            <w:tcW w:w="4644" w:type="dxa"/>
            <w:shd w:val="clear" w:color="auto" w:fill="auto"/>
          </w:tcPr>
          <w:p w14:paraId="30415363"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The Central Depository (Pte) Limited</w:t>
            </w:r>
          </w:p>
        </w:tc>
        <w:tc>
          <w:tcPr>
            <w:tcW w:w="3261" w:type="dxa"/>
            <w:shd w:val="clear" w:color="auto" w:fill="auto"/>
          </w:tcPr>
          <w:p w14:paraId="5528D17C"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19F957B1"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SG</w:t>
            </w:r>
          </w:p>
        </w:tc>
      </w:tr>
      <w:tr w:rsidR="003B1768" w:rsidRPr="00AA22B7" w14:paraId="499C1765" w14:textId="77777777" w:rsidTr="00AA22B7">
        <w:trPr>
          <w:trHeight w:val="567"/>
        </w:trPr>
        <w:tc>
          <w:tcPr>
            <w:tcW w:w="4644" w:type="dxa"/>
            <w:shd w:val="clear" w:color="auto" w:fill="auto"/>
          </w:tcPr>
          <w:p w14:paraId="316A1F3A"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The Clearing Corporation of India Ltd.</w:t>
            </w:r>
          </w:p>
        </w:tc>
        <w:tc>
          <w:tcPr>
            <w:tcW w:w="3261" w:type="dxa"/>
            <w:shd w:val="clear" w:color="auto" w:fill="auto"/>
          </w:tcPr>
          <w:p w14:paraId="4F3CD3AE"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6B918B5B"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IN</w:t>
            </w:r>
          </w:p>
        </w:tc>
      </w:tr>
      <w:tr w:rsidR="003B1768" w:rsidRPr="00AA22B7" w14:paraId="01F3E04D" w14:textId="77777777" w:rsidTr="00AA22B7">
        <w:trPr>
          <w:trHeight w:val="567"/>
        </w:trPr>
        <w:tc>
          <w:tcPr>
            <w:tcW w:w="4644" w:type="dxa"/>
            <w:shd w:val="clear" w:color="auto" w:fill="auto"/>
          </w:tcPr>
          <w:p w14:paraId="043A68EB"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The Options Clearing Corporation</w:t>
            </w:r>
          </w:p>
        </w:tc>
        <w:tc>
          <w:tcPr>
            <w:tcW w:w="3261" w:type="dxa"/>
            <w:shd w:val="clear" w:color="auto" w:fill="auto"/>
          </w:tcPr>
          <w:p w14:paraId="4FD7B013"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208AA54B"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US</w:t>
            </w:r>
          </w:p>
        </w:tc>
      </w:tr>
      <w:tr w:rsidR="003B1768" w:rsidRPr="00AA22B7" w14:paraId="49632602" w14:textId="77777777" w:rsidTr="00AA22B7">
        <w:trPr>
          <w:trHeight w:val="567"/>
        </w:trPr>
        <w:tc>
          <w:tcPr>
            <w:tcW w:w="4644" w:type="dxa"/>
            <w:shd w:val="clear" w:color="auto" w:fill="auto"/>
          </w:tcPr>
          <w:p w14:paraId="03F0AA57"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The SEHK Options Clearing House Limited</w:t>
            </w:r>
          </w:p>
        </w:tc>
        <w:tc>
          <w:tcPr>
            <w:tcW w:w="3261" w:type="dxa"/>
            <w:shd w:val="clear" w:color="auto" w:fill="auto"/>
          </w:tcPr>
          <w:p w14:paraId="42C38035"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213800NAOHHKRD9IHE35</w:t>
            </w:r>
          </w:p>
        </w:tc>
        <w:tc>
          <w:tcPr>
            <w:tcW w:w="1307" w:type="dxa"/>
            <w:shd w:val="clear" w:color="auto" w:fill="auto"/>
          </w:tcPr>
          <w:p w14:paraId="611A4F5A"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HK</w:t>
            </w:r>
          </w:p>
        </w:tc>
      </w:tr>
      <w:tr w:rsidR="003B1768" w:rsidRPr="00AA22B7" w14:paraId="0767C6A3" w14:textId="77777777" w:rsidTr="00AA22B7">
        <w:trPr>
          <w:trHeight w:val="567"/>
        </w:trPr>
        <w:tc>
          <w:tcPr>
            <w:tcW w:w="4644" w:type="dxa"/>
            <w:shd w:val="clear" w:color="auto" w:fill="auto"/>
          </w:tcPr>
          <w:p w14:paraId="7BB5ED4B" w14:textId="77777777" w:rsidR="003B1768" w:rsidRPr="00AA22B7" w:rsidRDefault="00394A94" w:rsidP="005B5271">
            <w:pPr>
              <w:spacing w:before="360" w:after="240"/>
              <w:rPr>
                <w:rStyle w:val="Jegyzethivatkozs"/>
                <w:snapToGrid/>
                <w:lang w:eastAsia="en-US"/>
              </w:rPr>
            </w:pPr>
            <w:proofErr w:type="spellStart"/>
            <w:r w:rsidRPr="00AA22B7">
              <w:rPr>
                <w:rStyle w:val="Jegyzethivatkozs"/>
                <w:snapToGrid/>
                <w:lang w:eastAsia="en-US"/>
              </w:rPr>
              <w:t>TMX</w:t>
            </w:r>
            <w:proofErr w:type="spellEnd"/>
            <w:r w:rsidRPr="00AA22B7">
              <w:rPr>
                <w:rStyle w:val="Jegyzethivatkozs"/>
                <w:snapToGrid/>
                <w:lang w:eastAsia="en-US"/>
              </w:rPr>
              <w:t xml:space="preserve"> Group</w:t>
            </w:r>
          </w:p>
        </w:tc>
        <w:tc>
          <w:tcPr>
            <w:tcW w:w="3261" w:type="dxa"/>
            <w:shd w:val="clear" w:color="auto" w:fill="auto"/>
          </w:tcPr>
          <w:p w14:paraId="0D5D5CE5"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51C18067"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CA</w:t>
            </w:r>
          </w:p>
        </w:tc>
      </w:tr>
      <w:tr w:rsidR="003B1768" w:rsidRPr="00AA22B7" w14:paraId="7F4BB9AA" w14:textId="77777777" w:rsidTr="00AA22B7">
        <w:trPr>
          <w:trHeight w:val="567"/>
        </w:trPr>
        <w:tc>
          <w:tcPr>
            <w:tcW w:w="4644" w:type="dxa"/>
            <w:shd w:val="clear" w:color="auto" w:fill="auto"/>
          </w:tcPr>
          <w:p w14:paraId="333C1F2D"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Tokyo Exchange Grp</w:t>
            </w:r>
          </w:p>
        </w:tc>
        <w:tc>
          <w:tcPr>
            <w:tcW w:w="3261" w:type="dxa"/>
            <w:shd w:val="clear" w:color="auto" w:fill="auto"/>
          </w:tcPr>
          <w:p w14:paraId="2484D186"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1666C2CC"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JP</w:t>
            </w:r>
          </w:p>
        </w:tc>
      </w:tr>
      <w:tr w:rsidR="003B1768" w:rsidRPr="00AA22B7" w14:paraId="37A505E6" w14:textId="77777777" w:rsidTr="00AA22B7">
        <w:trPr>
          <w:trHeight w:val="567"/>
        </w:trPr>
        <w:tc>
          <w:tcPr>
            <w:tcW w:w="4644" w:type="dxa"/>
            <w:shd w:val="clear" w:color="auto" w:fill="auto"/>
          </w:tcPr>
          <w:p w14:paraId="171E9962"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Tokyo Financial Exchange, Inc.</w:t>
            </w:r>
          </w:p>
        </w:tc>
        <w:tc>
          <w:tcPr>
            <w:tcW w:w="3261" w:type="dxa"/>
            <w:shd w:val="clear" w:color="auto" w:fill="auto"/>
          </w:tcPr>
          <w:p w14:paraId="0BEF0A5D" w14:textId="77777777" w:rsidR="003B1768" w:rsidRPr="00AA22B7" w:rsidRDefault="003B1768" w:rsidP="005B5271">
            <w:pPr>
              <w:spacing w:before="360" w:after="240"/>
              <w:rPr>
                <w:rStyle w:val="Jegyzethivatkozs"/>
                <w:snapToGrid/>
                <w:lang w:eastAsia="en-US"/>
              </w:rPr>
            </w:pPr>
          </w:p>
        </w:tc>
        <w:tc>
          <w:tcPr>
            <w:tcW w:w="1307" w:type="dxa"/>
            <w:shd w:val="clear" w:color="auto" w:fill="auto"/>
          </w:tcPr>
          <w:p w14:paraId="6C6D4961" w14:textId="77777777" w:rsidR="003B1768" w:rsidRPr="00AA22B7" w:rsidRDefault="00394A94" w:rsidP="005B5271">
            <w:pPr>
              <w:spacing w:before="360" w:after="240"/>
              <w:rPr>
                <w:rStyle w:val="Jegyzethivatkozs"/>
                <w:snapToGrid/>
                <w:lang w:eastAsia="en-US"/>
              </w:rPr>
            </w:pPr>
            <w:r w:rsidRPr="00AA22B7">
              <w:rPr>
                <w:rStyle w:val="Jegyzethivatkozs"/>
                <w:snapToGrid/>
                <w:lang w:eastAsia="en-US"/>
              </w:rPr>
              <w:t>JP</w:t>
            </w:r>
          </w:p>
        </w:tc>
      </w:tr>
    </w:tbl>
    <w:p w14:paraId="50E0258A" w14:textId="77777777" w:rsidR="00700B15" w:rsidRDefault="00700B15" w:rsidP="00CB7D0C">
      <w:pPr>
        <w:spacing w:before="360" w:after="240"/>
        <w:rPr>
          <w:rStyle w:val="Jegyzethivatkozs"/>
          <w:snapToGrid/>
          <w:sz w:val="22"/>
          <w:szCs w:val="22"/>
          <w:lang w:eastAsia="en-US"/>
        </w:rPr>
      </w:pPr>
    </w:p>
    <w:p w14:paraId="420D08EF" w14:textId="77777777" w:rsidR="005E7175" w:rsidRDefault="00700B15" w:rsidP="00AA22B7">
      <w:pPr>
        <w:pStyle w:val="IndentedHeading1"/>
        <w:numPr>
          <w:ilvl w:val="0"/>
          <w:numId w:val="44"/>
        </w:numPr>
        <w:spacing w:after="0"/>
        <w:rPr>
          <w:b w:val="0"/>
          <w:bCs/>
          <w:szCs w:val="26"/>
        </w:rPr>
      </w:pPr>
      <w:r>
        <w:rPr>
          <w:rStyle w:val="Jegyzethivatkozs"/>
          <w:sz w:val="22"/>
          <w:szCs w:val="22"/>
          <w:lang w:eastAsia="en-US"/>
        </w:rPr>
        <w:br w:type="page"/>
      </w:r>
      <w:r w:rsidR="005E7175" w:rsidRPr="00AA22B7">
        <w:rPr>
          <w:bCs/>
          <w:szCs w:val="24"/>
          <w:lang w:val="hu"/>
        </w:rPr>
        <w:t xml:space="preserve"> </w:t>
      </w:r>
      <w:bookmarkStart w:id="36" w:name="_Toc89264425"/>
      <w:r w:rsidR="005E7175" w:rsidRPr="00AA22B7">
        <w:rPr>
          <w:bCs/>
          <w:szCs w:val="24"/>
          <w:lang w:val="hu"/>
        </w:rPr>
        <w:t>melléklet Definíciók</w:t>
      </w:r>
      <w:bookmarkEnd w:id="36"/>
      <w:r w:rsidR="005E7175">
        <w:rPr>
          <w:b w:val="0"/>
          <w:bCs/>
          <w:szCs w:val="26"/>
          <w:lang w:val="hu"/>
        </w:rPr>
        <w:t xml:space="preserve"> </w:t>
      </w:r>
    </w:p>
    <w:p w14:paraId="091C7E96" w14:textId="77777777" w:rsidR="005E7175" w:rsidRDefault="005E7175" w:rsidP="005E7175">
      <w:pPr>
        <w:pStyle w:val="Default"/>
        <w:rPr>
          <w:sz w:val="26"/>
          <w:szCs w:val="26"/>
        </w:rPr>
      </w:pPr>
    </w:p>
    <w:p w14:paraId="2530F817" w14:textId="77777777" w:rsidR="005E7175" w:rsidRPr="00AA22B7" w:rsidRDefault="005E7175" w:rsidP="005E7175">
      <w:pPr>
        <w:pStyle w:val="Default"/>
        <w:jc w:val="both"/>
        <w:rPr>
          <w:i/>
          <w:iCs/>
          <w:sz w:val="22"/>
          <w:szCs w:val="22"/>
        </w:rPr>
      </w:pPr>
      <w:r w:rsidRPr="00AA22B7">
        <w:rPr>
          <w:i/>
          <w:iCs/>
          <w:sz w:val="22"/>
          <w:szCs w:val="22"/>
          <w:lang w:val="hu"/>
        </w:rPr>
        <w:t xml:space="preserve">Pénzügyi közvetítő vállalatok és speciális célú vállalatok </w:t>
      </w:r>
    </w:p>
    <w:p w14:paraId="62AA5BA7" w14:textId="77777777" w:rsidR="005E7175" w:rsidRPr="00AA22B7" w:rsidRDefault="005E7175" w:rsidP="005E7175">
      <w:pPr>
        <w:pStyle w:val="Default"/>
        <w:jc w:val="both"/>
        <w:rPr>
          <w:sz w:val="22"/>
          <w:szCs w:val="22"/>
        </w:rPr>
      </w:pPr>
    </w:p>
    <w:p w14:paraId="3C8AF294" w14:textId="77777777" w:rsidR="005E7175" w:rsidRPr="00AA22B7" w:rsidRDefault="005E7175" w:rsidP="005E7175">
      <w:pPr>
        <w:pStyle w:val="Default"/>
        <w:jc w:val="both"/>
        <w:rPr>
          <w:sz w:val="22"/>
          <w:szCs w:val="22"/>
        </w:rPr>
      </w:pPr>
      <w:r w:rsidRPr="00AA22B7">
        <w:rPr>
          <w:b/>
          <w:bCs/>
          <w:sz w:val="22"/>
          <w:szCs w:val="22"/>
          <w:lang w:val="hu"/>
        </w:rPr>
        <w:t xml:space="preserve">Az amerikai Fed általi meghatározás: </w:t>
      </w:r>
      <w:r w:rsidRPr="00AA22B7">
        <w:rPr>
          <w:sz w:val="22"/>
          <w:szCs w:val="22"/>
          <w:lang w:val="hu"/>
        </w:rPr>
        <w:t>A speciális célú vállalat (</w:t>
      </w:r>
      <w:proofErr w:type="spellStart"/>
      <w:r w:rsidRPr="00AA22B7">
        <w:rPr>
          <w:sz w:val="22"/>
          <w:szCs w:val="22"/>
          <w:lang w:val="hu"/>
        </w:rPr>
        <w:t>SPV</w:t>
      </w:r>
      <w:proofErr w:type="spellEnd"/>
      <w:r w:rsidRPr="00AA22B7">
        <w:rPr>
          <w:sz w:val="22"/>
          <w:szCs w:val="22"/>
          <w:lang w:val="hu"/>
        </w:rPr>
        <w:t xml:space="preserve">) olyan jogalany, amely megfelel az alábbi </w:t>
      </w:r>
      <w:r w:rsidRPr="00AA22B7">
        <w:rPr>
          <w:i/>
          <w:iCs/>
          <w:sz w:val="22"/>
          <w:szCs w:val="22"/>
          <w:lang w:val="hu"/>
        </w:rPr>
        <w:t>mindkét</w:t>
      </w:r>
      <w:r w:rsidRPr="00AA22B7">
        <w:rPr>
          <w:sz w:val="22"/>
          <w:szCs w:val="22"/>
          <w:lang w:val="hu"/>
        </w:rPr>
        <w:t xml:space="preserve"> feltételnek: (a) világosan megkülönböztethető jogalany; és (b) engedélyezett tevékenységei jelentősen korlátozottak, és teljes mértékben az </w:t>
      </w:r>
      <w:proofErr w:type="spellStart"/>
      <w:r w:rsidRPr="00AA22B7">
        <w:rPr>
          <w:sz w:val="22"/>
          <w:szCs w:val="22"/>
          <w:lang w:val="hu"/>
        </w:rPr>
        <w:t>SPV</w:t>
      </w:r>
      <w:proofErr w:type="spellEnd"/>
      <w:r w:rsidRPr="00AA22B7">
        <w:rPr>
          <w:sz w:val="22"/>
          <w:szCs w:val="22"/>
          <w:lang w:val="hu"/>
        </w:rPr>
        <w:t xml:space="preserve">-t létrehozó jogi dokumentumokban vannak meghatározva. </w:t>
      </w:r>
    </w:p>
    <w:p w14:paraId="3988FA99" w14:textId="77777777" w:rsidR="005E7175" w:rsidRPr="00AA22B7" w:rsidRDefault="005E7175" w:rsidP="005E7175">
      <w:pPr>
        <w:pStyle w:val="Default"/>
        <w:jc w:val="both"/>
        <w:rPr>
          <w:sz w:val="22"/>
          <w:szCs w:val="22"/>
        </w:rPr>
      </w:pPr>
    </w:p>
    <w:p w14:paraId="57028976" w14:textId="77777777" w:rsidR="005E7175" w:rsidRPr="00AA22B7" w:rsidRDefault="005E7175" w:rsidP="005E7175">
      <w:pPr>
        <w:pStyle w:val="Default"/>
        <w:jc w:val="both"/>
        <w:rPr>
          <w:sz w:val="22"/>
          <w:szCs w:val="22"/>
        </w:rPr>
      </w:pPr>
      <w:r w:rsidRPr="00AA22B7">
        <w:rPr>
          <w:b/>
          <w:bCs/>
          <w:sz w:val="22"/>
          <w:szCs w:val="22"/>
          <w:lang w:val="hu"/>
        </w:rPr>
        <w:t xml:space="preserve">Az EKB általi meghatározás: </w:t>
      </w:r>
      <w:r w:rsidRPr="00AA22B7">
        <w:rPr>
          <w:sz w:val="22"/>
          <w:szCs w:val="22"/>
          <w:lang w:val="hu"/>
        </w:rPr>
        <w:t>A pénzügyi közvetítő társaságok (</w:t>
      </w:r>
      <w:proofErr w:type="spellStart"/>
      <w:r w:rsidRPr="00AA22B7">
        <w:rPr>
          <w:sz w:val="22"/>
          <w:szCs w:val="22"/>
          <w:lang w:val="hu"/>
        </w:rPr>
        <w:t>FVC</w:t>
      </w:r>
      <w:proofErr w:type="spellEnd"/>
      <w:r w:rsidRPr="00AA22B7">
        <w:rPr>
          <w:sz w:val="22"/>
          <w:szCs w:val="22"/>
          <w:lang w:val="hu"/>
        </w:rPr>
        <w:t xml:space="preserve">-k) olyan vállalkozások, amelyek fő tevékenysége megfelel az alábbi mindkét feltételnek: (a) </w:t>
      </w:r>
      <w:proofErr w:type="spellStart"/>
      <w:r w:rsidRPr="00AA22B7">
        <w:rPr>
          <w:sz w:val="22"/>
          <w:szCs w:val="22"/>
          <w:lang w:val="hu"/>
        </w:rPr>
        <w:t>értékpapírosítási</w:t>
      </w:r>
      <w:proofErr w:type="spellEnd"/>
      <w:r w:rsidRPr="00AA22B7">
        <w:rPr>
          <w:sz w:val="22"/>
          <w:szCs w:val="22"/>
          <w:lang w:val="hu"/>
        </w:rPr>
        <w:t xml:space="preserve"> ügyletek végrehajtása, és amelyek elhatárolódnak az eszközátruházó csődjének vagy egyéb nemteljesítésének kockázatától; és b) értékpapírok, értékpapír alapok befektetési jegyei, egyéb adósságinstrumentumok és/vagy pénzügyi származékos ügyletek kibocsátása, és/vagy olyan értékpapírok, értékpapír alap befektetési jegyek, egyéb adósságinstrumentumok és/vagy pénzügyi származékos ügyeletek kibocsátásának alapjául szolgáló eszközök jogi vagy gazdasági tulajdonlása, amelyeket nyilvános értékesítésre kínálnak vagy zártkörű kihelyezés útján értékesítenek. </w:t>
      </w:r>
    </w:p>
    <w:p w14:paraId="17605175" w14:textId="77777777" w:rsidR="005E7175" w:rsidRPr="00AA22B7" w:rsidRDefault="005E7175" w:rsidP="005E7175">
      <w:pPr>
        <w:pStyle w:val="Default"/>
        <w:jc w:val="both"/>
        <w:rPr>
          <w:sz w:val="22"/>
          <w:szCs w:val="22"/>
        </w:rPr>
      </w:pPr>
    </w:p>
    <w:p w14:paraId="6521A3F5" w14:textId="77777777" w:rsidR="005E7175" w:rsidRPr="00AA22B7" w:rsidRDefault="005E7175" w:rsidP="005E7175">
      <w:pPr>
        <w:pStyle w:val="Default"/>
        <w:jc w:val="both"/>
        <w:rPr>
          <w:sz w:val="22"/>
          <w:szCs w:val="22"/>
        </w:rPr>
      </w:pPr>
      <w:r w:rsidRPr="00AA22B7">
        <w:rPr>
          <w:i/>
          <w:iCs/>
          <w:sz w:val="22"/>
          <w:szCs w:val="22"/>
          <w:lang w:val="hu"/>
        </w:rPr>
        <w:t xml:space="preserve">Eszközfedezetű értékpapírok </w:t>
      </w:r>
    </w:p>
    <w:p w14:paraId="569BDF85" w14:textId="77777777" w:rsidR="005E7175" w:rsidRPr="00647C8D" w:rsidRDefault="005E7175" w:rsidP="005E7175">
      <w:pPr>
        <w:spacing w:before="360" w:after="240"/>
        <w:jc w:val="both"/>
        <w:rPr>
          <w:rStyle w:val="Jegyzethivatkozs"/>
          <w:snapToGrid/>
          <w:sz w:val="22"/>
          <w:szCs w:val="22"/>
          <w:lang w:val="hu"/>
        </w:rPr>
      </w:pPr>
      <w:r w:rsidRPr="00AA22B7">
        <w:rPr>
          <w:szCs w:val="22"/>
          <w:lang w:val="hu"/>
        </w:rPr>
        <w:t>Az eszközfedezetű értékpapírok (</w:t>
      </w:r>
      <w:proofErr w:type="spellStart"/>
      <w:r w:rsidRPr="00AA22B7">
        <w:rPr>
          <w:szCs w:val="22"/>
          <w:lang w:val="hu"/>
        </w:rPr>
        <w:t>ABS</w:t>
      </w:r>
      <w:proofErr w:type="spellEnd"/>
      <w:r w:rsidRPr="00AA22B7">
        <w:rPr>
          <w:szCs w:val="22"/>
          <w:lang w:val="hu"/>
        </w:rPr>
        <w:t xml:space="preserve">) olyan hitelviszonyt megtestesítő eszközök, amelyek mögött olyan elkülönített (fix lejáratú vagy </w:t>
      </w:r>
      <w:proofErr w:type="spellStart"/>
      <w:r w:rsidRPr="00AA22B7">
        <w:rPr>
          <w:szCs w:val="22"/>
          <w:lang w:val="hu"/>
        </w:rPr>
        <w:t>rulírozó</w:t>
      </w:r>
      <w:proofErr w:type="spellEnd"/>
      <w:r w:rsidRPr="00AA22B7">
        <w:rPr>
          <w:szCs w:val="22"/>
          <w:lang w:val="hu"/>
        </w:rPr>
        <w:t>) pénzügyi eszközöket tartalmazó alapok állnak, amelyeket meghatározott időn belül készpénzre vál</w:t>
      </w:r>
      <w:r>
        <w:rPr>
          <w:szCs w:val="22"/>
          <w:lang w:val="hu"/>
        </w:rPr>
        <w:t>thatóa</w:t>
      </w:r>
      <w:r w:rsidRPr="00AA22B7">
        <w:rPr>
          <w:szCs w:val="22"/>
          <w:lang w:val="hu"/>
        </w:rPr>
        <w:t xml:space="preserve">k. Ezenkívül létezhetnek olyan jogok vagy egyéb eszközök, amelyek biztosítják az értékpapír tulajdonosai számára a bevételek kifizetését vagy időben történő felosztását. Az </w:t>
      </w:r>
      <w:proofErr w:type="spellStart"/>
      <w:r w:rsidRPr="00AA22B7">
        <w:rPr>
          <w:szCs w:val="22"/>
          <w:lang w:val="hu"/>
        </w:rPr>
        <w:t>ABS</w:t>
      </w:r>
      <w:proofErr w:type="spellEnd"/>
      <w:r w:rsidRPr="00AA22B7">
        <w:rPr>
          <w:szCs w:val="22"/>
          <w:lang w:val="hu"/>
        </w:rPr>
        <w:t xml:space="preserve">-t általában egy külön erre a célra létrehozott befektetési eszköz bocsátja ki, amely a pénzügyi eszközöket tartalmazó alapot az eszközátruházótól/eladótól szerezte meg. Ebben a tekintetben az értékpapírra vonatkozó kifizetések elsősorban a mögöttes eszközállományban lévő eszközök által generált pénzáramlásoktól és az időben történő kifizetést biztosító egyéb jogoktól, például likviditási lehetőségektől, garanciáktól vagy más, általában a hitelminőség javításaként ismert jellemzőktől </w:t>
      </w:r>
      <w:r w:rsidR="00AF20C0" w:rsidRPr="00AA22B7">
        <w:rPr>
          <w:szCs w:val="22"/>
          <w:lang w:val="hu"/>
        </w:rPr>
        <w:t>függenek</w:t>
      </w:r>
      <w:r w:rsidRPr="00AA22B7">
        <w:rPr>
          <w:szCs w:val="22"/>
          <w:lang w:val="hu"/>
        </w:rPr>
        <w:t>.</w:t>
      </w:r>
    </w:p>
    <w:p w14:paraId="34DAD246" w14:textId="77777777" w:rsidR="00806EC0" w:rsidRPr="009452AF" w:rsidRDefault="00806EC0" w:rsidP="00AA22B7">
      <w:pPr>
        <w:pStyle w:val="Default"/>
        <w:rPr>
          <w:rStyle w:val="Jegyzethivatkozs"/>
          <w:sz w:val="22"/>
          <w:szCs w:val="22"/>
          <w:lang w:eastAsia="en-US"/>
        </w:rPr>
      </w:pPr>
    </w:p>
    <w:sectPr w:rsidR="00806EC0" w:rsidRPr="009452AF">
      <w:footerReference w:type="even" r:id="rId14"/>
      <w:footerReference w:type="default" r:id="rId15"/>
      <w:footerReference w:type="first" r:id="rId16"/>
      <w:pgSz w:w="11907" w:h="16840" w:code="9"/>
      <w:pgMar w:top="1418" w:right="1134" w:bottom="1418" w:left="1134" w:header="708" w:footer="708" w:gutter="567"/>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A1E3" w14:textId="77777777" w:rsidR="002620FD" w:rsidRDefault="002620FD">
      <w:pPr>
        <w:rPr>
          <w:szCs w:val="24"/>
        </w:rPr>
      </w:pPr>
      <w:r>
        <w:rPr>
          <w:szCs w:val="24"/>
        </w:rPr>
        <w:separator/>
      </w:r>
    </w:p>
  </w:endnote>
  <w:endnote w:type="continuationSeparator" w:id="0">
    <w:p w14:paraId="44EC3A0B" w14:textId="77777777" w:rsidR="002620FD" w:rsidRDefault="002620FD">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853"/>
      <w:gridCol w:w="8219"/>
    </w:tblGrid>
    <w:tr w:rsidR="000733F0" w14:paraId="64556C2D" w14:textId="77777777">
      <w:tblPrEx>
        <w:tblCellMar>
          <w:top w:w="0" w:type="dxa"/>
          <w:left w:w="0" w:type="dxa"/>
          <w:bottom w:w="0" w:type="dxa"/>
          <w:right w:w="0" w:type="dxa"/>
        </w:tblCellMar>
      </w:tblPrEx>
      <w:trPr>
        <w:cantSplit/>
        <w:trHeight w:val="160"/>
      </w:trPr>
      <w:tc>
        <w:tcPr>
          <w:tcW w:w="853" w:type="dxa"/>
          <w:vAlign w:val="bottom"/>
        </w:tcPr>
        <w:p w14:paraId="30313647" w14:textId="77777777" w:rsidR="000733F0" w:rsidRDefault="000733F0">
          <w:pPr>
            <w:pStyle w:val="PageNumbereven"/>
            <w:rPr>
              <w:szCs w:val="24"/>
            </w:rPr>
          </w:pPr>
        </w:p>
      </w:tc>
      <w:tc>
        <w:tcPr>
          <w:tcW w:w="8219" w:type="dxa"/>
          <w:tcBorders>
            <w:left w:val="nil"/>
          </w:tcBorders>
          <w:vAlign w:val="bottom"/>
        </w:tcPr>
        <w:p w14:paraId="6AFC18EF" w14:textId="77777777" w:rsidR="000733F0" w:rsidRDefault="000733F0">
          <w:pPr>
            <w:pStyle w:val="FootertextEven"/>
            <w:rPr>
              <w:szCs w:val="24"/>
            </w:rPr>
          </w:pPr>
        </w:p>
      </w:tc>
    </w:tr>
  </w:tbl>
  <w:p w14:paraId="3C23F528" w14:textId="77777777" w:rsidR="000733F0" w:rsidRDefault="000733F0">
    <w:pPr>
      <w:pStyle w:val="Footerempty"/>
      <w:rPr>
        <w:szCs w:val="24"/>
      </w:rPr>
    </w:pPr>
  </w:p>
  <w:p w14:paraId="4A80CE35" w14:textId="77777777" w:rsidR="000733F0" w:rsidRDefault="000733F0">
    <w:pPr>
      <w:pStyle w:val="Footerempty"/>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B9C1" w14:textId="77777777" w:rsidR="000733F0" w:rsidRDefault="000733F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9B83" w14:textId="77777777" w:rsidR="000733F0" w:rsidRDefault="000733F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853"/>
      <w:gridCol w:w="8219"/>
    </w:tblGrid>
    <w:tr w:rsidR="000733F0" w14:paraId="625C91A0" w14:textId="77777777">
      <w:tblPrEx>
        <w:tblCellMar>
          <w:top w:w="0" w:type="dxa"/>
          <w:left w:w="0" w:type="dxa"/>
          <w:bottom w:w="0" w:type="dxa"/>
          <w:right w:w="0" w:type="dxa"/>
        </w:tblCellMar>
      </w:tblPrEx>
      <w:trPr>
        <w:cantSplit/>
        <w:trHeight w:val="160"/>
      </w:trPr>
      <w:tc>
        <w:tcPr>
          <w:tcW w:w="853" w:type="dxa"/>
          <w:vAlign w:val="bottom"/>
        </w:tcPr>
        <w:p w14:paraId="6570E14B" w14:textId="77777777" w:rsidR="000733F0" w:rsidRDefault="000733F0">
          <w:pPr>
            <w:pStyle w:val="PageNumbereven"/>
            <w:rPr>
              <w:szCs w:val="24"/>
              <w:lang w:val="hu-HU"/>
            </w:rPr>
          </w:pPr>
        </w:p>
      </w:tc>
      <w:tc>
        <w:tcPr>
          <w:tcW w:w="8219" w:type="dxa"/>
          <w:tcBorders>
            <w:left w:val="nil"/>
          </w:tcBorders>
          <w:vAlign w:val="bottom"/>
        </w:tcPr>
        <w:p w14:paraId="367FDD61" w14:textId="77777777" w:rsidR="000733F0" w:rsidRDefault="000733F0">
          <w:pPr>
            <w:pStyle w:val="FootertextEven"/>
            <w:rPr>
              <w:szCs w:val="24"/>
              <w:lang w:val="hu-HU"/>
            </w:rPr>
          </w:pPr>
        </w:p>
      </w:tc>
    </w:tr>
  </w:tbl>
  <w:p w14:paraId="144B9A98" w14:textId="77777777" w:rsidR="000733F0" w:rsidRDefault="000733F0">
    <w:pPr>
      <w:pStyle w:val="Footerempty"/>
      <w:rPr>
        <w:szCs w:val="24"/>
        <w:lang w:val="hu-HU"/>
      </w:rPr>
    </w:pPr>
  </w:p>
  <w:p w14:paraId="3376692D" w14:textId="77777777" w:rsidR="000733F0" w:rsidRPr="009452AF" w:rsidRDefault="000733F0">
    <w:pPr>
      <w:pStyle w:val="Footerempty"/>
      <w:rPr>
        <w:szCs w:val="24"/>
        <w:lang w:val="hu-H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DDC4" w14:textId="77777777" w:rsidR="000733F0" w:rsidRDefault="000733F0">
    <w:pPr>
      <w:pStyle w:val="llb"/>
      <w:jc w:val="right"/>
    </w:pPr>
    <w:r>
      <w:fldChar w:fldCharType="begin"/>
    </w:r>
    <w:r>
      <w:instrText xml:space="preserve"> PAGE   \* MERGEFORMAT </w:instrText>
    </w:r>
    <w:r>
      <w:fldChar w:fldCharType="separate"/>
    </w:r>
    <w:r w:rsidR="00C1180A">
      <w:rPr>
        <w:noProof/>
      </w:rPr>
      <w:t>19</w:t>
    </w:r>
    <w:r>
      <w:fldChar w:fldCharType="end"/>
    </w:r>
  </w:p>
  <w:p w14:paraId="301BB18C" w14:textId="77777777" w:rsidR="000733F0" w:rsidRDefault="000733F0">
    <w:pPr>
      <w:pStyle w:val="Footerempty"/>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E510" w14:textId="77777777" w:rsidR="000733F0" w:rsidRDefault="000733F0">
    <w:pPr>
      <w:pStyle w:val="llb"/>
      <w:jc w:val="right"/>
    </w:pPr>
    <w:r>
      <w:fldChar w:fldCharType="begin"/>
    </w:r>
    <w:r>
      <w:instrText xml:space="preserve"> PAGE   \* MERGEFORMAT </w:instrText>
    </w:r>
    <w:r>
      <w:fldChar w:fldCharType="separate"/>
    </w:r>
    <w:r w:rsidR="00C1180A">
      <w:rPr>
        <w:noProof/>
      </w:rPr>
      <w:t>1</w:t>
    </w:r>
    <w:r>
      <w:fldChar w:fldCharType="end"/>
    </w:r>
  </w:p>
  <w:p w14:paraId="10A56843" w14:textId="77777777" w:rsidR="000733F0" w:rsidRDefault="000733F0">
    <w:pPr>
      <w:pStyle w:val="Footerempty"/>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0758" w14:textId="77777777" w:rsidR="002620FD" w:rsidRDefault="002620FD">
      <w:pPr>
        <w:pStyle w:val="FootnoteSeparator"/>
        <w:rPr>
          <w:szCs w:val="24"/>
        </w:rPr>
      </w:pPr>
      <w:r>
        <w:rPr>
          <w:szCs w:val="24"/>
        </w:rPr>
        <w:separator/>
      </w:r>
    </w:p>
    <w:p w14:paraId="6DA48299" w14:textId="77777777" w:rsidR="002620FD" w:rsidRDefault="002620FD">
      <w:pPr>
        <w:rPr>
          <w:szCs w:val="24"/>
        </w:rPr>
      </w:pPr>
    </w:p>
  </w:footnote>
  <w:footnote w:type="continuationSeparator" w:id="0">
    <w:p w14:paraId="5284B30B" w14:textId="77777777" w:rsidR="002620FD" w:rsidRDefault="002620FD">
      <w:pPr>
        <w:pStyle w:val="FootnoteSeparator"/>
        <w:rPr>
          <w:szCs w:val="24"/>
        </w:rPr>
      </w:pPr>
      <w:r>
        <w:rPr>
          <w:szCs w:val="24"/>
        </w:rPr>
        <w:continuationSeparator/>
      </w:r>
    </w:p>
    <w:p w14:paraId="47D59A3E" w14:textId="77777777" w:rsidR="002620FD" w:rsidRDefault="002620FD">
      <w:pPr>
        <w:rPr>
          <w:szCs w:val="24"/>
        </w:rPr>
      </w:pPr>
    </w:p>
  </w:footnote>
  <w:footnote w:type="continuationNotice" w:id="1">
    <w:p w14:paraId="39EE8A94" w14:textId="77777777" w:rsidR="002620FD" w:rsidRDefault="002620FD">
      <w:pPr>
        <w:pStyle w:val="Lbjegyzetszveg"/>
        <w:rPr>
          <w:szCs w:val="24"/>
        </w:rPr>
      </w:pPr>
    </w:p>
    <w:p w14:paraId="0F47324D" w14:textId="77777777" w:rsidR="002620FD" w:rsidRDefault="002620FD">
      <w:pPr>
        <w:rPr>
          <w:szCs w:val="24"/>
        </w:rPr>
      </w:pPr>
    </w:p>
  </w:footnote>
  <w:footnote w:id="2">
    <w:p w14:paraId="25ACD027" w14:textId="77777777" w:rsidR="00A856BF" w:rsidRDefault="00A856BF" w:rsidP="00A856BF">
      <w:pPr>
        <w:pStyle w:val="Lbjegyzetszveg"/>
        <w:rPr>
          <w:szCs w:val="24"/>
        </w:rPr>
      </w:pPr>
      <w:r>
        <w:rPr>
          <w:rStyle w:val="Lbjegyzet-hivatkozs"/>
          <w:szCs w:val="24"/>
        </w:rPr>
        <w:footnoteRef/>
      </w:r>
      <w:r>
        <w:rPr>
          <w:szCs w:val="24"/>
        </w:rPr>
        <w:tab/>
      </w:r>
      <w:r>
        <w:rPr>
          <w:szCs w:val="24"/>
          <w:lang w:val="hu-HU"/>
        </w:rPr>
        <w:t>Ausztrália, Belgium, Kanada, Franciaország, Németország, Olaszország, Japán, Hollandia, Spanyolország, Svédország, Svájc, Egyesült Királyság és az Egyesült Államok.</w:t>
      </w:r>
      <w:r>
        <w:rPr>
          <w:szCs w:val="24"/>
        </w:rPr>
        <w:t xml:space="preserve"> </w:t>
      </w:r>
    </w:p>
  </w:footnote>
  <w:footnote w:id="3">
    <w:p w14:paraId="71BA3EB5" w14:textId="77777777" w:rsidR="00A75899" w:rsidRPr="000754A9" w:rsidRDefault="00A75899">
      <w:pPr>
        <w:pStyle w:val="Lbjegyzetszveg"/>
        <w:rPr>
          <w:lang w:val="hu-HU"/>
        </w:rPr>
      </w:pPr>
      <w:r w:rsidRPr="00D62759">
        <w:rPr>
          <w:rStyle w:val="Lbjegyzet-hivatkozs"/>
        </w:rPr>
        <w:footnoteRef/>
      </w:r>
      <w:r w:rsidRPr="00AA22B7">
        <w:t xml:space="preserve"> </w:t>
      </w:r>
      <w:r w:rsidR="00D62759" w:rsidRPr="00AA22B7">
        <w:rPr>
          <w:szCs w:val="18"/>
          <w:lang w:val="hu"/>
        </w:rPr>
        <w:t xml:space="preserve">A </w:t>
      </w:r>
      <w:proofErr w:type="spellStart"/>
      <w:r w:rsidR="00D62759" w:rsidRPr="00AA22B7">
        <w:rPr>
          <w:i/>
          <w:iCs/>
          <w:szCs w:val="18"/>
          <w:lang w:val="hu"/>
        </w:rPr>
        <w:t>BIS</w:t>
      </w:r>
      <w:proofErr w:type="spellEnd"/>
      <w:r w:rsidR="00D62759" w:rsidRPr="00AA22B7">
        <w:rPr>
          <w:i/>
          <w:iCs/>
          <w:szCs w:val="18"/>
          <w:lang w:val="hu"/>
        </w:rPr>
        <w:t xml:space="preserve"> konszolidált bankstatisztikájában</w:t>
      </w:r>
      <w:r w:rsidR="00D62759" w:rsidRPr="00AA22B7">
        <w:rPr>
          <w:szCs w:val="18"/>
          <w:lang w:val="hu"/>
        </w:rPr>
        <w:t xml:space="preserve"> E típusba sorolt bankokat a Háromévenkénti Felmérés (D25) még nem teljesített része tekintetében adatszolgáltatóként kell szerepeltetni. Ezek a bankok olyan fióktelepek vagy leányvállalatok, amelyek valamely adatszolgáltató országban találhatók, és amelyek tevékenységét nem konszolidálja egy másik adatszolgáltató országban lévő, ellenőrzést gyakorló anyavállalat. Az anyavállalat jellemzően olyan nem banki intézmény, amely nem vesz részt a Háromévenkénti Felmérés D25 részében a saját országában.</w:t>
      </w:r>
      <w:r w:rsidR="00D62759">
        <w:rPr>
          <w:szCs w:val="18"/>
          <w:lang w:val="hu"/>
        </w:rPr>
        <w:t xml:space="preserve"> </w:t>
      </w:r>
      <w:r w:rsidR="00D62759">
        <w:rPr>
          <w:lang w:val="hu"/>
        </w:rPr>
        <w:t xml:space="preserve"> </w:t>
      </w:r>
    </w:p>
  </w:footnote>
  <w:footnote w:id="4">
    <w:p w14:paraId="11049E18" w14:textId="77777777" w:rsidR="000C62E2" w:rsidRPr="00AA22B7" w:rsidRDefault="000C62E2" w:rsidP="000C62E2">
      <w:pPr>
        <w:pStyle w:val="Lbjegyzetszveg"/>
        <w:rPr>
          <w:lang w:val="hu"/>
        </w:rPr>
      </w:pPr>
      <w:r w:rsidRPr="00AA22B7">
        <w:rPr>
          <w:rStyle w:val="Lbjegyzet-hivatkozs"/>
          <w:lang w:val="hu"/>
        </w:rPr>
        <w:footnoteRef/>
      </w:r>
      <w:r w:rsidRPr="00AA22B7">
        <w:rPr>
          <w:lang w:val="hu"/>
        </w:rPr>
        <w:t xml:space="preserve"> </w:t>
      </w:r>
      <w:r w:rsidRPr="00AA22B7">
        <w:rPr>
          <w:szCs w:val="18"/>
          <w:lang w:val="hu"/>
        </w:rPr>
        <w:t xml:space="preserve">Ezt minden hatóság elvégzi azon adatszolgáltató intézmények esetében, amelyek székhelye a saját joghatóságába tartozik és összesített adatállományt nyújt be a </w:t>
      </w:r>
      <w:proofErr w:type="spellStart"/>
      <w:r w:rsidRPr="00AA22B7">
        <w:rPr>
          <w:szCs w:val="18"/>
          <w:lang w:val="hu"/>
        </w:rPr>
        <w:t>BIS</w:t>
      </w:r>
      <w:proofErr w:type="spellEnd"/>
      <w:r w:rsidRPr="00AA22B7">
        <w:rPr>
          <w:szCs w:val="18"/>
          <w:lang w:val="hu"/>
        </w:rPr>
        <w:t xml:space="preserve"> felé. </w:t>
      </w:r>
      <w:r w:rsidRPr="00AA22B7">
        <w:rPr>
          <w:lang w:val="hu"/>
        </w:rPr>
        <w:t xml:space="preserve"> </w:t>
      </w:r>
    </w:p>
  </w:footnote>
  <w:footnote w:id="5">
    <w:p w14:paraId="7931A767" w14:textId="77777777" w:rsidR="00BB1F7C" w:rsidRPr="00AA22B7" w:rsidRDefault="00BB1F7C">
      <w:pPr>
        <w:pStyle w:val="Lbjegyzetszveg"/>
        <w:rPr>
          <w:lang w:val="hu-HU"/>
        </w:rPr>
      </w:pPr>
      <w:r w:rsidRPr="00AA22B7">
        <w:rPr>
          <w:rStyle w:val="Lbjegyzet-hivatkozs"/>
        </w:rPr>
        <w:footnoteRef/>
      </w:r>
      <w:r w:rsidRPr="00AA22B7">
        <w:t xml:space="preserve"> </w:t>
      </w:r>
      <w:r w:rsidR="000C62E2" w:rsidRPr="00AA22B7">
        <w:rPr>
          <w:szCs w:val="18"/>
          <w:lang w:val="hu"/>
        </w:rPr>
        <w:t xml:space="preserve">A központilag elszámolt tőzsdén kívüli származtatott ügyletek kezelése eltér a Háromévenkénti Felmérés két részében. A forgalmi részben az elszámolt ügyletek </w:t>
      </w:r>
      <w:proofErr w:type="spellStart"/>
      <w:r w:rsidR="000C62E2" w:rsidRPr="00AA22B7">
        <w:rPr>
          <w:szCs w:val="18"/>
          <w:lang w:val="hu"/>
        </w:rPr>
        <w:t>nováció</w:t>
      </w:r>
      <w:proofErr w:type="spellEnd"/>
      <w:r w:rsidR="000C62E2" w:rsidRPr="00AA22B7">
        <w:rPr>
          <w:szCs w:val="18"/>
          <w:lang w:val="hu"/>
        </w:rPr>
        <w:t xml:space="preserve"> előtti alapon, míg a nyitott pozíciós részben </w:t>
      </w:r>
      <w:proofErr w:type="spellStart"/>
      <w:r w:rsidR="000C62E2" w:rsidRPr="00AA22B7">
        <w:rPr>
          <w:szCs w:val="18"/>
          <w:lang w:val="hu"/>
        </w:rPr>
        <w:t>nováció</w:t>
      </w:r>
      <w:proofErr w:type="spellEnd"/>
      <w:r w:rsidR="000C62E2" w:rsidRPr="00AA22B7">
        <w:rPr>
          <w:szCs w:val="18"/>
          <w:lang w:val="hu"/>
        </w:rPr>
        <w:t xml:space="preserve"> utáni alapon kerülnek jelentésre. </w:t>
      </w:r>
      <w:r w:rsidR="000C62E2" w:rsidRPr="00AA22B7">
        <w:rPr>
          <w:lang w:val="hu"/>
        </w:rPr>
        <w:t xml:space="preserve"> </w:t>
      </w:r>
    </w:p>
  </w:footnote>
  <w:footnote w:id="6">
    <w:p w14:paraId="00F00C77" w14:textId="77777777" w:rsidR="00BB1F7C" w:rsidRPr="000754A9" w:rsidRDefault="00BB1F7C">
      <w:pPr>
        <w:pStyle w:val="Lbjegyzetszveg"/>
        <w:rPr>
          <w:lang w:val="hu-HU"/>
        </w:rPr>
      </w:pPr>
      <w:r w:rsidRPr="00AA22B7">
        <w:rPr>
          <w:rStyle w:val="Lbjegyzet-hivatkozs"/>
        </w:rPr>
        <w:footnoteRef/>
      </w:r>
      <w:r w:rsidRPr="00AA22B7">
        <w:t xml:space="preserve"> </w:t>
      </w:r>
      <w:r w:rsidR="000C62E2" w:rsidRPr="00AA22B7">
        <w:rPr>
          <w:szCs w:val="18"/>
          <w:lang w:val="hu"/>
        </w:rPr>
        <w:t>Az eredeti (a fenti példában az A és B közötti) szerződést nem szükséges jelenteni.</w:t>
      </w:r>
      <w:r w:rsidR="000C62E2">
        <w:rPr>
          <w:szCs w:val="18"/>
          <w:lang w:val="hu"/>
        </w:rPr>
        <w:t xml:space="preserve"> </w:t>
      </w:r>
      <w:r w:rsidR="000C62E2">
        <w:rPr>
          <w:lang w:val="hu"/>
        </w:rPr>
        <w:t xml:space="preserve"> </w:t>
      </w:r>
    </w:p>
  </w:footnote>
  <w:footnote w:id="7">
    <w:p w14:paraId="141AD007" w14:textId="77777777" w:rsidR="00FB1BA6" w:rsidRPr="009452AF" w:rsidRDefault="00FB1BA6" w:rsidP="00FB1BA6">
      <w:pPr>
        <w:pStyle w:val="Lbjegyzetszveg"/>
        <w:rPr>
          <w:szCs w:val="24"/>
          <w:lang w:val="hu-HU"/>
        </w:rPr>
      </w:pPr>
      <w:r>
        <w:rPr>
          <w:rStyle w:val="Lbjegyzet-hivatkozs"/>
          <w:szCs w:val="24"/>
        </w:rPr>
        <w:footnoteRef/>
      </w:r>
      <w:r>
        <w:rPr>
          <w:szCs w:val="24"/>
          <w:lang w:val="hu-HU"/>
        </w:rPr>
        <w:t xml:space="preserve"> </w:t>
      </w:r>
      <w:r>
        <w:rPr>
          <w:szCs w:val="24"/>
          <w:lang w:val="hu-HU"/>
        </w:rPr>
        <w:tab/>
        <w:t>Általános szabályként elmondható, hogy a nyugdíjpénztárakat a biztosítóknál kell jelenteni. Azonban, ha nem nyújtanak megtakarítási konstrukciót, amelynek része a várható élettartamhoz kapcsolódó kockázatmegosztás, akkor inkább a nyíltvégű befektetési alapokra hasonlítanak és az utóbbi kategóriába kell sorolni őket „egyéb” pénzintézetek címszó alatt. A javasolt utóbbi megkülönböztetés azonban adott esetben csak „a legnagyobb körültekintés elve” alapon valósulhat meg.</w:t>
      </w:r>
    </w:p>
  </w:footnote>
  <w:footnote w:id="8">
    <w:p w14:paraId="63AB691E" w14:textId="77777777" w:rsidR="00FB1BA6" w:rsidRDefault="00FB1BA6" w:rsidP="00FB1BA6">
      <w:pPr>
        <w:pStyle w:val="Lbjegyzetszveg"/>
        <w:ind w:left="0" w:firstLine="0"/>
        <w:rPr>
          <w:szCs w:val="24"/>
        </w:rPr>
      </w:pPr>
    </w:p>
  </w:footnote>
  <w:footnote w:id="9">
    <w:p w14:paraId="41ECA1AA" w14:textId="77777777" w:rsidR="00FB1BA6" w:rsidRDefault="00FB1BA6" w:rsidP="00FB1BA6">
      <w:pPr>
        <w:pStyle w:val="Lbjegyzetszveg"/>
        <w:rPr>
          <w:szCs w:val="24"/>
        </w:rPr>
      </w:pPr>
      <w:r>
        <w:rPr>
          <w:rStyle w:val="Lbjegyzet-hivatkozs"/>
          <w:szCs w:val="24"/>
        </w:rPr>
        <w:footnoteRef/>
      </w:r>
      <w:r>
        <w:rPr>
          <w:szCs w:val="24"/>
        </w:rPr>
        <w:t xml:space="preserve"> </w:t>
      </w:r>
      <w:r>
        <w:rPr>
          <w:szCs w:val="24"/>
        </w:rPr>
        <w:tab/>
      </w:r>
      <w:r>
        <w:rPr>
          <w:szCs w:val="24"/>
          <w:lang w:val="hu-HU"/>
        </w:rPr>
        <w:t>Lásd a 20</w:t>
      </w:r>
      <w:r w:rsidR="00BB1F7C">
        <w:rPr>
          <w:szCs w:val="24"/>
          <w:lang w:val="hu-HU"/>
        </w:rPr>
        <w:t>14</w:t>
      </w:r>
      <w:r>
        <w:rPr>
          <w:szCs w:val="24"/>
          <w:lang w:val="hu-HU"/>
        </w:rPr>
        <w:t xml:space="preserve">. évi </w:t>
      </w:r>
      <w:proofErr w:type="spellStart"/>
      <w:r>
        <w:rPr>
          <w:szCs w:val="24"/>
          <w:lang w:val="hu-HU"/>
        </w:rPr>
        <w:t>ISDA</w:t>
      </w:r>
      <w:proofErr w:type="spellEnd"/>
      <w:r>
        <w:rPr>
          <w:szCs w:val="24"/>
          <w:lang w:val="hu-HU"/>
        </w:rPr>
        <w:t xml:space="preserve"> </w:t>
      </w:r>
      <w:proofErr w:type="spellStart"/>
      <w:r>
        <w:rPr>
          <w:szCs w:val="24"/>
          <w:lang w:val="hu-HU"/>
        </w:rPr>
        <w:t>hitelderivatíva</w:t>
      </w:r>
      <w:proofErr w:type="spellEnd"/>
      <w:r>
        <w:rPr>
          <w:szCs w:val="24"/>
          <w:lang w:val="hu-HU"/>
        </w:rPr>
        <w:t>-meghatározásait, amelyek értelmében a névleges összeget készpénzes elszámoláskor (7.3. rész) és fizikai szállításos teljesítéskor (8.5. rész) minden esetben külön kell meghatározni az alábbiak szerint:</w:t>
      </w:r>
      <w:r>
        <w:rPr>
          <w:szCs w:val="24"/>
        </w:rPr>
        <w:t xml:space="preserve"> </w:t>
      </w:r>
      <w:r>
        <w:rPr>
          <w:szCs w:val="24"/>
          <w:lang w:val="hu-HU"/>
        </w:rPr>
        <w:t>Készpénzes elszámoláshoz az ekként meghatározott összeg a kapcsolódó visszaigazolásban összeg vagy, ha az összeg nincs meghatározva, akkor az (a) (i) változó kamatozású összeg szorozva (ii) a referenciaárral mínusz a végleges ár és (b) nulla közül a nagyobb.</w:t>
      </w:r>
      <w:r>
        <w:rPr>
          <w:szCs w:val="24"/>
        </w:rPr>
        <w:t xml:space="preserve"> </w:t>
      </w:r>
      <w:r>
        <w:rPr>
          <w:szCs w:val="24"/>
          <w:lang w:val="hu-HU"/>
        </w:rPr>
        <w:t>Fizikai szállítással történő elszámoláshoz a változó kamatozású összeg szorozva a referenciaárral.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9E74" w14:textId="77777777" w:rsidR="000733F0" w:rsidRDefault="000733F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C7A5" w14:textId="77777777" w:rsidR="000733F0" w:rsidRDefault="000733F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A447" w14:textId="77777777" w:rsidR="000733F0" w:rsidRDefault="000733F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0C2872"/>
    <w:lvl w:ilvl="0">
      <w:start w:val="1"/>
      <w:numFmt w:val="decimal"/>
      <w:lvlText w:val="%1."/>
      <w:lvlJc w:val="left"/>
      <w:pPr>
        <w:tabs>
          <w:tab w:val="num" w:pos="1492"/>
        </w:tabs>
        <w:ind w:left="1492" w:hanging="360"/>
      </w:pPr>
      <w:rPr>
        <w:rFonts w:cs="Times New Roman"/>
      </w:rPr>
    </w:lvl>
  </w:abstractNum>
  <w:abstractNum w:abstractNumId="1" w15:restartNumberingAfterBreak="0">
    <w:nsid w:val="0E516F40"/>
    <w:multiLevelType w:val="hybridMultilevel"/>
    <w:tmpl w:val="5AFC1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661A79"/>
    <w:multiLevelType w:val="multilevel"/>
    <w:tmpl w:val="B3AAF7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B7F94"/>
    <w:multiLevelType w:val="hybridMultilevel"/>
    <w:tmpl w:val="4D80B1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C74FE"/>
    <w:multiLevelType w:val="hybridMultilevel"/>
    <w:tmpl w:val="FE3AA17C"/>
    <w:lvl w:ilvl="0" w:tplc="35BAAE08">
      <w:start w:val="1"/>
      <w:numFmt w:val="decimal"/>
      <w:lvlText w:val="%1."/>
      <w:lvlJc w:val="left"/>
      <w:pPr>
        <w:tabs>
          <w:tab w:val="num" w:pos="1215"/>
        </w:tabs>
        <w:ind w:left="1215" w:hanging="85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DC1426"/>
    <w:multiLevelType w:val="hybridMultilevel"/>
    <w:tmpl w:val="F0128FDC"/>
    <w:lvl w:ilvl="0" w:tplc="BA22576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25301E7"/>
    <w:multiLevelType w:val="hybridMultilevel"/>
    <w:tmpl w:val="48AC7758"/>
    <w:lvl w:ilvl="0" w:tplc="BC9C3E6C">
      <w:start w:val="1"/>
      <w:numFmt w:val="bullet"/>
      <w:lvlText w:val=""/>
      <w:lvlJc w:val="left"/>
      <w:pPr>
        <w:tabs>
          <w:tab w:val="num" w:pos="851"/>
        </w:tabs>
        <w:ind w:left="851" w:hanging="851"/>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D31C9"/>
    <w:multiLevelType w:val="hybridMultilevel"/>
    <w:tmpl w:val="5A500176"/>
    <w:lvl w:ilvl="0" w:tplc="08A0411C">
      <w:start w:val="1"/>
      <w:numFmt w:val="bullet"/>
      <w:lvlText w:val=""/>
      <w:lvlJc w:val="left"/>
      <w:pPr>
        <w:tabs>
          <w:tab w:val="num" w:pos="851"/>
        </w:tabs>
        <w:ind w:left="851" w:hanging="851"/>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color w:val="auto"/>
      </w:rPr>
    </w:lvl>
    <w:lvl w:ilvl="2" w:tplc="BA22576C">
      <w:start w:val="1"/>
      <w:numFmt w:val="bullet"/>
      <w:lvlText w:val=""/>
      <w:lvlJc w:val="left"/>
      <w:pPr>
        <w:tabs>
          <w:tab w:val="num" w:pos="2160"/>
        </w:tabs>
        <w:ind w:left="2160" w:hanging="36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D3058"/>
    <w:multiLevelType w:val="multilevel"/>
    <w:tmpl w:val="F2CC1226"/>
    <w:lvl w:ilvl="0">
      <w:start w:val="1"/>
      <w:numFmt w:val="decimal"/>
      <w:pStyle w:val="IndentedHeading1"/>
      <w:lvlText w:val="%1"/>
      <w:lvlJc w:val="left"/>
      <w:pPr>
        <w:tabs>
          <w:tab w:val="num" w:pos="851"/>
        </w:tabs>
        <w:ind w:left="851" w:hanging="851"/>
      </w:pPr>
      <w:rPr>
        <w:rFonts w:ascii="Arial" w:hAnsi="Arial" w:cs="Times New Roman" w:hint="default"/>
      </w:rPr>
    </w:lvl>
    <w:lvl w:ilvl="1">
      <w:start w:val="1"/>
      <w:numFmt w:val="decimal"/>
      <w:pStyle w:val="IndentedHeading2"/>
      <w:lvlText w:val="%1.%2"/>
      <w:lvlJc w:val="left"/>
      <w:pPr>
        <w:tabs>
          <w:tab w:val="num" w:pos="851"/>
        </w:tabs>
        <w:ind w:left="851" w:hanging="851"/>
      </w:pPr>
      <w:rPr>
        <w:rFonts w:ascii="Arial" w:hAnsi="Arial" w:cs="Times New Roman" w:hint="default"/>
      </w:rPr>
    </w:lvl>
    <w:lvl w:ilvl="2">
      <w:start w:val="1"/>
      <w:numFmt w:val="decimal"/>
      <w:pStyle w:val="IndentedHeading3"/>
      <w:lvlText w:val="%1.%2.%3"/>
      <w:lvlJc w:val="left"/>
      <w:pPr>
        <w:tabs>
          <w:tab w:val="num" w:pos="851"/>
        </w:tabs>
        <w:ind w:left="851" w:hanging="851"/>
      </w:pPr>
      <w:rPr>
        <w:rFonts w:ascii="Arial" w:hAnsi="Arial" w:cs="Times New Roman" w:hint="default"/>
      </w:rPr>
    </w:lvl>
    <w:lvl w:ilvl="3">
      <w:start w:val="1"/>
      <w:numFmt w:val="decimal"/>
      <w:pStyle w:val="IndentedHeading4"/>
      <w:lvlText w:val="%1.%2.%3.%4"/>
      <w:lvlJc w:val="left"/>
      <w:pPr>
        <w:tabs>
          <w:tab w:val="num" w:pos="851"/>
        </w:tabs>
        <w:ind w:left="851" w:hanging="851"/>
      </w:pPr>
      <w:rPr>
        <w:rFonts w:ascii="Arial" w:hAnsi="Arial" w:cs="Times New Roman" w:hint="default"/>
      </w:rPr>
    </w:lvl>
    <w:lvl w:ilvl="4">
      <w:start w:val="1"/>
      <w:numFmt w:val="decimal"/>
      <w:lvlText w:val="%1.%2.%3.%4.%5"/>
      <w:lvlJc w:val="left"/>
      <w:pPr>
        <w:tabs>
          <w:tab w:val="num" w:pos="1080"/>
        </w:tabs>
        <w:ind w:left="851" w:hanging="851"/>
      </w:pPr>
      <w:rPr>
        <w:rFonts w:ascii="Arial" w:hAnsi="Arial" w:cs="Times New Roman" w:hint="default"/>
      </w:rPr>
    </w:lvl>
    <w:lvl w:ilvl="5">
      <w:start w:val="1"/>
      <w:numFmt w:val="decimal"/>
      <w:lvlText w:val="%1.%2.%3.%4.%5.%6"/>
      <w:lvlJc w:val="left"/>
      <w:pPr>
        <w:tabs>
          <w:tab w:val="num" w:pos="1440"/>
        </w:tabs>
        <w:ind w:left="851" w:hanging="851"/>
      </w:pPr>
      <w:rPr>
        <w:rFonts w:ascii="Arial" w:hAnsi="Arial" w:cs="Times New Roman" w:hint="default"/>
      </w:rPr>
    </w:lvl>
    <w:lvl w:ilvl="6">
      <w:start w:val="1"/>
      <w:numFmt w:val="decimal"/>
      <w:lvlText w:val="%1.%2.%3.%4.%5.%6.%7"/>
      <w:lvlJc w:val="left"/>
      <w:pPr>
        <w:tabs>
          <w:tab w:val="num" w:pos="1440"/>
        </w:tabs>
        <w:ind w:left="851" w:hanging="851"/>
      </w:pPr>
      <w:rPr>
        <w:rFonts w:ascii="Arial" w:hAnsi="Arial" w:cs="Times New Roman" w:hint="default"/>
      </w:rPr>
    </w:lvl>
    <w:lvl w:ilvl="7">
      <w:start w:val="1"/>
      <w:numFmt w:val="decimal"/>
      <w:lvlText w:val="%1.%2.%3.%4.%5.%6.%7.%8"/>
      <w:lvlJc w:val="left"/>
      <w:pPr>
        <w:tabs>
          <w:tab w:val="num" w:pos="1800"/>
        </w:tabs>
        <w:ind w:left="851" w:hanging="851"/>
      </w:pPr>
      <w:rPr>
        <w:rFonts w:ascii="Arial" w:hAnsi="Arial" w:cs="Times New Roman" w:hint="default"/>
      </w:rPr>
    </w:lvl>
    <w:lvl w:ilvl="8">
      <w:start w:val="1"/>
      <w:numFmt w:val="decimal"/>
      <w:lvlText w:val="%1.%2.%3.%4.%5.%6.%7.%8.%9"/>
      <w:lvlJc w:val="left"/>
      <w:pPr>
        <w:tabs>
          <w:tab w:val="num" w:pos="1800"/>
        </w:tabs>
        <w:ind w:left="851" w:hanging="851"/>
      </w:pPr>
      <w:rPr>
        <w:rFonts w:ascii="Arial" w:hAnsi="Arial" w:cs="Times New Roman" w:hint="default"/>
      </w:rPr>
    </w:lvl>
  </w:abstractNum>
  <w:abstractNum w:abstractNumId="9" w15:restartNumberingAfterBreak="0">
    <w:nsid w:val="25FE3948"/>
    <w:multiLevelType w:val="multilevel"/>
    <w:tmpl w:val="86E69B40"/>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right"/>
      <w:pPr>
        <w:tabs>
          <w:tab w:val="num" w:pos="1008"/>
        </w:tabs>
        <w:ind w:left="1008" w:hanging="720"/>
      </w:pPr>
      <w:rPr>
        <w:rFonts w:cs="Times New Roman"/>
      </w:rPr>
    </w:lvl>
    <w:lvl w:ilvl="5">
      <w:start w:val="1"/>
      <w:numFmt w:val="decimal"/>
      <w:lvlText w:val="%1.%2.%3.%4.%5.%6"/>
      <w:lvlJc w:val="right"/>
      <w:pPr>
        <w:tabs>
          <w:tab w:val="num" w:pos="1152"/>
        </w:tabs>
        <w:ind w:left="1152" w:hanging="864"/>
      </w:pPr>
      <w:rPr>
        <w:rFonts w:cs="Times New Roman"/>
      </w:rPr>
    </w:lvl>
    <w:lvl w:ilvl="6">
      <w:start w:val="1"/>
      <w:numFmt w:val="decimal"/>
      <w:lvlText w:val="%1.%2.%3.%4.%5.%6.%7"/>
      <w:lvlJc w:val="right"/>
      <w:pPr>
        <w:tabs>
          <w:tab w:val="num" w:pos="1296"/>
        </w:tabs>
        <w:ind w:left="1296" w:hanging="1008"/>
      </w:pPr>
      <w:rPr>
        <w:rFonts w:cs="Times New Roman"/>
      </w:rPr>
    </w:lvl>
    <w:lvl w:ilvl="7">
      <w:start w:val="1"/>
      <w:numFmt w:val="decimal"/>
      <w:lvlText w:val="%1.%2.%3.%4.%5.%6.%7.%8"/>
      <w:lvlJc w:val="right"/>
      <w:pPr>
        <w:tabs>
          <w:tab w:val="num" w:pos="1440"/>
        </w:tabs>
        <w:ind w:left="1440" w:hanging="1152"/>
      </w:pPr>
      <w:rPr>
        <w:rFonts w:cs="Times New Roman"/>
      </w:rPr>
    </w:lvl>
    <w:lvl w:ilvl="8">
      <w:start w:val="1"/>
      <w:numFmt w:val="decimal"/>
      <w:lvlText w:val="%1.%2.%3.%4.%5.%6.%7.%8.%9"/>
      <w:lvlJc w:val="right"/>
      <w:pPr>
        <w:tabs>
          <w:tab w:val="num" w:pos="1584"/>
        </w:tabs>
        <w:ind w:left="1584" w:hanging="1296"/>
      </w:pPr>
      <w:rPr>
        <w:rFonts w:cs="Times New Roman"/>
      </w:rPr>
    </w:lvl>
  </w:abstractNum>
  <w:abstractNum w:abstractNumId="10" w15:restartNumberingAfterBreak="0">
    <w:nsid w:val="267C2A43"/>
    <w:multiLevelType w:val="hybridMultilevel"/>
    <w:tmpl w:val="1B002556"/>
    <w:lvl w:ilvl="0" w:tplc="08090001">
      <w:start w:val="1"/>
      <w:numFmt w:val="bullet"/>
      <w:lvlText w:val=""/>
      <w:lvlJc w:val="left"/>
      <w:pPr>
        <w:tabs>
          <w:tab w:val="num" w:pos="710"/>
        </w:tabs>
        <w:ind w:left="710" w:hanging="360"/>
      </w:pPr>
      <w:rPr>
        <w:rFonts w:ascii="Symbol" w:hAnsi="Symbol" w:hint="default"/>
      </w:rPr>
    </w:lvl>
    <w:lvl w:ilvl="1" w:tplc="08090003" w:tentative="1">
      <w:start w:val="1"/>
      <w:numFmt w:val="bullet"/>
      <w:lvlText w:val="o"/>
      <w:lvlJc w:val="left"/>
      <w:pPr>
        <w:tabs>
          <w:tab w:val="num" w:pos="1430"/>
        </w:tabs>
        <w:ind w:left="1430" w:hanging="360"/>
      </w:pPr>
      <w:rPr>
        <w:rFonts w:ascii="Courier New" w:hAnsi="Courier New" w:hint="default"/>
      </w:rPr>
    </w:lvl>
    <w:lvl w:ilvl="2" w:tplc="08090005" w:tentative="1">
      <w:start w:val="1"/>
      <w:numFmt w:val="bullet"/>
      <w:lvlText w:val=""/>
      <w:lvlJc w:val="left"/>
      <w:pPr>
        <w:tabs>
          <w:tab w:val="num" w:pos="2150"/>
        </w:tabs>
        <w:ind w:left="2150" w:hanging="360"/>
      </w:pPr>
      <w:rPr>
        <w:rFonts w:ascii="Wingdings" w:hAnsi="Wingdings" w:hint="default"/>
      </w:rPr>
    </w:lvl>
    <w:lvl w:ilvl="3" w:tplc="08090001" w:tentative="1">
      <w:start w:val="1"/>
      <w:numFmt w:val="bullet"/>
      <w:lvlText w:val=""/>
      <w:lvlJc w:val="left"/>
      <w:pPr>
        <w:tabs>
          <w:tab w:val="num" w:pos="2870"/>
        </w:tabs>
        <w:ind w:left="2870" w:hanging="360"/>
      </w:pPr>
      <w:rPr>
        <w:rFonts w:ascii="Symbol" w:hAnsi="Symbol" w:hint="default"/>
      </w:rPr>
    </w:lvl>
    <w:lvl w:ilvl="4" w:tplc="08090003" w:tentative="1">
      <w:start w:val="1"/>
      <w:numFmt w:val="bullet"/>
      <w:lvlText w:val="o"/>
      <w:lvlJc w:val="left"/>
      <w:pPr>
        <w:tabs>
          <w:tab w:val="num" w:pos="3590"/>
        </w:tabs>
        <w:ind w:left="3590" w:hanging="360"/>
      </w:pPr>
      <w:rPr>
        <w:rFonts w:ascii="Courier New" w:hAnsi="Courier New" w:hint="default"/>
      </w:rPr>
    </w:lvl>
    <w:lvl w:ilvl="5" w:tplc="08090005" w:tentative="1">
      <w:start w:val="1"/>
      <w:numFmt w:val="bullet"/>
      <w:lvlText w:val=""/>
      <w:lvlJc w:val="left"/>
      <w:pPr>
        <w:tabs>
          <w:tab w:val="num" w:pos="4310"/>
        </w:tabs>
        <w:ind w:left="4310" w:hanging="360"/>
      </w:pPr>
      <w:rPr>
        <w:rFonts w:ascii="Wingdings" w:hAnsi="Wingdings" w:hint="default"/>
      </w:rPr>
    </w:lvl>
    <w:lvl w:ilvl="6" w:tplc="08090001" w:tentative="1">
      <w:start w:val="1"/>
      <w:numFmt w:val="bullet"/>
      <w:lvlText w:val=""/>
      <w:lvlJc w:val="left"/>
      <w:pPr>
        <w:tabs>
          <w:tab w:val="num" w:pos="5030"/>
        </w:tabs>
        <w:ind w:left="5030" w:hanging="360"/>
      </w:pPr>
      <w:rPr>
        <w:rFonts w:ascii="Symbol" w:hAnsi="Symbol" w:hint="default"/>
      </w:rPr>
    </w:lvl>
    <w:lvl w:ilvl="7" w:tplc="08090003" w:tentative="1">
      <w:start w:val="1"/>
      <w:numFmt w:val="bullet"/>
      <w:lvlText w:val="o"/>
      <w:lvlJc w:val="left"/>
      <w:pPr>
        <w:tabs>
          <w:tab w:val="num" w:pos="5750"/>
        </w:tabs>
        <w:ind w:left="5750" w:hanging="360"/>
      </w:pPr>
      <w:rPr>
        <w:rFonts w:ascii="Courier New" w:hAnsi="Courier New" w:hint="default"/>
      </w:rPr>
    </w:lvl>
    <w:lvl w:ilvl="8" w:tplc="08090005" w:tentative="1">
      <w:start w:val="1"/>
      <w:numFmt w:val="bullet"/>
      <w:lvlText w:val=""/>
      <w:lvlJc w:val="left"/>
      <w:pPr>
        <w:tabs>
          <w:tab w:val="num" w:pos="6470"/>
        </w:tabs>
        <w:ind w:left="6470" w:hanging="360"/>
      </w:pPr>
      <w:rPr>
        <w:rFonts w:ascii="Wingdings" w:hAnsi="Wingdings" w:hint="default"/>
      </w:rPr>
    </w:lvl>
  </w:abstractNum>
  <w:abstractNum w:abstractNumId="11" w15:restartNumberingAfterBreak="0">
    <w:nsid w:val="28E92180"/>
    <w:multiLevelType w:val="hybridMultilevel"/>
    <w:tmpl w:val="D06A161C"/>
    <w:lvl w:ilvl="0" w:tplc="B4E0A286">
      <w:start w:val="1"/>
      <w:numFmt w:val="bulle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C0676"/>
    <w:multiLevelType w:val="hybridMultilevel"/>
    <w:tmpl w:val="17E4D886"/>
    <w:lvl w:ilvl="0" w:tplc="3DF67216">
      <w:start w:val="1"/>
      <w:numFmt w:val="decimal"/>
      <w:lvlText w:val="%1."/>
      <w:lvlJc w:val="left"/>
      <w:pPr>
        <w:ind w:left="502" w:hanging="360"/>
      </w:pPr>
      <w:rPr>
        <w:rFonts w:hint="default"/>
        <w:b/>
        <w:bCs/>
      </w:rPr>
    </w:lvl>
    <w:lvl w:ilvl="1" w:tplc="040E0019" w:tentative="1">
      <w:start w:val="1"/>
      <w:numFmt w:val="lowerLetter"/>
      <w:lvlText w:val="%2."/>
      <w:lvlJc w:val="left"/>
      <w:pPr>
        <w:ind w:left="1143" w:hanging="360"/>
      </w:pPr>
    </w:lvl>
    <w:lvl w:ilvl="2" w:tplc="040E001B" w:tentative="1">
      <w:start w:val="1"/>
      <w:numFmt w:val="lowerRoman"/>
      <w:lvlText w:val="%3."/>
      <w:lvlJc w:val="right"/>
      <w:pPr>
        <w:ind w:left="1863" w:hanging="180"/>
      </w:pPr>
    </w:lvl>
    <w:lvl w:ilvl="3" w:tplc="040E000F" w:tentative="1">
      <w:start w:val="1"/>
      <w:numFmt w:val="decimal"/>
      <w:lvlText w:val="%4."/>
      <w:lvlJc w:val="left"/>
      <w:pPr>
        <w:ind w:left="2583" w:hanging="360"/>
      </w:pPr>
    </w:lvl>
    <w:lvl w:ilvl="4" w:tplc="040E0019" w:tentative="1">
      <w:start w:val="1"/>
      <w:numFmt w:val="lowerLetter"/>
      <w:lvlText w:val="%5."/>
      <w:lvlJc w:val="left"/>
      <w:pPr>
        <w:ind w:left="3303" w:hanging="360"/>
      </w:pPr>
    </w:lvl>
    <w:lvl w:ilvl="5" w:tplc="040E001B" w:tentative="1">
      <w:start w:val="1"/>
      <w:numFmt w:val="lowerRoman"/>
      <w:lvlText w:val="%6."/>
      <w:lvlJc w:val="right"/>
      <w:pPr>
        <w:ind w:left="4023" w:hanging="180"/>
      </w:pPr>
    </w:lvl>
    <w:lvl w:ilvl="6" w:tplc="040E000F" w:tentative="1">
      <w:start w:val="1"/>
      <w:numFmt w:val="decimal"/>
      <w:lvlText w:val="%7."/>
      <w:lvlJc w:val="left"/>
      <w:pPr>
        <w:ind w:left="4743" w:hanging="360"/>
      </w:pPr>
    </w:lvl>
    <w:lvl w:ilvl="7" w:tplc="040E0019" w:tentative="1">
      <w:start w:val="1"/>
      <w:numFmt w:val="lowerLetter"/>
      <w:lvlText w:val="%8."/>
      <w:lvlJc w:val="left"/>
      <w:pPr>
        <w:ind w:left="5463" w:hanging="360"/>
      </w:pPr>
    </w:lvl>
    <w:lvl w:ilvl="8" w:tplc="040E001B" w:tentative="1">
      <w:start w:val="1"/>
      <w:numFmt w:val="lowerRoman"/>
      <w:lvlText w:val="%9."/>
      <w:lvlJc w:val="right"/>
      <w:pPr>
        <w:ind w:left="6183" w:hanging="180"/>
      </w:pPr>
    </w:lvl>
  </w:abstractNum>
  <w:abstractNum w:abstractNumId="13" w15:restartNumberingAfterBreak="0">
    <w:nsid w:val="329006FA"/>
    <w:multiLevelType w:val="hybridMultilevel"/>
    <w:tmpl w:val="B096FC02"/>
    <w:lvl w:ilvl="0" w:tplc="BA2257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F2150"/>
    <w:multiLevelType w:val="multilevel"/>
    <w:tmpl w:val="403CABEA"/>
    <w:lvl w:ilvl="0">
      <w:start w:val="1"/>
      <w:numFmt w:val="bullet"/>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851"/>
        </w:tabs>
        <w:ind w:left="851" w:hanging="851"/>
      </w:pPr>
      <w:rPr>
        <w:rFonts w:ascii="Arial" w:hAnsi="Aria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915386"/>
    <w:multiLevelType w:val="hybridMultilevel"/>
    <w:tmpl w:val="1E24D5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72539A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741E37"/>
    <w:multiLevelType w:val="multilevel"/>
    <w:tmpl w:val="9F54F868"/>
    <w:lvl w:ilvl="0">
      <w:start w:val="1"/>
      <w:numFmt w:val="bullet"/>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931"/>
        </w:tabs>
        <w:ind w:left="1931" w:hanging="851"/>
      </w:pPr>
      <w:rPr>
        <w:rFonts w:ascii="Arial" w:hAnsi="Arial" w:hint="default"/>
        <w:color w:val="auto"/>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46FB3"/>
    <w:multiLevelType w:val="hybridMultilevel"/>
    <w:tmpl w:val="BABC3712"/>
    <w:lvl w:ilvl="0" w:tplc="08A0411C">
      <w:start w:val="1"/>
      <w:numFmt w:val="bullet"/>
      <w:pStyle w:val="Bulletpoint"/>
      <w:lvlText w:val=""/>
      <w:lvlJc w:val="left"/>
      <w:pPr>
        <w:tabs>
          <w:tab w:val="num" w:pos="851"/>
        </w:tabs>
        <w:ind w:left="851" w:hanging="851"/>
      </w:pPr>
      <w:rPr>
        <w:rFonts w:ascii="Symbol" w:hAnsi="Symbol" w:hint="default"/>
        <w:color w:val="auto"/>
      </w:rPr>
    </w:lvl>
    <w:lvl w:ilvl="1" w:tplc="B5AC37FC">
      <w:start w:val="1"/>
      <w:numFmt w:val="bullet"/>
      <w:lvlText w:val="–"/>
      <w:lvlJc w:val="left"/>
      <w:pPr>
        <w:tabs>
          <w:tab w:val="num" w:pos="1931"/>
        </w:tabs>
        <w:ind w:left="1931" w:hanging="851"/>
      </w:pPr>
      <w:rPr>
        <w:rFonts w:ascii="Arial" w:hAnsi="Arial" w:hint="default"/>
        <w:color w:val="auto"/>
      </w:rPr>
    </w:lvl>
    <w:lvl w:ilvl="2" w:tplc="BA22576C">
      <w:start w:val="1"/>
      <w:numFmt w:val="bullet"/>
      <w:lvlText w:val=""/>
      <w:lvlJc w:val="left"/>
      <w:pPr>
        <w:tabs>
          <w:tab w:val="num" w:pos="2160"/>
        </w:tabs>
        <w:ind w:left="2160" w:hanging="360"/>
      </w:pPr>
      <w:rPr>
        <w:rFonts w:ascii="Symbol" w:hAnsi="Symbol" w:hint="default"/>
        <w:color w:val="auto"/>
      </w:rPr>
    </w:lvl>
    <w:lvl w:ilvl="3" w:tplc="08090001">
      <w:start w:val="1"/>
      <w:numFmt w:val="bullet"/>
      <w:lvlText w:val=""/>
      <w:lvlJc w:val="left"/>
      <w:pPr>
        <w:tabs>
          <w:tab w:val="num" w:pos="2880"/>
        </w:tabs>
        <w:ind w:left="2880" w:hanging="360"/>
      </w:pPr>
      <w:rPr>
        <w:rFonts w:ascii="Symbol" w:hAnsi="Symbol" w:hint="default"/>
      </w:rPr>
    </w:lvl>
    <w:lvl w:ilvl="4" w:tplc="719C0E24">
      <w:start w:val="1"/>
      <w:numFmt w:val="bullet"/>
      <w:lvlText w:val="•"/>
      <w:lvlJc w:val="left"/>
      <w:pPr>
        <w:ind w:left="3600" w:hanging="360"/>
      </w:pPr>
      <w:rPr>
        <w:rFonts w:ascii="Arial" w:eastAsia="Times New Roman" w:hAnsi="Arial"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9C57DC"/>
    <w:multiLevelType w:val="hybridMultilevel"/>
    <w:tmpl w:val="97088D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D1299A"/>
    <w:multiLevelType w:val="hybridMultilevel"/>
    <w:tmpl w:val="5FC6B874"/>
    <w:lvl w:ilvl="0" w:tplc="08090001">
      <w:start w:val="1"/>
      <w:numFmt w:val="bullet"/>
      <w:lvlText w:val=""/>
      <w:lvlJc w:val="left"/>
      <w:pPr>
        <w:tabs>
          <w:tab w:val="num" w:pos="710"/>
        </w:tabs>
        <w:ind w:left="710" w:hanging="360"/>
      </w:pPr>
      <w:rPr>
        <w:rFonts w:ascii="Symbol" w:hAnsi="Symbol" w:hint="default"/>
      </w:rPr>
    </w:lvl>
    <w:lvl w:ilvl="1" w:tplc="08090003" w:tentative="1">
      <w:start w:val="1"/>
      <w:numFmt w:val="bullet"/>
      <w:lvlText w:val="o"/>
      <w:lvlJc w:val="left"/>
      <w:pPr>
        <w:tabs>
          <w:tab w:val="num" w:pos="1430"/>
        </w:tabs>
        <w:ind w:left="1430" w:hanging="360"/>
      </w:pPr>
      <w:rPr>
        <w:rFonts w:ascii="Courier New" w:hAnsi="Courier New" w:hint="default"/>
      </w:rPr>
    </w:lvl>
    <w:lvl w:ilvl="2" w:tplc="08090005" w:tentative="1">
      <w:start w:val="1"/>
      <w:numFmt w:val="bullet"/>
      <w:lvlText w:val=""/>
      <w:lvlJc w:val="left"/>
      <w:pPr>
        <w:tabs>
          <w:tab w:val="num" w:pos="2150"/>
        </w:tabs>
        <w:ind w:left="2150" w:hanging="360"/>
      </w:pPr>
      <w:rPr>
        <w:rFonts w:ascii="Wingdings" w:hAnsi="Wingdings" w:hint="default"/>
      </w:rPr>
    </w:lvl>
    <w:lvl w:ilvl="3" w:tplc="08090001" w:tentative="1">
      <w:start w:val="1"/>
      <w:numFmt w:val="bullet"/>
      <w:lvlText w:val=""/>
      <w:lvlJc w:val="left"/>
      <w:pPr>
        <w:tabs>
          <w:tab w:val="num" w:pos="2870"/>
        </w:tabs>
        <w:ind w:left="2870" w:hanging="360"/>
      </w:pPr>
      <w:rPr>
        <w:rFonts w:ascii="Symbol" w:hAnsi="Symbol" w:hint="default"/>
      </w:rPr>
    </w:lvl>
    <w:lvl w:ilvl="4" w:tplc="08090003" w:tentative="1">
      <w:start w:val="1"/>
      <w:numFmt w:val="bullet"/>
      <w:lvlText w:val="o"/>
      <w:lvlJc w:val="left"/>
      <w:pPr>
        <w:tabs>
          <w:tab w:val="num" w:pos="3590"/>
        </w:tabs>
        <w:ind w:left="3590" w:hanging="360"/>
      </w:pPr>
      <w:rPr>
        <w:rFonts w:ascii="Courier New" w:hAnsi="Courier New" w:hint="default"/>
      </w:rPr>
    </w:lvl>
    <w:lvl w:ilvl="5" w:tplc="08090005" w:tentative="1">
      <w:start w:val="1"/>
      <w:numFmt w:val="bullet"/>
      <w:lvlText w:val=""/>
      <w:lvlJc w:val="left"/>
      <w:pPr>
        <w:tabs>
          <w:tab w:val="num" w:pos="4310"/>
        </w:tabs>
        <w:ind w:left="4310" w:hanging="360"/>
      </w:pPr>
      <w:rPr>
        <w:rFonts w:ascii="Wingdings" w:hAnsi="Wingdings" w:hint="default"/>
      </w:rPr>
    </w:lvl>
    <w:lvl w:ilvl="6" w:tplc="08090001" w:tentative="1">
      <w:start w:val="1"/>
      <w:numFmt w:val="bullet"/>
      <w:lvlText w:val=""/>
      <w:lvlJc w:val="left"/>
      <w:pPr>
        <w:tabs>
          <w:tab w:val="num" w:pos="5030"/>
        </w:tabs>
        <w:ind w:left="5030" w:hanging="360"/>
      </w:pPr>
      <w:rPr>
        <w:rFonts w:ascii="Symbol" w:hAnsi="Symbol" w:hint="default"/>
      </w:rPr>
    </w:lvl>
    <w:lvl w:ilvl="7" w:tplc="08090003" w:tentative="1">
      <w:start w:val="1"/>
      <w:numFmt w:val="bullet"/>
      <w:lvlText w:val="o"/>
      <w:lvlJc w:val="left"/>
      <w:pPr>
        <w:tabs>
          <w:tab w:val="num" w:pos="5750"/>
        </w:tabs>
        <w:ind w:left="5750" w:hanging="360"/>
      </w:pPr>
      <w:rPr>
        <w:rFonts w:ascii="Courier New" w:hAnsi="Courier New" w:hint="default"/>
      </w:rPr>
    </w:lvl>
    <w:lvl w:ilvl="8" w:tplc="08090005" w:tentative="1">
      <w:start w:val="1"/>
      <w:numFmt w:val="bullet"/>
      <w:lvlText w:val=""/>
      <w:lvlJc w:val="left"/>
      <w:pPr>
        <w:tabs>
          <w:tab w:val="num" w:pos="6470"/>
        </w:tabs>
        <w:ind w:left="6470" w:hanging="360"/>
      </w:pPr>
      <w:rPr>
        <w:rFonts w:ascii="Wingdings" w:hAnsi="Wingdings" w:hint="default"/>
      </w:rPr>
    </w:lvl>
  </w:abstractNum>
  <w:abstractNum w:abstractNumId="21" w15:restartNumberingAfterBreak="0">
    <w:nsid w:val="5A7F07B0"/>
    <w:multiLevelType w:val="hybridMultilevel"/>
    <w:tmpl w:val="283010F8"/>
    <w:lvl w:ilvl="0" w:tplc="08A0411C">
      <w:start w:val="1"/>
      <w:numFmt w:val="bullet"/>
      <w:lvlText w:val=""/>
      <w:lvlJc w:val="left"/>
      <w:pPr>
        <w:tabs>
          <w:tab w:val="num" w:pos="851"/>
        </w:tabs>
        <w:ind w:left="851" w:hanging="851"/>
      </w:pPr>
      <w:rPr>
        <w:rFonts w:ascii="Symbol" w:hAnsi="Symbol" w:hint="default"/>
        <w:color w:val="auto"/>
      </w:rPr>
    </w:lvl>
    <w:lvl w:ilvl="1" w:tplc="524CC25A">
      <w:start w:val="1"/>
      <w:numFmt w:val="bullet"/>
      <w:lvlText w:val=""/>
      <w:lvlJc w:val="left"/>
      <w:pPr>
        <w:tabs>
          <w:tab w:val="num" w:pos="1440"/>
        </w:tabs>
        <w:ind w:left="1440" w:hanging="360"/>
      </w:pPr>
      <w:rPr>
        <w:rFonts w:ascii="Symbol" w:hAnsi="Symbol" w:hint="default"/>
        <w:color w:val="auto"/>
      </w:rPr>
    </w:lvl>
    <w:lvl w:ilvl="2" w:tplc="BA22576C">
      <w:start w:val="1"/>
      <w:numFmt w:val="bullet"/>
      <w:lvlText w:val=""/>
      <w:lvlJc w:val="left"/>
      <w:pPr>
        <w:tabs>
          <w:tab w:val="num" w:pos="2160"/>
        </w:tabs>
        <w:ind w:left="2160" w:hanging="360"/>
      </w:pPr>
      <w:rPr>
        <w:rFonts w:ascii="Symbol" w:hAnsi="Symbol" w:hint="default"/>
        <w:color w:val="auto"/>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BB6008"/>
    <w:multiLevelType w:val="hybridMultilevel"/>
    <w:tmpl w:val="403CABEA"/>
    <w:lvl w:ilvl="0" w:tplc="B4E0A286">
      <w:start w:val="1"/>
      <w:numFmt w:val="bullet"/>
      <w:lvlText w:val=""/>
      <w:lvlJc w:val="left"/>
      <w:pPr>
        <w:tabs>
          <w:tab w:val="num" w:pos="851"/>
        </w:tabs>
        <w:ind w:left="851" w:hanging="851"/>
      </w:pPr>
      <w:rPr>
        <w:rFonts w:ascii="Symbol" w:hAnsi="Symbol" w:hint="default"/>
        <w:color w:val="auto"/>
      </w:rPr>
    </w:lvl>
    <w:lvl w:ilvl="1" w:tplc="B602E818">
      <w:start w:val="1"/>
      <w:numFmt w:val="bullet"/>
      <w:pStyle w:val="Bullethyphen"/>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B96D84"/>
    <w:multiLevelType w:val="multilevel"/>
    <w:tmpl w:val="9F54F868"/>
    <w:lvl w:ilvl="0">
      <w:start w:val="1"/>
      <w:numFmt w:val="bullet"/>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931"/>
        </w:tabs>
        <w:ind w:left="1931" w:hanging="851"/>
      </w:pPr>
      <w:rPr>
        <w:rFonts w:ascii="Arial" w:hAnsi="Arial" w:hint="default"/>
        <w:color w:val="auto"/>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DF4637"/>
    <w:multiLevelType w:val="hybridMultilevel"/>
    <w:tmpl w:val="EE12E6BE"/>
    <w:lvl w:ilvl="0" w:tplc="040E0001">
      <w:start w:val="1"/>
      <w:numFmt w:val="bullet"/>
      <w:lvlText w:val=""/>
      <w:lvlJc w:val="left"/>
      <w:pPr>
        <w:tabs>
          <w:tab w:val="num" w:pos="851"/>
        </w:tabs>
        <w:ind w:left="851" w:hanging="851"/>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CCE6361"/>
    <w:multiLevelType w:val="hybridMultilevel"/>
    <w:tmpl w:val="85BCE492"/>
    <w:lvl w:ilvl="0" w:tplc="BA22576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B7674B"/>
    <w:multiLevelType w:val="multilevel"/>
    <w:tmpl w:val="BCAA7AC0"/>
    <w:lvl w:ilvl="0">
      <w:start w:val="1"/>
      <w:numFmt w:val="decimal"/>
      <w:lvlText w:val="%1."/>
      <w:lvlJc w:val="left"/>
      <w:pPr>
        <w:tabs>
          <w:tab w:val="num" w:pos="851"/>
        </w:tabs>
        <w:ind w:left="851" w:hanging="85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F0D04CC"/>
    <w:multiLevelType w:val="hybridMultilevel"/>
    <w:tmpl w:val="1280297C"/>
    <w:lvl w:ilvl="0" w:tplc="97F6440C">
      <w:start w:val="1"/>
      <w:numFmt w:val="decimal"/>
      <w:lvlText w:val="%1."/>
      <w:lvlJc w:val="left"/>
      <w:pPr>
        <w:ind w:left="1579" w:hanging="1211"/>
      </w:pPr>
      <w:rPr>
        <w:rFonts w:hint="default"/>
        <w:sz w:val="22"/>
      </w:rPr>
    </w:lvl>
    <w:lvl w:ilvl="1" w:tplc="040E0019">
      <w:start w:val="1"/>
      <w:numFmt w:val="lowerLetter"/>
      <w:lvlText w:val="%2."/>
      <w:lvlJc w:val="left"/>
      <w:pPr>
        <w:ind w:left="1448" w:hanging="360"/>
      </w:pPr>
    </w:lvl>
    <w:lvl w:ilvl="2" w:tplc="040E001B" w:tentative="1">
      <w:start w:val="1"/>
      <w:numFmt w:val="lowerRoman"/>
      <w:lvlText w:val="%3."/>
      <w:lvlJc w:val="right"/>
      <w:pPr>
        <w:ind w:left="2168" w:hanging="180"/>
      </w:pPr>
    </w:lvl>
    <w:lvl w:ilvl="3" w:tplc="040E000F" w:tentative="1">
      <w:start w:val="1"/>
      <w:numFmt w:val="decimal"/>
      <w:lvlText w:val="%4."/>
      <w:lvlJc w:val="left"/>
      <w:pPr>
        <w:ind w:left="2888" w:hanging="360"/>
      </w:pPr>
    </w:lvl>
    <w:lvl w:ilvl="4" w:tplc="040E0019" w:tentative="1">
      <w:start w:val="1"/>
      <w:numFmt w:val="lowerLetter"/>
      <w:lvlText w:val="%5."/>
      <w:lvlJc w:val="left"/>
      <w:pPr>
        <w:ind w:left="3608" w:hanging="360"/>
      </w:pPr>
    </w:lvl>
    <w:lvl w:ilvl="5" w:tplc="040E001B" w:tentative="1">
      <w:start w:val="1"/>
      <w:numFmt w:val="lowerRoman"/>
      <w:lvlText w:val="%6."/>
      <w:lvlJc w:val="right"/>
      <w:pPr>
        <w:ind w:left="4328" w:hanging="180"/>
      </w:pPr>
    </w:lvl>
    <w:lvl w:ilvl="6" w:tplc="040E000F" w:tentative="1">
      <w:start w:val="1"/>
      <w:numFmt w:val="decimal"/>
      <w:lvlText w:val="%7."/>
      <w:lvlJc w:val="left"/>
      <w:pPr>
        <w:ind w:left="5048" w:hanging="360"/>
      </w:pPr>
    </w:lvl>
    <w:lvl w:ilvl="7" w:tplc="040E0019" w:tentative="1">
      <w:start w:val="1"/>
      <w:numFmt w:val="lowerLetter"/>
      <w:lvlText w:val="%8."/>
      <w:lvlJc w:val="left"/>
      <w:pPr>
        <w:ind w:left="5768" w:hanging="360"/>
      </w:pPr>
    </w:lvl>
    <w:lvl w:ilvl="8" w:tplc="040E001B" w:tentative="1">
      <w:start w:val="1"/>
      <w:numFmt w:val="lowerRoman"/>
      <w:lvlText w:val="%9."/>
      <w:lvlJc w:val="right"/>
      <w:pPr>
        <w:ind w:left="6488" w:hanging="180"/>
      </w:pPr>
    </w:lvl>
  </w:abstractNum>
  <w:abstractNum w:abstractNumId="28" w15:restartNumberingAfterBreak="0">
    <w:nsid w:val="70A94FCB"/>
    <w:multiLevelType w:val="hybridMultilevel"/>
    <w:tmpl w:val="E1A2A4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4CE51E9"/>
    <w:multiLevelType w:val="hybridMultilevel"/>
    <w:tmpl w:val="3F60B810"/>
    <w:lvl w:ilvl="0" w:tplc="BC9C3E6C">
      <w:start w:val="1"/>
      <w:numFmt w:val="bullet"/>
      <w:lvlText w:val=""/>
      <w:lvlJc w:val="left"/>
      <w:pPr>
        <w:tabs>
          <w:tab w:val="num" w:pos="851"/>
        </w:tabs>
        <w:ind w:left="851" w:hanging="851"/>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B44084"/>
    <w:multiLevelType w:val="hybridMultilevel"/>
    <w:tmpl w:val="894A61E4"/>
    <w:lvl w:ilvl="0" w:tplc="8F96D31E">
      <w:numFmt w:val="bullet"/>
      <w:lvlText w:val="-"/>
      <w:lvlJc w:val="left"/>
      <w:pPr>
        <w:tabs>
          <w:tab w:val="num" w:pos="1199"/>
        </w:tabs>
        <w:ind w:left="1199" w:hanging="360"/>
      </w:pPr>
      <w:rPr>
        <w:rFonts w:ascii="TimesNewRomanPS" w:hAnsi="TimesNewRomanP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3B272E"/>
    <w:multiLevelType w:val="hybridMultilevel"/>
    <w:tmpl w:val="71D0CFB0"/>
    <w:lvl w:ilvl="0" w:tplc="BC9C3E6C">
      <w:start w:val="1"/>
      <w:numFmt w:val="bullet"/>
      <w:lvlText w:val=""/>
      <w:lvlJc w:val="left"/>
      <w:pPr>
        <w:tabs>
          <w:tab w:val="num" w:pos="851"/>
        </w:tabs>
        <w:ind w:left="851" w:hanging="851"/>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3800C4"/>
    <w:multiLevelType w:val="hybridMultilevel"/>
    <w:tmpl w:val="BCAA7AC0"/>
    <w:lvl w:ilvl="0" w:tplc="ACFA8C36">
      <w:start w:val="1"/>
      <w:numFmt w:val="decimal"/>
      <w:pStyle w:val="Bulletnumber"/>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839152646">
    <w:abstractNumId w:val="8"/>
  </w:num>
  <w:num w:numId="2" w16cid:durableId="1588416571">
    <w:abstractNumId w:val="9"/>
  </w:num>
  <w:num w:numId="3" w16cid:durableId="737557702">
    <w:abstractNumId w:val="0"/>
  </w:num>
  <w:num w:numId="4" w16cid:durableId="922644883">
    <w:abstractNumId w:val="22"/>
  </w:num>
  <w:num w:numId="5" w16cid:durableId="1585144622">
    <w:abstractNumId w:val="32"/>
  </w:num>
  <w:num w:numId="6" w16cid:durableId="595485558">
    <w:abstractNumId w:val="18"/>
  </w:num>
  <w:num w:numId="7" w16cid:durableId="49966475">
    <w:abstractNumId w:val="26"/>
  </w:num>
  <w:num w:numId="8" w16cid:durableId="893780132">
    <w:abstractNumId w:val="14"/>
  </w:num>
  <w:num w:numId="9" w16cid:durableId="1052457861">
    <w:abstractNumId w:val="11"/>
  </w:num>
  <w:num w:numId="10" w16cid:durableId="200944745">
    <w:abstractNumId w:val="22"/>
  </w:num>
  <w:num w:numId="11" w16cid:durableId="1960334695">
    <w:abstractNumId w:val="32"/>
  </w:num>
  <w:num w:numId="12" w16cid:durableId="379480877">
    <w:abstractNumId w:val="18"/>
  </w:num>
  <w:num w:numId="13" w16cid:durableId="1664503850">
    <w:abstractNumId w:val="22"/>
  </w:num>
  <w:num w:numId="14" w16cid:durableId="624117354">
    <w:abstractNumId w:val="32"/>
  </w:num>
  <w:num w:numId="15" w16cid:durableId="402027047">
    <w:abstractNumId w:val="18"/>
  </w:num>
  <w:num w:numId="16" w16cid:durableId="38356998">
    <w:abstractNumId w:val="30"/>
  </w:num>
  <w:num w:numId="17" w16cid:durableId="1597711807">
    <w:abstractNumId w:val="6"/>
  </w:num>
  <w:num w:numId="18" w16cid:durableId="1370380402">
    <w:abstractNumId w:val="31"/>
  </w:num>
  <w:num w:numId="19" w16cid:durableId="1236162766">
    <w:abstractNumId w:val="32"/>
    <w:lvlOverride w:ilvl="0">
      <w:startOverride w:val="1"/>
    </w:lvlOverride>
  </w:num>
  <w:num w:numId="20" w16cid:durableId="429594329">
    <w:abstractNumId w:val="18"/>
  </w:num>
  <w:num w:numId="21" w16cid:durableId="945962220">
    <w:abstractNumId w:val="18"/>
  </w:num>
  <w:num w:numId="22" w16cid:durableId="1816019934">
    <w:abstractNumId w:val="13"/>
  </w:num>
  <w:num w:numId="23" w16cid:durableId="1748646495">
    <w:abstractNumId w:val="25"/>
  </w:num>
  <w:num w:numId="24" w16cid:durableId="265385436">
    <w:abstractNumId w:val="5"/>
  </w:num>
  <w:num w:numId="25" w16cid:durableId="1433011609">
    <w:abstractNumId w:val="23"/>
  </w:num>
  <w:num w:numId="26" w16cid:durableId="1990983960">
    <w:abstractNumId w:val="7"/>
  </w:num>
  <w:num w:numId="27" w16cid:durableId="435250049">
    <w:abstractNumId w:val="18"/>
  </w:num>
  <w:num w:numId="28" w16cid:durableId="377362194">
    <w:abstractNumId w:val="29"/>
  </w:num>
  <w:num w:numId="29" w16cid:durableId="1344864576">
    <w:abstractNumId w:val="18"/>
  </w:num>
  <w:num w:numId="30" w16cid:durableId="457527771">
    <w:abstractNumId w:val="4"/>
  </w:num>
  <w:num w:numId="31" w16cid:durableId="263348100">
    <w:abstractNumId w:val="19"/>
  </w:num>
  <w:num w:numId="32" w16cid:durableId="135725804">
    <w:abstractNumId w:val="20"/>
  </w:num>
  <w:num w:numId="33" w16cid:durableId="1475953838">
    <w:abstractNumId w:val="3"/>
  </w:num>
  <w:num w:numId="34" w16cid:durableId="202712691">
    <w:abstractNumId w:val="17"/>
  </w:num>
  <w:num w:numId="35" w16cid:durableId="1127815863">
    <w:abstractNumId w:val="21"/>
  </w:num>
  <w:num w:numId="36" w16cid:durableId="644702849">
    <w:abstractNumId w:val="10"/>
  </w:num>
  <w:num w:numId="37" w16cid:durableId="1299190520">
    <w:abstractNumId w:val="27"/>
  </w:num>
  <w:num w:numId="38" w16cid:durableId="1966736146">
    <w:abstractNumId w:val="16"/>
  </w:num>
  <w:num w:numId="39" w16cid:durableId="2062317157">
    <w:abstractNumId w:val="2"/>
  </w:num>
  <w:num w:numId="40" w16cid:durableId="1678842467">
    <w:abstractNumId w:val="1"/>
  </w:num>
  <w:num w:numId="41" w16cid:durableId="1923679319">
    <w:abstractNumId w:val="24"/>
  </w:num>
  <w:num w:numId="42" w16cid:durableId="511336466">
    <w:abstractNumId w:val="28"/>
  </w:num>
  <w:num w:numId="43" w16cid:durableId="1799955024">
    <w:abstractNumId w:val="15"/>
  </w:num>
  <w:num w:numId="44" w16cid:durableId="5617172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VarDocType" w:val="BISPubli_E"/>
    <w:docVar w:name="VarDotVersion" w:val="BIS0.8"/>
  </w:docVars>
  <w:rsids>
    <w:rsidRoot w:val="00937341"/>
    <w:rsid w:val="0000371B"/>
    <w:rsid w:val="00006E68"/>
    <w:rsid w:val="000123D2"/>
    <w:rsid w:val="0001367B"/>
    <w:rsid w:val="000162C2"/>
    <w:rsid w:val="000201FB"/>
    <w:rsid w:val="000265AE"/>
    <w:rsid w:val="000268BC"/>
    <w:rsid w:val="000361A0"/>
    <w:rsid w:val="00050DAF"/>
    <w:rsid w:val="00050F9B"/>
    <w:rsid w:val="000548BA"/>
    <w:rsid w:val="00060A2A"/>
    <w:rsid w:val="00062846"/>
    <w:rsid w:val="0006386E"/>
    <w:rsid w:val="00063A7A"/>
    <w:rsid w:val="00064092"/>
    <w:rsid w:val="000648A2"/>
    <w:rsid w:val="00064F62"/>
    <w:rsid w:val="000733F0"/>
    <w:rsid w:val="00074540"/>
    <w:rsid w:val="000754A9"/>
    <w:rsid w:val="00080AFD"/>
    <w:rsid w:val="000819A0"/>
    <w:rsid w:val="0008671E"/>
    <w:rsid w:val="00086E64"/>
    <w:rsid w:val="00096B14"/>
    <w:rsid w:val="00097AF2"/>
    <w:rsid w:val="000A0B32"/>
    <w:rsid w:val="000A1C98"/>
    <w:rsid w:val="000B5CC6"/>
    <w:rsid w:val="000B5D62"/>
    <w:rsid w:val="000C0125"/>
    <w:rsid w:val="000C62E2"/>
    <w:rsid w:val="000C7C5E"/>
    <w:rsid w:val="000D1E93"/>
    <w:rsid w:val="000D50B2"/>
    <w:rsid w:val="000D59BA"/>
    <w:rsid w:val="000D66C6"/>
    <w:rsid w:val="000D6E7F"/>
    <w:rsid w:val="000E0E82"/>
    <w:rsid w:val="000E435F"/>
    <w:rsid w:val="000E6BAD"/>
    <w:rsid w:val="000E6E82"/>
    <w:rsid w:val="000F100F"/>
    <w:rsid w:val="001000ED"/>
    <w:rsid w:val="001012E0"/>
    <w:rsid w:val="001131B9"/>
    <w:rsid w:val="00123DE9"/>
    <w:rsid w:val="00134193"/>
    <w:rsid w:val="00135E12"/>
    <w:rsid w:val="00136D72"/>
    <w:rsid w:val="001609AA"/>
    <w:rsid w:val="0016640F"/>
    <w:rsid w:val="00166441"/>
    <w:rsid w:val="00170859"/>
    <w:rsid w:val="00172C5F"/>
    <w:rsid w:val="00180BD7"/>
    <w:rsid w:val="00181903"/>
    <w:rsid w:val="00184FCF"/>
    <w:rsid w:val="00186BD1"/>
    <w:rsid w:val="00192BC0"/>
    <w:rsid w:val="001967E4"/>
    <w:rsid w:val="001A2097"/>
    <w:rsid w:val="001A3626"/>
    <w:rsid w:val="001A4DED"/>
    <w:rsid w:val="001A53C8"/>
    <w:rsid w:val="001A5AD9"/>
    <w:rsid w:val="001A6A48"/>
    <w:rsid w:val="001A77F4"/>
    <w:rsid w:val="001B0315"/>
    <w:rsid w:val="001B2626"/>
    <w:rsid w:val="001B4262"/>
    <w:rsid w:val="001B4F06"/>
    <w:rsid w:val="001C2D09"/>
    <w:rsid w:val="001C6DE2"/>
    <w:rsid w:val="001D1709"/>
    <w:rsid w:val="00200661"/>
    <w:rsid w:val="00202798"/>
    <w:rsid w:val="00206A85"/>
    <w:rsid w:val="00211E33"/>
    <w:rsid w:val="0021415A"/>
    <w:rsid w:val="0021494B"/>
    <w:rsid w:val="00222294"/>
    <w:rsid w:val="0022750C"/>
    <w:rsid w:val="00235AF7"/>
    <w:rsid w:val="00236348"/>
    <w:rsid w:val="002377C6"/>
    <w:rsid w:val="002460B4"/>
    <w:rsid w:val="00250494"/>
    <w:rsid w:val="00252DF6"/>
    <w:rsid w:val="00252FF3"/>
    <w:rsid w:val="002620FD"/>
    <w:rsid w:val="002648A9"/>
    <w:rsid w:val="00266365"/>
    <w:rsid w:val="0026639C"/>
    <w:rsid w:val="00266BDE"/>
    <w:rsid w:val="00273071"/>
    <w:rsid w:val="00274B79"/>
    <w:rsid w:val="00274FC3"/>
    <w:rsid w:val="00277C1D"/>
    <w:rsid w:val="002847F2"/>
    <w:rsid w:val="002850C4"/>
    <w:rsid w:val="00285E46"/>
    <w:rsid w:val="0028669A"/>
    <w:rsid w:val="00290070"/>
    <w:rsid w:val="00291A3E"/>
    <w:rsid w:val="00291B56"/>
    <w:rsid w:val="002A304E"/>
    <w:rsid w:val="002A7FB2"/>
    <w:rsid w:val="002C0DCC"/>
    <w:rsid w:val="002C191B"/>
    <w:rsid w:val="002C4587"/>
    <w:rsid w:val="002C600E"/>
    <w:rsid w:val="002D521B"/>
    <w:rsid w:val="002D74F7"/>
    <w:rsid w:val="002E5CD0"/>
    <w:rsid w:val="002F0A9D"/>
    <w:rsid w:val="002F174D"/>
    <w:rsid w:val="002F220F"/>
    <w:rsid w:val="002F7B60"/>
    <w:rsid w:val="00300E8F"/>
    <w:rsid w:val="00302BC6"/>
    <w:rsid w:val="00304B1E"/>
    <w:rsid w:val="003135B1"/>
    <w:rsid w:val="00315C0D"/>
    <w:rsid w:val="00317F2F"/>
    <w:rsid w:val="003206F0"/>
    <w:rsid w:val="00340C9A"/>
    <w:rsid w:val="00346497"/>
    <w:rsid w:val="00351725"/>
    <w:rsid w:val="00354327"/>
    <w:rsid w:val="00354B4B"/>
    <w:rsid w:val="00361836"/>
    <w:rsid w:val="00364B8A"/>
    <w:rsid w:val="00366DC4"/>
    <w:rsid w:val="00370AC9"/>
    <w:rsid w:val="00372914"/>
    <w:rsid w:val="00372976"/>
    <w:rsid w:val="003746E3"/>
    <w:rsid w:val="003756F8"/>
    <w:rsid w:val="00381425"/>
    <w:rsid w:val="00382D4F"/>
    <w:rsid w:val="00385619"/>
    <w:rsid w:val="00392247"/>
    <w:rsid w:val="00394A94"/>
    <w:rsid w:val="00394EE0"/>
    <w:rsid w:val="003953D9"/>
    <w:rsid w:val="003A0F7E"/>
    <w:rsid w:val="003A1D8E"/>
    <w:rsid w:val="003A4184"/>
    <w:rsid w:val="003A4CD7"/>
    <w:rsid w:val="003A5811"/>
    <w:rsid w:val="003B1733"/>
    <w:rsid w:val="003B1768"/>
    <w:rsid w:val="003B25F5"/>
    <w:rsid w:val="003C1A5E"/>
    <w:rsid w:val="003C1C6D"/>
    <w:rsid w:val="003C3738"/>
    <w:rsid w:val="003C7665"/>
    <w:rsid w:val="003D4BB6"/>
    <w:rsid w:val="003D4CAA"/>
    <w:rsid w:val="003E238C"/>
    <w:rsid w:val="003E3397"/>
    <w:rsid w:val="003E3DCA"/>
    <w:rsid w:val="003E4C85"/>
    <w:rsid w:val="003F09F9"/>
    <w:rsid w:val="003F5FE1"/>
    <w:rsid w:val="003F7978"/>
    <w:rsid w:val="00411430"/>
    <w:rsid w:val="00415D80"/>
    <w:rsid w:val="00416BB2"/>
    <w:rsid w:val="00416E29"/>
    <w:rsid w:val="00417920"/>
    <w:rsid w:val="00420EF7"/>
    <w:rsid w:val="004213C9"/>
    <w:rsid w:val="00422D78"/>
    <w:rsid w:val="00426769"/>
    <w:rsid w:val="004323DE"/>
    <w:rsid w:val="004406A4"/>
    <w:rsid w:val="004445BA"/>
    <w:rsid w:val="00444B86"/>
    <w:rsid w:val="004471F9"/>
    <w:rsid w:val="00451AD8"/>
    <w:rsid w:val="00453F4D"/>
    <w:rsid w:val="00456CE3"/>
    <w:rsid w:val="004640B1"/>
    <w:rsid w:val="00466F5D"/>
    <w:rsid w:val="00470A31"/>
    <w:rsid w:val="00475FE2"/>
    <w:rsid w:val="0047695B"/>
    <w:rsid w:val="0047722B"/>
    <w:rsid w:val="004821E7"/>
    <w:rsid w:val="0048251E"/>
    <w:rsid w:val="00482AAB"/>
    <w:rsid w:val="0048334F"/>
    <w:rsid w:val="00486B57"/>
    <w:rsid w:val="00492275"/>
    <w:rsid w:val="00492EF5"/>
    <w:rsid w:val="004A2F3B"/>
    <w:rsid w:val="004A7CEC"/>
    <w:rsid w:val="004B33BE"/>
    <w:rsid w:val="004D114D"/>
    <w:rsid w:val="004D3BEE"/>
    <w:rsid w:val="004D7E62"/>
    <w:rsid w:val="004E25D0"/>
    <w:rsid w:val="004E3AE6"/>
    <w:rsid w:val="004F1023"/>
    <w:rsid w:val="004F3C9D"/>
    <w:rsid w:val="00500356"/>
    <w:rsid w:val="00515290"/>
    <w:rsid w:val="005172A4"/>
    <w:rsid w:val="005174B2"/>
    <w:rsid w:val="00522BB6"/>
    <w:rsid w:val="00525821"/>
    <w:rsid w:val="00530B42"/>
    <w:rsid w:val="005310DF"/>
    <w:rsid w:val="0053561E"/>
    <w:rsid w:val="005360C6"/>
    <w:rsid w:val="00536B5D"/>
    <w:rsid w:val="005406A5"/>
    <w:rsid w:val="00541CF8"/>
    <w:rsid w:val="005421CA"/>
    <w:rsid w:val="00542335"/>
    <w:rsid w:val="0054352D"/>
    <w:rsid w:val="00546524"/>
    <w:rsid w:val="00553BFB"/>
    <w:rsid w:val="0056128C"/>
    <w:rsid w:val="00561A66"/>
    <w:rsid w:val="00562DBA"/>
    <w:rsid w:val="005640E0"/>
    <w:rsid w:val="005701BF"/>
    <w:rsid w:val="00572563"/>
    <w:rsid w:val="00573BD7"/>
    <w:rsid w:val="00576816"/>
    <w:rsid w:val="005828EC"/>
    <w:rsid w:val="00583F07"/>
    <w:rsid w:val="00585E8A"/>
    <w:rsid w:val="00591A15"/>
    <w:rsid w:val="005A061D"/>
    <w:rsid w:val="005A393C"/>
    <w:rsid w:val="005A4AE4"/>
    <w:rsid w:val="005A518B"/>
    <w:rsid w:val="005A6850"/>
    <w:rsid w:val="005B34DD"/>
    <w:rsid w:val="005B3AE9"/>
    <w:rsid w:val="005B4487"/>
    <w:rsid w:val="005B47B6"/>
    <w:rsid w:val="005B5271"/>
    <w:rsid w:val="005C0CE3"/>
    <w:rsid w:val="005C1C6B"/>
    <w:rsid w:val="005C45DE"/>
    <w:rsid w:val="005C6555"/>
    <w:rsid w:val="005C703D"/>
    <w:rsid w:val="005D004E"/>
    <w:rsid w:val="005D2F8C"/>
    <w:rsid w:val="005D3B0B"/>
    <w:rsid w:val="005E1077"/>
    <w:rsid w:val="005E3530"/>
    <w:rsid w:val="005E43BC"/>
    <w:rsid w:val="005E7175"/>
    <w:rsid w:val="005F0384"/>
    <w:rsid w:val="005F15AD"/>
    <w:rsid w:val="005F215F"/>
    <w:rsid w:val="005F4320"/>
    <w:rsid w:val="005F51D6"/>
    <w:rsid w:val="005F793A"/>
    <w:rsid w:val="006143C4"/>
    <w:rsid w:val="006151A2"/>
    <w:rsid w:val="006176E6"/>
    <w:rsid w:val="006211AB"/>
    <w:rsid w:val="006276B9"/>
    <w:rsid w:val="0062770F"/>
    <w:rsid w:val="006314F4"/>
    <w:rsid w:val="0063453E"/>
    <w:rsid w:val="006366EF"/>
    <w:rsid w:val="006446F5"/>
    <w:rsid w:val="006458C1"/>
    <w:rsid w:val="00647012"/>
    <w:rsid w:val="00651DFB"/>
    <w:rsid w:val="00653174"/>
    <w:rsid w:val="00653DA9"/>
    <w:rsid w:val="00653ECD"/>
    <w:rsid w:val="006556A4"/>
    <w:rsid w:val="00656D00"/>
    <w:rsid w:val="006608B9"/>
    <w:rsid w:val="0066411B"/>
    <w:rsid w:val="00664278"/>
    <w:rsid w:val="00667F81"/>
    <w:rsid w:val="00671DF2"/>
    <w:rsid w:val="00673965"/>
    <w:rsid w:val="00673C4C"/>
    <w:rsid w:val="00675856"/>
    <w:rsid w:val="0067788A"/>
    <w:rsid w:val="00685A8E"/>
    <w:rsid w:val="00687B4D"/>
    <w:rsid w:val="00694029"/>
    <w:rsid w:val="006B45F4"/>
    <w:rsid w:val="006B56DE"/>
    <w:rsid w:val="006B5E6B"/>
    <w:rsid w:val="006C1A8F"/>
    <w:rsid w:val="006D148A"/>
    <w:rsid w:val="006D4E4E"/>
    <w:rsid w:val="006D6C70"/>
    <w:rsid w:val="006F30C2"/>
    <w:rsid w:val="006F70D6"/>
    <w:rsid w:val="00700B15"/>
    <w:rsid w:val="00700BDA"/>
    <w:rsid w:val="00701AC1"/>
    <w:rsid w:val="00702518"/>
    <w:rsid w:val="0070484C"/>
    <w:rsid w:val="007070E2"/>
    <w:rsid w:val="007102CF"/>
    <w:rsid w:val="007142E9"/>
    <w:rsid w:val="00727836"/>
    <w:rsid w:val="00727DDA"/>
    <w:rsid w:val="00732969"/>
    <w:rsid w:val="007357AC"/>
    <w:rsid w:val="00742C29"/>
    <w:rsid w:val="0074561E"/>
    <w:rsid w:val="00747180"/>
    <w:rsid w:val="00747E48"/>
    <w:rsid w:val="00751502"/>
    <w:rsid w:val="00754975"/>
    <w:rsid w:val="00756D68"/>
    <w:rsid w:val="00761327"/>
    <w:rsid w:val="00762C99"/>
    <w:rsid w:val="00771586"/>
    <w:rsid w:val="00774002"/>
    <w:rsid w:val="00781255"/>
    <w:rsid w:val="0078187E"/>
    <w:rsid w:val="00783A4A"/>
    <w:rsid w:val="00784C6A"/>
    <w:rsid w:val="00787BD4"/>
    <w:rsid w:val="00796477"/>
    <w:rsid w:val="007A1FFE"/>
    <w:rsid w:val="007B123D"/>
    <w:rsid w:val="007B3D73"/>
    <w:rsid w:val="007B4529"/>
    <w:rsid w:val="007B53A5"/>
    <w:rsid w:val="007C33CD"/>
    <w:rsid w:val="007D1E6A"/>
    <w:rsid w:val="007E1471"/>
    <w:rsid w:val="007E2D5A"/>
    <w:rsid w:val="007F3C16"/>
    <w:rsid w:val="007F566C"/>
    <w:rsid w:val="008004F4"/>
    <w:rsid w:val="00800618"/>
    <w:rsid w:val="00805609"/>
    <w:rsid w:val="00806EC0"/>
    <w:rsid w:val="0080796F"/>
    <w:rsid w:val="0081517F"/>
    <w:rsid w:val="00816D5A"/>
    <w:rsid w:val="0082213E"/>
    <w:rsid w:val="0082214A"/>
    <w:rsid w:val="008225ED"/>
    <w:rsid w:val="00822734"/>
    <w:rsid w:val="00822AB3"/>
    <w:rsid w:val="00823640"/>
    <w:rsid w:val="008259CA"/>
    <w:rsid w:val="00825AD3"/>
    <w:rsid w:val="00831633"/>
    <w:rsid w:val="00833FF9"/>
    <w:rsid w:val="0083409E"/>
    <w:rsid w:val="00835DF1"/>
    <w:rsid w:val="00837F47"/>
    <w:rsid w:val="00842D3B"/>
    <w:rsid w:val="00845CF1"/>
    <w:rsid w:val="008504D2"/>
    <w:rsid w:val="00852C05"/>
    <w:rsid w:val="00852E47"/>
    <w:rsid w:val="00857D41"/>
    <w:rsid w:val="0086234C"/>
    <w:rsid w:val="00863F30"/>
    <w:rsid w:val="008653DC"/>
    <w:rsid w:val="00867E80"/>
    <w:rsid w:val="008702D8"/>
    <w:rsid w:val="00872F43"/>
    <w:rsid w:val="0087427C"/>
    <w:rsid w:val="008764FF"/>
    <w:rsid w:val="00881740"/>
    <w:rsid w:val="008832E1"/>
    <w:rsid w:val="0089175B"/>
    <w:rsid w:val="00893BF3"/>
    <w:rsid w:val="0089770D"/>
    <w:rsid w:val="008A02A5"/>
    <w:rsid w:val="008A3E96"/>
    <w:rsid w:val="008A48BE"/>
    <w:rsid w:val="008A66F1"/>
    <w:rsid w:val="008A6ED8"/>
    <w:rsid w:val="008A7EB9"/>
    <w:rsid w:val="008B24B0"/>
    <w:rsid w:val="008B48B7"/>
    <w:rsid w:val="008B4C63"/>
    <w:rsid w:val="008C1A5E"/>
    <w:rsid w:val="008C21AF"/>
    <w:rsid w:val="008C54FB"/>
    <w:rsid w:val="008C77F2"/>
    <w:rsid w:val="008D10A9"/>
    <w:rsid w:val="008D2A5B"/>
    <w:rsid w:val="008E29B4"/>
    <w:rsid w:val="008E3832"/>
    <w:rsid w:val="008E615F"/>
    <w:rsid w:val="008E6777"/>
    <w:rsid w:val="00915B6C"/>
    <w:rsid w:val="00917493"/>
    <w:rsid w:val="009256B0"/>
    <w:rsid w:val="00926494"/>
    <w:rsid w:val="00927243"/>
    <w:rsid w:val="009278D4"/>
    <w:rsid w:val="00937341"/>
    <w:rsid w:val="0094239B"/>
    <w:rsid w:val="009452AF"/>
    <w:rsid w:val="0094616C"/>
    <w:rsid w:val="00946CF6"/>
    <w:rsid w:val="00950857"/>
    <w:rsid w:val="00950F11"/>
    <w:rsid w:val="00952E82"/>
    <w:rsid w:val="009562EC"/>
    <w:rsid w:val="0095687C"/>
    <w:rsid w:val="00956E2A"/>
    <w:rsid w:val="00957FEE"/>
    <w:rsid w:val="0096022F"/>
    <w:rsid w:val="0096399C"/>
    <w:rsid w:val="00964C4D"/>
    <w:rsid w:val="009657C5"/>
    <w:rsid w:val="00980E9F"/>
    <w:rsid w:val="00982377"/>
    <w:rsid w:val="00984B18"/>
    <w:rsid w:val="009855C4"/>
    <w:rsid w:val="00985A30"/>
    <w:rsid w:val="00995017"/>
    <w:rsid w:val="00997130"/>
    <w:rsid w:val="009A3F33"/>
    <w:rsid w:val="009A67B7"/>
    <w:rsid w:val="009B1D95"/>
    <w:rsid w:val="009B35BF"/>
    <w:rsid w:val="009C0CA2"/>
    <w:rsid w:val="009C272F"/>
    <w:rsid w:val="009C43C1"/>
    <w:rsid w:val="009C5B71"/>
    <w:rsid w:val="009D59A1"/>
    <w:rsid w:val="009E56AB"/>
    <w:rsid w:val="009E61C3"/>
    <w:rsid w:val="009F0167"/>
    <w:rsid w:val="009F31A0"/>
    <w:rsid w:val="009F4EFF"/>
    <w:rsid w:val="00A01095"/>
    <w:rsid w:val="00A03F0A"/>
    <w:rsid w:val="00A1110C"/>
    <w:rsid w:val="00A12E9C"/>
    <w:rsid w:val="00A1382C"/>
    <w:rsid w:val="00A1406D"/>
    <w:rsid w:val="00A14443"/>
    <w:rsid w:val="00A172A1"/>
    <w:rsid w:val="00A23BFF"/>
    <w:rsid w:val="00A31A46"/>
    <w:rsid w:val="00A34E73"/>
    <w:rsid w:val="00A36DFB"/>
    <w:rsid w:val="00A37872"/>
    <w:rsid w:val="00A40303"/>
    <w:rsid w:val="00A4139D"/>
    <w:rsid w:val="00A4157E"/>
    <w:rsid w:val="00A43276"/>
    <w:rsid w:val="00A43950"/>
    <w:rsid w:val="00A44422"/>
    <w:rsid w:val="00A44A5F"/>
    <w:rsid w:val="00A4522B"/>
    <w:rsid w:val="00A45BF8"/>
    <w:rsid w:val="00A45E03"/>
    <w:rsid w:val="00A47C18"/>
    <w:rsid w:val="00A50B5C"/>
    <w:rsid w:val="00A50F82"/>
    <w:rsid w:val="00A57337"/>
    <w:rsid w:val="00A601EE"/>
    <w:rsid w:val="00A603C5"/>
    <w:rsid w:val="00A6063B"/>
    <w:rsid w:val="00A61C8C"/>
    <w:rsid w:val="00A62CD4"/>
    <w:rsid w:val="00A65F40"/>
    <w:rsid w:val="00A662AD"/>
    <w:rsid w:val="00A75899"/>
    <w:rsid w:val="00A774F9"/>
    <w:rsid w:val="00A82917"/>
    <w:rsid w:val="00A856BF"/>
    <w:rsid w:val="00A86AA5"/>
    <w:rsid w:val="00A95281"/>
    <w:rsid w:val="00A9654B"/>
    <w:rsid w:val="00AA0CD3"/>
    <w:rsid w:val="00AA22B7"/>
    <w:rsid w:val="00AA24A9"/>
    <w:rsid w:val="00AA2AA3"/>
    <w:rsid w:val="00AA393A"/>
    <w:rsid w:val="00AA469D"/>
    <w:rsid w:val="00AA76DF"/>
    <w:rsid w:val="00AB25F2"/>
    <w:rsid w:val="00AB5EA7"/>
    <w:rsid w:val="00AC54C6"/>
    <w:rsid w:val="00AC557B"/>
    <w:rsid w:val="00AD3362"/>
    <w:rsid w:val="00AD3948"/>
    <w:rsid w:val="00AE060C"/>
    <w:rsid w:val="00AE3899"/>
    <w:rsid w:val="00AE7DA3"/>
    <w:rsid w:val="00AF20C0"/>
    <w:rsid w:val="00AF4D1A"/>
    <w:rsid w:val="00AF7452"/>
    <w:rsid w:val="00AF7745"/>
    <w:rsid w:val="00AF7EAE"/>
    <w:rsid w:val="00AF7F0A"/>
    <w:rsid w:val="00B064C5"/>
    <w:rsid w:val="00B07AC0"/>
    <w:rsid w:val="00B16BDB"/>
    <w:rsid w:val="00B22462"/>
    <w:rsid w:val="00B2291B"/>
    <w:rsid w:val="00B307EC"/>
    <w:rsid w:val="00B31AA8"/>
    <w:rsid w:val="00B326A0"/>
    <w:rsid w:val="00B32E4A"/>
    <w:rsid w:val="00B33B5F"/>
    <w:rsid w:val="00B35117"/>
    <w:rsid w:val="00B41768"/>
    <w:rsid w:val="00B42333"/>
    <w:rsid w:val="00B45A66"/>
    <w:rsid w:val="00B53492"/>
    <w:rsid w:val="00B53B4D"/>
    <w:rsid w:val="00B6176C"/>
    <w:rsid w:val="00B63367"/>
    <w:rsid w:val="00B75A0B"/>
    <w:rsid w:val="00B766FA"/>
    <w:rsid w:val="00B7693C"/>
    <w:rsid w:val="00B76A4D"/>
    <w:rsid w:val="00B779DF"/>
    <w:rsid w:val="00B8060D"/>
    <w:rsid w:val="00B80768"/>
    <w:rsid w:val="00B81B30"/>
    <w:rsid w:val="00B8685F"/>
    <w:rsid w:val="00B9053A"/>
    <w:rsid w:val="00BA1402"/>
    <w:rsid w:val="00BA2769"/>
    <w:rsid w:val="00BA3945"/>
    <w:rsid w:val="00BB0FA5"/>
    <w:rsid w:val="00BB1F7C"/>
    <w:rsid w:val="00BB3B8B"/>
    <w:rsid w:val="00BB4700"/>
    <w:rsid w:val="00BB6A2B"/>
    <w:rsid w:val="00BB6B4A"/>
    <w:rsid w:val="00BB7ACC"/>
    <w:rsid w:val="00BC28EF"/>
    <w:rsid w:val="00BC3454"/>
    <w:rsid w:val="00BC357C"/>
    <w:rsid w:val="00BC5B66"/>
    <w:rsid w:val="00BC5BBF"/>
    <w:rsid w:val="00BC5F4D"/>
    <w:rsid w:val="00BC6169"/>
    <w:rsid w:val="00BD529B"/>
    <w:rsid w:val="00BE2E80"/>
    <w:rsid w:val="00BE4107"/>
    <w:rsid w:val="00BF09AD"/>
    <w:rsid w:val="00BF3BBA"/>
    <w:rsid w:val="00C03F71"/>
    <w:rsid w:val="00C05204"/>
    <w:rsid w:val="00C107A5"/>
    <w:rsid w:val="00C1180A"/>
    <w:rsid w:val="00C12AD8"/>
    <w:rsid w:val="00C12DAF"/>
    <w:rsid w:val="00C15095"/>
    <w:rsid w:val="00C16661"/>
    <w:rsid w:val="00C21A39"/>
    <w:rsid w:val="00C2275E"/>
    <w:rsid w:val="00C22EAC"/>
    <w:rsid w:val="00C245F2"/>
    <w:rsid w:val="00C26D28"/>
    <w:rsid w:val="00C3094C"/>
    <w:rsid w:val="00C36EC8"/>
    <w:rsid w:val="00C37672"/>
    <w:rsid w:val="00C403CF"/>
    <w:rsid w:val="00C5074E"/>
    <w:rsid w:val="00C56639"/>
    <w:rsid w:val="00C571C7"/>
    <w:rsid w:val="00C57C99"/>
    <w:rsid w:val="00C63121"/>
    <w:rsid w:val="00C72AEB"/>
    <w:rsid w:val="00C73983"/>
    <w:rsid w:val="00C7443A"/>
    <w:rsid w:val="00C7492D"/>
    <w:rsid w:val="00C75C55"/>
    <w:rsid w:val="00C84477"/>
    <w:rsid w:val="00C85544"/>
    <w:rsid w:val="00C92B05"/>
    <w:rsid w:val="00C9409B"/>
    <w:rsid w:val="00C950BD"/>
    <w:rsid w:val="00C955C5"/>
    <w:rsid w:val="00C967DA"/>
    <w:rsid w:val="00C97024"/>
    <w:rsid w:val="00CB265A"/>
    <w:rsid w:val="00CB417B"/>
    <w:rsid w:val="00CB7D0C"/>
    <w:rsid w:val="00CC0FDC"/>
    <w:rsid w:val="00CC584F"/>
    <w:rsid w:val="00CC6F75"/>
    <w:rsid w:val="00CD01BB"/>
    <w:rsid w:val="00CD375D"/>
    <w:rsid w:val="00CD46E2"/>
    <w:rsid w:val="00CD4D50"/>
    <w:rsid w:val="00CD7461"/>
    <w:rsid w:val="00CE163C"/>
    <w:rsid w:val="00CE1864"/>
    <w:rsid w:val="00CE7C53"/>
    <w:rsid w:val="00CF3C90"/>
    <w:rsid w:val="00D01BCC"/>
    <w:rsid w:val="00D13EE5"/>
    <w:rsid w:val="00D17898"/>
    <w:rsid w:val="00D20531"/>
    <w:rsid w:val="00D20A65"/>
    <w:rsid w:val="00D212F5"/>
    <w:rsid w:val="00D21FA9"/>
    <w:rsid w:val="00D27BBE"/>
    <w:rsid w:val="00D313C3"/>
    <w:rsid w:val="00D31CB9"/>
    <w:rsid w:val="00D340D5"/>
    <w:rsid w:val="00D355A2"/>
    <w:rsid w:val="00D445A0"/>
    <w:rsid w:val="00D46ABF"/>
    <w:rsid w:val="00D5334E"/>
    <w:rsid w:val="00D568BE"/>
    <w:rsid w:val="00D601F6"/>
    <w:rsid w:val="00D623C4"/>
    <w:rsid w:val="00D62759"/>
    <w:rsid w:val="00D63B96"/>
    <w:rsid w:val="00D6589E"/>
    <w:rsid w:val="00D70E57"/>
    <w:rsid w:val="00D72B5F"/>
    <w:rsid w:val="00D76C42"/>
    <w:rsid w:val="00D8006F"/>
    <w:rsid w:val="00D81B61"/>
    <w:rsid w:val="00D83D5E"/>
    <w:rsid w:val="00D862CB"/>
    <w:rsid w:val="00D86A1E"/>
    <w:rsid w:val="00D902DA"/>
    <w:rsid w:val="00D903BE"/>
    <w:rsid w:val="00D945D8"/>
    <w:rsid w:val="00D947EE"/>
    <w:rsid w:val="00D964C2"/>
    <w:rsid w:val="00D96A1A"/>
    <w:rsid w:val="00D9784D"/>
    <w:rsid w:val="00DA4EC6"/>
    <w:rsid w:val="00DB15AE"/>
    <w:rsid w:val="00DB18D6"/>
    <w:rsid w:val="00DB4331"/>
    <w:rsid w:val="00DB5F21"/>
    <w:rsid w:val="00DB73F6"/>
    <w:rsid w:val="00DC6F43"/>
    <w:rsid w:val="00DE6805"/>
    <w:rsid w:val="00DF1AE3"/>
    <w:rsid w:val="00DF6F13"/>
    <w:rsid w:val="00E012AF"/>
    <w:rsid w:val="00E027E1"/>
    <w:rsid w:val="00E0641F"/>
    <w:rsid w:val="00E06EC3"/>
    <w:rsid w:val="00E10153"/>
    <w:rsid w:val="00E11481"/>
    <w:rsid w:val="00E15F85"/>
    <w:rsid w:val="00E23976"/>
    <w:rsid w:val="00E2583B"/>
    <w:rsid w:val="00E26D9B"/>
    <w:rsid w:val="00E27495"/>
    <w:rsid w:val="00E337BC"/>
    <w:rsid w:val="00E36012"/>
    <w:rsid w:val="00E37DBB"/>
    <w:rsid w:val="00E418CB"/>
    <w:rsid w:val="00E52B65"/>
    <w:rsid w:val="00E52B90"/>
    <w:rsid w:val="00E532E4"/>
    <w:rsid w:val="00E54358"/>
    <w:rsid w:val="00E55BD3"/>
    <w:rsid w:val="00E55CDA"/>
    <w:rsid w:val="00E57FAC"/>
    <w:rsid w:val="00E62621"/>
    <w:rsid w:val="00E63535"/>
    <w:rsid w:val="00E66355"/>
    <w:rsid w:val="00E672C1"/>
    <w:rsid w:val="00E6778D"/>
    <w:rsid w:val="00E70168"/>
    <w:rsid w:val="00E71C5F"/>
    <w:rsid w:val="00E76B8A"/>
    <w:rsid w:val="00E84ABB"/>
    <w:rsid w:val="00E86FEF"/>
    <w:rsid w:val="00E9232C"/>
    <w:rsid w:val="00E935AA"/>
    <w:rsid w:val="00E93D7B"/>
    <w:rsid w:val="00E941F8"/>
    <w:rsid w:val="00E954C3"/>
    <w:rsid w:val="00E962FF"/>
    <w:rsid w:val="00E9728C"/>
    <w:rsid w:val="00EA0B26"/>
    <w:rsid w:val="00EA4821"/>
    <w:rsid w:val="00EB135A"/>
    <w:rsid w:val="00EB28EF"/>
    <w:rsid w:val="00EB3038"/>
    <w:rsid w:val="00EB308E"/>
    <w:rsid w:val="00EC0DD2"/>
    <w:rsid w:val="00EC0F37"/>
    <w:rsid w:val="00EC4A2B"/>
    <w:rsid w:val="00EC4C0A"/>
    <w:rsid w:val="00ED3711"/>
    <w:rsid w:val="00ED654B"/>
    <w:rsid w:val="00ED6995"/>
    <w:rsid w:val="00EE2B90"/>
    <w:rsid w:val="00EE655C"/>
    <w:rsid w:val="00EF07F7"/>
    <w:rsid w:val="00EF111D"/>
    <w:rsid w:val="00EF3E8C"/>
    <w:rsid w:val="00EF4F28"/>
    <w:rsid w:val="00F01DEE"/>
    <w:rsid w:val="00F11E8B"/>
    <w:rsid w:val="00F13EA8"/>
    <w:rsid w:val="00F154C2"/>
    <w:rsid w:val="00F21A5D"/>
    <w:rsid w:val="00F25C23"/>
    <w:rsid w:val="00F42DF5"/>
    <w:rsid w:val="00F51DAB"/>
    <w:rsid w:val="00F5583B"/>
    <w:rsid w:val="00F65A84"/>
    <w:rsid w:val="00F66479"/>
    <w:rsid w:val="00F67546"/>
    <w:rsid w:val="00F67B23"/>
    <w:rsid w:val="00F76726"/>
    <w:rsid w:val="00F8028B"/>
    <w:rsid w:val="00F80A72"/>
    <w:rsid w:val="00F81A8E"/>
    <w:rsid w:val="00F82750"/>
    <w:rsid w:val="00F860E1"/>
    <w:rsid w:val="00F96BDE"/>
    <w:rsid w:val="00F97833"/>
    <w:rsid w:val="00FA0E57"/>
    <w:rsid w:val="00FA1A7F"/>
    <w:rsid w:val="00FA6A93"/>
    <w:rsid w:val="00FA6AAE"/>
    <w:rsid w:val="00FB1BA6"/>
    <w:rsid w:val="00FB430D"/>
    <w:rsid w:val="00FB46A8"/>
    <w:rsid w:val="00FB5ED8"/>
    <w:rsid w:val="00FC073F"/>
    <w:rsid w:val="00FC2260"/>
    <w:rsid w:val="00FC4BBF"/>
    <w:rsid w:val="00FC54E9"/>
    <w:rsid w:val="00FD00A2"/>
    <w:rsid w:val="00FD0495"/>
    <w:rsid w:val="00FD140B"/>
    <w:rsid w:val="00FD3C47"/>
    <w:rsid w:val="00FD752E"/>
    <w:rsid w:val="00FD7861"/>
    <w:rsid w:val="00FE0A33"/>
    <w:rsid w:val="00FE18B4"/>
    <w:rsid w:val="00FE2181"/>
    <w:rsid w:val="00FE5851"/>
    <w:rsid w:val="00FE6B21"/>
    <w:rsid w:val="00FE78BA"/>
    <w:rsid w:val="00FF2C31"/>
    <w:rsid w:val="00FF6527"/>
    <w:rsid w:val="00FF6792"/>
    <w:rsid w:val="00FF781D"/>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1C678"/>
  <w15:chartTrackingRefBased/>
  <w15:docId w15:val="{674A9A1F-4D1A-46CB-B6A4-C1932C22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snapToGrid w:val="0"/>
      <w:sz w:val="22"/>
      <w:lang w:val="en-GB"/>
    </w:rPr>
  </w:style>
  <w:style w:type="paragraph" w:styleId="Cmsor1">
    <w:name w:val="heading 1"/>
    <w:basedOn w:val="Norml"/>
    <w:next w:val="Paragraph"/>
    <w:qFormat/>
    <w:pPr>
      <w:keepNext/>
      <w:spacing w:before="600" w:after="240"/>
      <w:outlineLvl w:val="0"/>
    </w:pPr>
    <w:rPr>
      <w:b/>
      <w:sz w:val="26"/>
    </w:rPr>
  </w:style>
  <w:style w:type="paragraph" w:styleId="Cmsor2">
    <w:name w:val="heading 2"/>
    <w:basedOn w:val="Cmsor1"/>
    <w:next w:val="Paragraph"/>
    <w:qFormat/>
    <w:pPr>
      <w:spacing w:before="360" w:after="120"/>
      <w:outlineLvl w:val="1"/>
    </w:pPr>
    <w:rPr>
      <w:sz w:val="22"/>
    </w:rPr>
  </w:style>
  <w:style w:type="paragraph" w:styleId="Cmsor3">
    <w:name w:val="heading 3"/>
    <w:basedOn w:val="Cmsor2"/>
    <w:next w:val="Paragraph"/>
    <w:qFormat/>
    <w:pPr>
      <w:spacing w:before="240"/>
      <w:outlineLvl w:val="2"/>
    </w:pPr>
    <w:rPr>
      <w:i/>
    </w:rPr>
  </w:style>
  <w:style w:type="paragraph" w:styleId="Cmsor4">
    <w:name w:val="heading 4"/>
    <w:basedOn w:val="Cmsor3"/>
    <w:next w:val="Paragraph"/>
    <w:qFormat/>
    <w:pPr>
      <w:spacing w:before="120"/>
      <w:outlineLvl w:val="3"/>
    </w:pPr>
    <w:rPr>
      <w:b w:val="0"/>
    </w:rPr>
  </w:style>
  <w:style w:type="paragraph" w:styleId="Cmsor5">
    <w:name w:val="heading 5"/>
    <w:basedOn w:val="Cmsor4"/>
    <w:next w:val="Paragraph"/>
    <w:qFormat/>
    <w:pPr>
      <w:outlineLvl w:val="4"/>
    </w:pPr>
  </w:style>
  <w:style w:type="paragraph" w:styleId="Cmsor6">
    <w:name w:val="heading 6"/>
    <w:basedOn w:val="Cmsor5"/>
    <w:next w:val="Paragraph"/>
    <w:qFormat/>
    <w:pPr>
      <w:outlineLvl w:val="5"/>
    </w:pPr>
  </w:style>
  <w:style w:type="paragraph" w:styleId="Cmsor7">
    <w:name w:val="heading 7"/>
    <w:basedOn w:val="Cmsor6"/>
    <w:next w:val="Paragraph"/>
    <w:qFormat/>
    <w:pPr>
      <w:outlineLvl w:val="6"/>
    </w:pPr>
  </w:style>
  <w:style w:type="paragraph" w:styleId="Cmsor8">
    <w:name w:val="heading 8"/>
    <w:basedOn w:val="Cmsor7"/>
    <w:next w:val="Paragraph"/>
    <w:qFormat/>
    <w:pPr>
      <w:outlineLvl w:val="7"/>
    </w:pPr>
  </w:style>
  <w:style w:type="paragraph" w:styleId="Cmsor9">
    <w:name w:val="heading 9"/>
    <w:basedOn w:val="Cmsor8"/>
    <w:next w:val="Paragraph"/>
    <w:qFormat/>
    <w:pPr>
      <w:outlineLvl w:val="8"/>
    </w:p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customStyle="1" w:styleId="Paragraph">
    <w:name w:val="Paragraph"/>
    <w:basedOn w:val="Norml"/>
    <w:pPr>
      <w:spacing w:after="120"/>
      <w:jc w:val="both"/>
    </w:pPr>
  </w:style>
  <w:style w:type="paragraph" w:styleId="lfej">
    <w:name w:val="header"/>
    <w:basedOn w:val="Norml"/>
    <w:pPr>
      <w:tabs>
        <w:tab w:val="right" w:pos="8845"/>
      </w:tabs>
      <w:spacing w:after="120"/>
      <w:jc w:val="right"/>
    </w:pPr>
    <w:rPr>
      <w:sz w:val="20"/>
    </w:rPr>
  </w:style>
  <w:style w:type="paragraph" w:styleId="llb">
    <w:name w:val="footer"/>
    <w:basedOn w:val="Norml"/>
    <w:link w:val="llbChar"/>
    <w:uiPriority w:val="99"/>
    <w:pPr>
      <w:tabs>
        <w:tab w:val="center" w:pos="4536"/>
        <w:tab w:val="right" w:pos="9072"/>
      </w:tabs>
    </w:pPr>
    <w:rPr>
      <w:sz w:val="18"/>
      <w:lang w:eastAsia="x-none"/>
    </w:rPr>
  </w:style>
  <w:style w:type="character" w:styleId="Oldalszm">
    <w:name w:val="page number"/>
    <w:rPr>
      <w:rFonts w:ascii="Arial" w:hAnsi="Arial" w:cs="Times New Roman"/>
      <w:sz w:val="18"/>
    </w:rPr>
  </w:style>
  <w:style w:type="paragraph" w:customStyle="1" w:styleId="FooterPageNumber">
    <w:name w:val="FooterPageNumber"/>
    <w:basedOn w:val="FootertextOdd"/>
    <w:pPr>
      <w:jc w:val="right"/>
    </w:pPr>
    <w:rPr>
      <w:sz w:val="18"/>
    </w:rPr>
  </w:style>
  <w:style w:type="paragraph" w:customStyle="1" w:styleId="FootertextOdd">
    <w:name w:val="FootertextOdd"/>
    <w:basedOn w:val="Norml"/>
    <w:pPr>
      <w:spacing w:before="120"/>
    </w:pPr>
    <w:rPr>
      <w:sz w:val="14"/>
    </w:rPr>
  </w:style>
  <w:style w:type="paragraph" w:customStyle="1" w:styleId="FootertextEven">
    <w:name w:val="FootertextEven"/>
    <w:basedOn w:val="FootertextOdd"/>
    <w:pPr>
      <w:jc w:val="right"/>
    </w:pPr>
  </w:style>
  <w:style w:type="paragraph" w:customStyle="1" w:styleId="Footerempty">
    <w:name w:val="Footerempty"/>
    <w:basedOn w:val="llb"/>
    <w:pPr>
      <w:tabs>
        <w:tab w:val="clear" w:pos="4536"/>
        <w:tab w:val="clear" w:pos="9072"/>
      </w:tabs>
    </w:pPr>
    <w:rPr>
      <w:color w:val="FFFFFF"/>
      <w:sz w:val="2"/>
    </w:rPr>
  </w:style>
  <w:style w:type="paragraph" w:customStyle="1" w:styleId="PageNumbereven">
    <w:name w:val="Page Numbereven"/>
    <w:basedOn w:val="FooterPageNumber"/>
    <w:pPr>
      <w:jc w:val="left"/>
    </w:pPr>
  </w:style>
  <w:style w:type="paragraph" w:customStyle="1" w:styleId="Footertext">
    <w:name w:val="Footertext"/>
    <w:basedOn w:val="Norml"/>
    <w:pPr>
      <w:spacing w:before="120"/>
    </w:pPr>
    <w:rPr>
      <w:sz w:val="14"/>
    </w:rPr>
  </w:style>
  <w:style w:type="paragraph" w:customStyle="1" w:styleId="PubliSubtitle">
    <w:name w:val="PubliSubtitle"/>
    <w:basedOn w:val="Paragraph"/>
    <w:next w:val="Paragraph"/>
    <w:pPr>
      <w:keepNext/>
      <w:spacing w:after="600"/>
      <w:jc w:val="center"/>
    </w:pPr>
    <w:rPr>
      <w:b/>
      <w:sz w:val="26"/>
    </w:rPr>
  </w:style>
  <w:style w:type="paragraph" w:styleId="Lbjegyzetszveg">
    <w:name w:val="footnote text"/>
    <w:basedOn w:val="Norml"/>
    <w:pPr>
      <w:spacing w:after="120"/>
      <w:ind w:left="284" w:hanging="284"/>
      <w:jc w:val="both"/>
    </w:pPr>
    <w:rPr>
      <w:sz w:val="18"/>
    </w:rPr>
  </w:style>
  <w:style w:type="paragraph" w:customStyle="1" w:styleId="IndentedParagraph">
    <w:name w:val="IndentedParagraph"/>
    <w:basedOn w:val="Paragraph"/>
    <w:pPr>
      <w:ind w:left="851" w:hanging="851"/>
    </w:pPr>
  </w:style>
  <w:style w:type="character" w:styleId="Lbjegyzet-hivatkozs">
    <w:name w:val="footnote reference"/>
    <w:rPr>
      <w:rFonts w:ascii="Arial" w:hAnsi="Arial" w:cs="Times New Roman"/>
      <w:vertAlign w:val="superscript"/>
    </w:rPr>
  </w:style>
  <w:style w:type="paragraph" w:customStyle="1" w:styleId="NTHeading1">
    <w:name w:val="NTHeading 1"/>
    <w:basedOn w:val="Cmsor1"/>
    <w:next w:val="Paragraph"/>
  </w:style>
  <w:style w:type="paragraph" w:customStyle="1" w:styleId="PubliTitle">
    <w:name w:val="PubliTitle"/>
    <w:basedOn w:val="Paragraph"/>
    <w:next w:val="Paragraph"/>
    <w:pPr>
      <w:keepNext/>
      <w:spacing w:after="600"/>
      <w:jc w:val="center"/>
    </w:pPr>
    <w:rPr>
      <w:b/>
      <w:sz w:val="30"/>
    </w:rPr>
  </w:style>
  <w:style w:type="paragraph" w:customStyle="1" w:styleId="TableColumnHeading">
    <w:name w:val="TableColumnHeading"/>
    <w:basedOn w:val="Paragraph"/>
    <w:pPr>
      <w:keepNext/>
      <w:spacing w:before="120"/>
      <w:jc w:val="center"/>
    </w:pPr>
    <w:rPr>
      <w:b/>
      <w:sz w:val="20"/>
    </w:rPr>
  </w:style>
  <w:style w:type="paragraph" w:customStyle="1" w:styleId="TableText">
    <w:name w:val="TableText"/>
    <w:basedOn w:val="Paragraph"/>
    <w:pPr>
      <w:framePr w:wrap="around" w:hAnchor="text" w:yAlign="top"/>
      <w:spacing w:before="60" w:after="60"/>
    </w:pPr>
    <w:rPr>
      <w:sz w:val="20"/>
    </w:rPr>
  </w:style>
  <w:style w:type="paragraph" w:customStyle="1" w:styleId="TableRowHeading">
    <w:name w:val="TableRowHeading"/>
    <w:basedOn w:val="Paragraph"/>
    <w:pPr>
      <w:spacing w:before="60" w:after="60"/>
      <w:jc w:val="left"/>
    </w:pPr>
    <w:rPr>
      <w:sz w:val="20"/>
    </w:rPr>
  </w:style>
  <w:style w:type="paragraph" w:customStyle="1" w:styleId="TableNumber">
    <w:name w:val="TableNumber"/>
    <w:basedOn w:val="Paragraph"/>
    <w:next w:val="TableTitle"/>
    <w:pPr>
      <w:keepNext/>
      <w:spacing w:before="120" w:after="0"/>
      <w:jc w:val="center"/>
    </w:pPr>
  </w:style>
  <w:style w:type="paragraph" w:customStyle="1" w:styleId="TableTitle">
    <w:name w:val="TableTitle"/>
    <w:basedOn w:val="Paragraph"/>
    <w:next w:val="TableSubtitle"/>
    <w:pPr>
      <w:keepNext/>
      <w:spacing w:before="120"/>
      <w:jc w:val="center"/>
    </w:pPr>
    <w:rPr>
      <w:b/>
    </w:rPr>
  </w:style>
  <w:style w:type="paragraph" w:customStyle="1" w:styleId="TableNote">
    <w:name w:val="TableNote"/>
    <w:basedOn w:val="Paragraph"/>
    <w:pPr>
      <w:spacing w:before="120"/>
    </w:pPr>
    <w:rPr>
      <w:sz w:val="18"/>
    </w:rPr>
  </w:style>
  <w:style w:type="paragraph" w:customStyle="1" w:styleId="empty">
    <w:name w:val="empty"/>
    <w:basedOn w:val="Norml"/>
    <w:rPr>
      <w:color w:val="FFFFFF"/>
    </w:rPr>
  </w:style>
  <w:style w:type="paragraph" w:customStyle="1" w:styleId="FootnoteSeparator">
    <w:name w:val="FootnoteSeparator"/>
    <w:basedOn w:val="Norml"/>
    <w:pPr>
      <w:spacing w:before="240" w:after="120"/>
    </w:pPr>
  </w:style>
  <w:style w:type="paragraph" w:customStyle="1" w:styleId="IndentedHeading1">
    <w:name w:val="Indented Heading 1"/>
    <w:basedOn w:val="Cmsor1"/>
    <w:next w:val="Paragraph"/>
    <w:pPr>
      <w:ind w:left="851" w:hanging="851"/>
    </w:pPr>
  </w:style>
  <w:style w:type="paragraph" w:customStyle="1" w:styleId="IndentedHeading2">
    <w:name w:val="Indented Heading 2"/>
    <w:basedOn w:val="Cmsor2"/>
    <w:next w:val="Paragraph"/>
    <w:pPr>
      <w:ind w:left="851" w:hanging="851"/>
    </w:pPr>
  </w:style>
  <w:style w:type="paragraph" w:customStyle="1" w:styleId="IndentedHeading3">
    <w:name w:val="Indented Heading 3"/>
    <w:basedOn w:val="Cmsor3"/>
    <w:next w:val="Paragraph"/>
    <w:pPr>
      <w:ind w:left="851" w:hanging="851"/>
    </w:pPr>
  </w:style>
  <w:style w:type="paragraph" w:customStyle="1" w:styleId="IndentedHeading4">
    <w:name w:val="Indented Heading 4"/>
    <w:basedOn w:val="Cmsor4"/>
    <w:next w:val="Paragraph"/>
    <w:pPr>
      <w:ind w:left="851" w:hanging="851"/>
    </w:pPr>
  </w:style>
  <w:style w:type="paragraph" w:styleId="TJ1">
    <w:name w:val="toc 1"/>
    <w:basedOn w:val="Norml"/>
    <w:next w:val="Paragraph"/>
    <w:uiPriority w:val="39"/>
    <w:pPr>
      <w:tabs>
        <w:tab w:val="left" w:pos="567"/>
        <w:tab w:val="right" w:leader="dot" w:pos="9072"/>
      </w:tabs>
      <w:spacing w:after="120"/>
      <w:ind w:left="567" w:hanging="567"/>
    </w:pPr>
    <w:rPr>
      <w:noProof/>
      <w:lang w:val="hu-HU"/>
    </w:rPr>
  </w:style>
  <w:style w:type="paragraph" w:styleId="TJ2">
    <w:name w:val="toc 2"/>
    <w:basedOn w:val="TJ1"/>
    <w:next w:val="Paragraph"/>
    <w:uiPriority w:val="39"/>
    <w:pPr>
      <w:tabs>
        <w:tab w:val="left" w:pos="1134"/>
      </w:tabs>
      <w:ind w:left="1134"/>
    </w:pPr>
  </w:style>
  <w:style w:type="paragraph" w:styleId="TJ3">
    <w:name w:val="toc 3"/>
    <w:basedOn w:val="TJ2"/>
    <w:next w:val="Paragraph"/>
    <w:uiPriority w:val="39"/>
    <w:pPr>
      <w:tabs>
        <w:tab w:val="clear" w:pos="567"/>
        <w:tab w:val="left" w:pos="1701"/>
      </w:tabs>
      <w:ind w:left="1701"/>
    </w:pPr>
  </w:style>
  <w:style w:type="paragraph" w:styleId="TJ4">
    <w:name w:val="toc 4"/>
    <w:basedOn w:val="TJ3"/>
    <w:next w:val="Paragraph"/>
    <w:pPr>
      <w:tabs>
        <w:tab w:val="clear" w:pos="1134"/>
        <w:tab w:val="left" w:pos="2268"/>
      </w:tabs>
      <w:ind w:left="2268"/>
    </w:pPr>
  </w:style>
  <w:style w:type="paragraph" w:styleId="TJ5">
    <w:name w:val="toc 5"/>
    <w:basedOn w:val="TJ4"/>
    <w:next w:val="Paragraph"/>
    <w:autoRedefine/>
    <w:semiHidden/>
  </w:style>
  <w:style w:type="paragraph" w:styleId="TJ6">
    <w:name w:val="toc 6"/>
    <w:basedOn w:val="TJ5"/>
    <w:next w:val="Paragraph"/>
    <w:autoRedefine/>
    <w:semiHidden/>
  </w:style>
  <w:style w:type="paragraph" w:styleId="TJ7">
    <w:name w:val="toc 7"/>
    <w:basedOn w:val="TJ6"/>
    <w:next w:val="Paragraph"/>
    <w:autoRedefine/>
    <w:semiHidden/>
  </w:style>
  <w:style w:type="paragraph" w:styleId="TJ8">
    <w:name w:val="toc 8"/>
    <w:basedOn w:val="TJ7"/>
    <w:next w:val="Paragraph"/>
    <w:autoRedefine/>
    <w:semiHidden/>
  </w:style>
  <w:style w:type="paragraph" w:styleId="TJ9">
    <w:name w:val="toc 9"/>
    <w:basedOn w:val="TJ8"/>
    <w:next w:val="Paragraph"/>
    <w:autoRedefine/>
    <w:semiHidden/>
  </w:style>
  <w:style w:type="paragraph" w:customStyle="1" w:styleId="ContentsTitle">
    <w:name w:val="ContentsTitle"/>
    <w:basedOn w:val="Paragraph"/>
    <w:next w:val="Paragraph"/>
    <w:pPr>
      <w:spacing w:after="600"/>
      <w:jc w:val="center"/>
    </w:pPr>
    <w:rPr>
      <w:b/>
      <w:sz w:val="26"/>
    </w:rPr>
  </w:style>
  <w:style w:type="paragraph" w:customStyle="1" w:styleId="NTHeading2">
    <w:name w:val="NTHeading 2"/>
    <w:basedOn w:val="Cmsor2"/>
    <w:next w:val="Paragraph"/>
  </w:style>
  <w:style w:type="paragraph" w:customStyle="1" w:styleId="NTHeading3">
    <w:name w:val="NTHeading 3"/>
    <w:basedOn w:val="Cmsor3"/>
    <w:next w:val="Paragraph"/>
  </w:style>
  <w:style w:type="paragraph" w:customStyle="1" w:styleId="NTHeading4">
    <w:name w:val="NTHeading 4"/>
    <w:basedOn w:val="Cmsor4"/>
    <w:next w:val="Paragraph"/>
  </w:style>
  <w:style w:type="paragraph" w:customStyle="1" w:styleId="NTIndentedHeading1">
    <w:name w:val="NTIndented Heading 1"/>
    <w:basedOn w:val="IndentedHeading1"/>
    <w:next w:val="Paragraph"/>
  </w:style>
  <w:style w:type="paragraph" w:customStyle="1" w:styleId="NTIndentedHeading2">
    <w:name w:val="NTIndented Heading 2"/>
    <w:basedOn w:val="IndentedHeading2"/>
    <w:next w:val="Paragraph"/>
  </w:style>
  <w:style w:type="paragraph" w:customStyle="1" w:styleId="NTIndentedHeading3">
    <w:name w:val="NTIndented Heading 3"/>
    <w:basedOn w:val="IndentedHeading3"/>
    <w:next w:val="Paragraph"/>
  </w:style>
  <w:style w:type="paragraph" w:customStyle="1" w:styleId="NTIndentedHeading4">
    <w:name w:val="NTIndented Heading 4"/>
    <w:basedOn w:val="IndentedHeading4"/>
    <w:next w:val="Paragraph"/>
  </w:style>
  <w:style w:type="paragraph" w:customStyle="1" w:styleId="TableSubtitle">
    <w:name w:val="TableSubtitle"/>
    <w:basedOn w:val="Paragraph"/>
    <w:pPr>
      <w:keepNext/>
      <w:jc w:val="center"/>
    </w:pPr>
    <w:rPr>
      <w:sz w:val="20"/>
    </w:rPr>
  </w:style>
  <w:style w:type="character" w:styleId="Hiperhivatkozs">
    <w:name w:val="Hyperlink"/>
    <w:uiPriority w:val="99"/>
    <w:rPr>
      <w:rFonts w:ascii="Arial" w:hAnsi="Arial" w:cs="Times New Roman"/>
      <w:color w:val="auto"/>
      <w:sz w:val="22"/>
      <w:u w:val="none"/>
    </w:rPr>
  </w:style>
  <w:style w:type="character" w:styleId="Mrltotthiperhivatkozs">
    <w:name w:val="FollowedHyperlink"/>
    <w:rPr>
      <w:rFonts w:ascii="Arial" w:hAnsi="Arial" w:cs="Times New Roman"/>
      <w:color w:val="auto"/>
      <w:sz w:val="22"/>
      <w:u w:val="none"/>
    </w:rPr>
  </w:style>
  <w:style w:type="paragraph" w:customStyle="1" w:styleId="BoxTitle">
    <w:name w:val="BoxTitle"/>
    <w:basedOn w:val="TableTitle"/>
    <w:next w:val="BoxAuthor"/>
    <w:rPr>
      <w:bCs/>
      <w:sz w:val="20"/>
    </w:rPr>
  </w:style>
  <w:style w:type="paragraph" w:customStyle="1" w:styleId="BoxText">
    <w:name w:val="BoxText"/>
    <w:basedOn w:val="TableText"/>
    <w:pPr>
      <w:framePr w:wrap="around"/>
      <w:spacing w:before="0" w:after="120"/>
    </w:pPr>
  </w:style>
  <w:style w:type="paragraph" w:customStyle="1" w:styleId="Author">
    <w:name w:val="Author"/>
    <w:basedOn w:val="Paragraph"/>
    <w:next w:val="Paragraph"/>
    <w:pPr>
      <w:spacing w:after="600"/>
      <w:jc w:val="center"/>
    </w:pPr>
  </w:style>
  <w:style w:type="paragraph" w:customStyle="1" w:styleId="BoxNumber">
    <w:name w:val="BoxNumber"/>
    <w:basedOn w:val="TableNumber"/>
    <w:next w:val="BoxTitle"/>
    <w:rPr>
      <w:sz w:val="20"/>
    </w:rPr>
  </w:style>
  <w:style w:type="paragraph" w:customStyle="1" w:styleId="ConfidentialityOdd">
    <w:name w:val="ConfidentialityOdd"/>
    <w:basedOn w:val="lfej"/>
    <w:next w:val="lfej"/>
    <w:pPr>
      <w:tabs>
        <w:tab w:val="right" w:pos="8902"/>
      </w:tabs>
    </w:pPr>
    <w:rPr>
      <w:rFonts w:cs="Arial"/>
      <w:b/>
      <w:bCs/>
      <w:sz w:val="18"/>
    </w:rPr>
  </w:style>
  <w:style w:type="paragraph" w:customStyle="1" w:styleId="ConfidentialityEven">
    <w:name w:val="ConfidentialityEven"/>
    <w:basedOn w:val="ConfidentialityOdd"/>
    <w:next w:val="lfej"/>
    <w:pPr>
      <w:jc w:val="left"/>
    </w:pPr>
  </w:style>
  <w:style w:type="paragraph" w:styleId="Buborkszveg">
    <w:name w:val="Balloon Text"/>
    <w:basedOn w:val="Norml"/>
    <w:semiHidden/>
    <w:rPr>
      <w:rFonts w:ascii="Times New Roman" w:hAnsi="Times New Roman"/>
      <w:sz w:val="16"/>
      <w:szCs w:val="16"/>
    </w:rPr>
  </w:style>
  <w:style w:type="paragraph" w:customStyle="1" w:styleId="Bullethyphen">
    <w:name w:val="Bullet hyphen"/>
    <w:basedOn w:val="Paragraph"/>
    <w:pPr>
      <w:numPr>
        <w:ilvl w:val="1"/>
        <w:numId w:val="13"/>
      </w:numPr>
    </w:pPr>
  </w:style>
  <w:style w:type="paragraph" w:customStyle="1" w:styleId="Bulletnumber">
    <w:name w:val="Bullet number"/>
    <w:basedOn w:val="Paragraph"/>
    <w:pPr>
      <w:numPr>
        <w:numId w:val="14"/>
      </w:numPr>
    </w:pPr>
  </w:style>
  <w:style w:type="paragraph" w:customStyle="1" w:styleId="Bulletpoint">
    <w:name w:val="Bullet point"/>
    <w:basedOn w:val="Paragraph"/>
    <w:pPr>
      <w:numPr>
        <w:numId w:val="15"/>
      </w:numPr>
    </w:pPr>
  </w:style>
  <w:style w:type="paragraph" w:customStyle="1" w:styleId="BoxFootnoteText">
    <w:name w:val="BoxFootnoteText"/>
    <w:basedOn w:val="TableNote"/>
    <w:pPr>
      <w:spacing w:before="0"/>
      <w:ind w:left="142" w:hanging="142"/>
    </w:pPr>
  </w:style>
  <w:style w:type="paragraph" w:customStyle="1" w:styleId="BoxHeading">
    <w:name w:val="BoxHeading"/>
    <w:basedOn w:val="TableColumnHeading"/>
    <w:next w:val="BoxText"/>
    <w:pPr>
      <w:jc w:val="left"/>
    </w:pPr>
  </w:style>
  <w:style w:type="paragraph" w:customStyle="1" w:styleId="BoxAuthor">
    <w:name w:val="BoxAuthor"/>
    <w:basedOn w:val="TableSubtitle"/>
    <w:next w:val="BoxText"/>
    <w:pPr>
      <w:spacing w:after="240"/>
    </w:pPr>
  </w:style>
  <w:style w:type="paragraph" w:customStyle="1" w:styleId="CoverTitle">
    <w:name w:val="CoverTitle"/>
    <w:basedOn w:val="Norml"/>
    <w:next w:val="Norml"/>
    <w:pPr>
      <w:spacing w:after="480" w:line="440" w:lineRule="exact"/>
    </w:pPr>
    <w:rPr>
      <w:rFonts w:ascii="Arial Narrow" w:hAnsi="Arial Narrow"/>
      <w:sz w:val="44"/>
      <w:szCs w:val="48"/>
    </w:rPr>
  </w:style>
  <w:style w:type="paragraph" w:customStyle="1" w:styleId="CoverMED">
    <w:name w:val="CoverMED"/>
    <w:basedOn w:val="Norml"/>
    <w:next w:val="Norml"/>
    <w:pPr>
      <w:spacing w:line="400" w:lineRule="exact"/>
      <w:ind w:right="113"/>
    </w:pPr>
    <w:rPr>
      <w:rFonts w:ascii="Arial Narrow" w:hAnsi="Arial Narrow"/>
      <w:sz w:val="40"/>
    </w:rPr>
  </w:style>
  <w:style w:type="paragraph" w:customStyle="1" w:styleId="CoverDate">
    <w:name w:val="CoverDate"/>
    <w:basedOn w:val="Norml"/>
    <w:next w:val="Norml"/>
    <w:pPr>
      <w:spacing w:before="60"/>
      <w:jc w:val="both"/>
    </w:pPr>
    <w:rPr>
      <w:rFonts w:ascii="Arial Narrow" w:hAnsi="Arial Narrow"/>
      <w:sz w:val="20"/>
    </w:rPr>
  </w:style>
  <w:style w:type="paragraph" w:customStyle="1" w:styleId="TableOfContentsTitle">
    <w:name w:val="TableOfContentsTitle"/>
    <w:basedOn w:val="Paragraph"/>
    <w:pPr>
      <w:spacing w:after="600"/>
      <w:jc w:val="center"/>
    </w:pPr>
    <w:rPr>
      <w:b/>
      <w:sz w:val="24"/>
    </w:rPr>
  </w:style>
  <w:style w:type="character" w:customStyle="1" w:styleId="CharChar1">
    <w:name w:val="Char Char1"/>
    <w:locked/>
    <w:rPr>
      <w:rFonts w:ascii="Arial" w:hAnsi="Arial" w:cs="Times New Roman"/>
      <w:b/>
      <w:sz w:val="26"/>
      <w:lang w:val="en-GB" w:bidi="ar-SA"/>
    </w:rPr>
  </w:style>
  <w:style w:type="character" w:customStyle="1" w:styleId="CharChar">
    <w:name w:val="Char Char"/>
    <w:locked/>
    <w:rPr>
      <w:rFonts w:ascii="Arial" w:hAnsi="Arial" w:cs="Times New Roman"/>
      <w:b/>
      <w:i/>
      <w:sz w:val="22"/>
      <w:lang w:val="en-GB" w:bidi="ar-SA"/>
    </w:rPr>
  </w:style>
  <w:style w:type="character" w:styleId="Jegyzethivatkozs">
    <w:name w:val="annotation reference"/>
    <w:uiPriority w:val="99"/>
    <w:semiHidden/>
    <w:rPr>
      <w:rFonts w:cs="Times New Roman"/>
      <w:sz w:val="16"/>
      <w:szCs w:val="16"/>
    </w:rPr>
  </w:style>
  <w:style w:type="paragraph" w:styleId="Jegyzetszveg">
    <w:name w:val="annotation text"/>
    <w:basedOn w:val="Norml"/>
    <w:link w:val="JegyzetszvegChar"/>
    <w:uiPriority w:val="99"/>
    <w:semiHidden/>
    <w:rPr>
      <w:sz w:val="20"/>
      <w:lang w:eastAsia="x-none"/>
    </w:rPr>
  </w:style>
  <w:style w:type="paragraph" w:styleId="Megjegyzstrgya">
    <w:name w:val="annotation subject"/>
    <w:basedOn w:val="Jegyzetszveg"/>
    <w:next w:val="Jegyzetszveg"/>
    <w:semiHidden/>
    <w:rPr>
      <w:b/>
      <w:bCs/>
    </w:rPr>
  </w:style>
  <w:style w:type="character" w:customStyle="1" w:styleId="ParagraphChar1">
    <w:name w:val="Paragraph Char1"/>
    <w:locked/>
    <w:rPr>
      <w:rFonts w:ascii="Arial" w:hAnsi="Arial" w:cs="Times New Roman"/>
      <w:sz w:val="22"/>
      <w:lang w:val="en-GB" w:bidi="ar-SA"/>
    </w:rPr>
  </w:style>
  <w:style w:type="character" w:customStyle="1" w:styleId="CharChar2">
    <w:name w:val="Char Char2"/>
    <w:locked/>
    <w:rPr>
      <w:rFonts w:ascii="Arial" w:hAnsi="Arial" w:cs="Times New Roman"/>
      <w:b/>
      <w:sz w:val="22"/>
      <w:lang w:val="en-GB" w:bidi="ar-SA"/>
    </w:rPr>
  </w:style>
  <w:style w:type="table" w:styleId="Rcsostblzat">
    <w:name w:val="Table Grid"/>
    <w:basedOn w:val="Normltblzat"/>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Text Char"/>
    <w:basedOn w:val="ParagraphChar1"/>
    <w:locked/>
    <w:rPr>
      <w:rFonts w:ascii="Arial" w:hAnsi="Arial" w:cs="Times New Roman"/>
      <w:sz w:val="22"/>
      <w:lang w:val="en-GB" w:bidi="ar-SA"/>
    </w:rPr>
  </w:style>
  <w:style w:type="character" w:customStyle="1" w:styleId="FootertextOddChar">
    <w:name w:val="FootertextOdd Char"/>
    <w:locked/>
    <w:rPr>
      <w:rFonts w:ascii="Arial" w:hAnsi="Arial"/>
      <w:sz w:val="14"/>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zvegtrzs2">
    <w:name w:val="Body Text 2"/>
    <w:basedOn w:val="Norml"/>
    <w:link w:val="Szvegtrzs2Char"/>
    <w:rsid w:val="000648A2"/>
    <w:pPr>
      <w:jc w:val="center"/>
    </w:pPr>
    <w:rPr>
      <w:rFonts w:ascii="Times New Roman" w:hAnsi="Times New Roman"/>
      <w:b/>
      <w:snapToGrid/>
      <w:sz w:val="28"/>
      <w:lang w:val="x-none" w:eastAsia="x-none"/>
    </w:rPr>
  </w:style>
  <w:style w:type="character" w:customStyle="1" w:styleId="Szvegtrzs2Char">
    <w:name w:val="Szövegtörzs 2 Char"/>
    <w:link w:val="Szvegtrzs2"/>
    <w:rsid w:val="000648A2"/>
    <w:rPr>
      <w:b/>
      <w:sz w:val="28"/>
    </w:rPr>
  </w:style>
  <w:style w:type="character" w:customStyle="1" w:styleId="llbChar">
    <w:name w:val="Élőláb Char"/>
    <w:link w:val="llb"/>
    <w:uiPriority w:val="99"/>
    <w:rsid w:val="00315C0D"/>
    <w:rPr>
      <w:rFonts w:ascii="Arial" w:hAnsi="Arial"/>
      <w:snapToGrid w:val="0"/>
      <w:sz w:val="18"/>
      <w:lang w:val="en-GB"/>
    </w:rPr>
  </w:style>
  <w:style w:type="character" w:customStyle="1" w:styleId="JegyzetszvegChar">
    <w:name w:val="Jegyzetszöveg Char"/>
    <w:link w:val="Jegyzetszveg"/>
    <w:uiPriority w:val="99"/>
    <w:semiHidden/>
    <w:rsid w:val="006556A4"/>
    <w:rPr>
      <w:rFonts w:ascii="Arial" w:hAnsi="Arial"/>
      <w:snapToGrid w:val="0"/>
      <w:lang w:val="en-GB"/>
    </w:rPr>
  </w:style>
  <w:style w:type="paragraph" w:styleId="Vltozat">
    <w:name w:val="Revision"/>
    <w:hidden/>
    <w:uiPriority w:val="99"/>
    <w:semiHidden/>
    <w:rsid w:val="007357AC"/>
    <w:rPr>
      <w:rFonts w:ascii="Arial" w:hAnsi="Arial"/>
      <w:snapToGrid w:val="0"/>
      <w:sz w:val="22"/>
      <w:lang w:val="en-GB"/>
    </w:rPr>
  </w:style>
  <w:style w:type="paragraph" w:customStyle="1" w:styleId="Default">
    <w:name w:val="Default"/>
    <w:rsid w:val="00C92B0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Shared\BIS\nt_templates\BIS\_Publi_E.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A6EC-3740-48A5-9C86-8A9DDE9E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_Publi_E</Template>
  <TotalTime>0</TotalTime>
  <Pages>8</Pages>
  <Words>7833</Words>
  <Characters>54048</Characters>
  <Application>Microsoft Office Word</Application>
  <DocSecurity>0</DocSecurity>
  <Lines>450</Lines>
  <Paragraphs>123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Publication</vt:lpstr>
      <vt:lpstr>Publication</vt:lpstr>
    </vt:vector>
  </TitlesOfParts>
  <Company>Magyar Nemzeti Bank</Company>
  <LinksUpToDate>false</LinksUpToDate>
  <CharactersWithSpaces>61758</CharactersWithSpaces>
  <SharedDoc>false</SharedDoc>
  <HLinks>
    <vt:vector size="198" baseType="variant">
      <vt:variant>
        <vt:i4>1638460</vt:i4>
      </vt:variant>
      <vt:variant>
        <vt:i4>194</vt:i4>
      </vt:variant>
      <vt:variant>
        <vt:i4>0</vt:i4>
      </vt:variant>
      <vt:variant>
        <vt:i4>5</vt:i4>
      </vt:variant>
      <vt:variant>
        <vt:lpwstr/>
      </vt:variant>
      <vt:variant>
        <vt:lpwstr>_Toc89264425</vt:lpwstr>
      </vt:variant>
      <vt:variant>
        <vt:i4>1572924</vt:i4>
      </vt:variant>
      <vt:variant>
        <vt:i4>188</vt:i4>
      </vt:variant>
      <vt:variant>
        <vt:i4>0</vt:i4>
      </vt:variant>
      <vt:variant>
        <vt:i4>5</vt:i4>
      </vt:variant>
      <vt:variant>
        <vt:lpwstr/>
      </vt:variant>
      <vt:variant>
        <vt:lpwstr>_Toc89264424</vt:lpwstr>
      </vt:variant>
      <vt:variant>
        <vt:i4>2031676</vt:i4>
      </vt:variant>
      <vt:variant>
        <vt:i4>182</vt:i4>
      </vt:variant>
      <vt:variant>
        <vt:i4>0</vt:i4>
      </vt:variant>
      <vt:variant>
        <vt:i4>5</vt:i4>
      </vt:variant>
      <vt:variant>
        <vt:lpwstr/>
      </vt:variant>
      <vt:variant>
        <vt:lpwstr>_Toc89264423</vt:lpwstr>
      </vt:variant>
      <vt:variant>
        <vt:i4>1966140</vt:i4>
      </vt:variant>
      <vt:variant>
        <vt:i4>176</vt:i4>
      </vt:variant>
      <vt:variant>
        <vt:i4>0</vt:i4>
      </vt:variant>
      <vt:variant>
        <vt:i4>5</vt:i4>
      </vt:variant>
      <vt:variant>
        <vt:lpwstr/>
      </vt:variant>
      <vt:variant>
        <vt:lpwstr>_Toc89264422</vt:lpwstr>
      </vt:variant>
      <vt:variant>
        <vt:i4>1900604</vt:i4>
      </vt:variant>
      <vt:variant>
        <vt:i4>170</vt:i4>
      </vt:variant>
      <vt:variant>
        <vt:i4>0</vt:i4>
      </vt:variant>
      <vt:variant>
        <vt:i4>5</vt:i4>
      </vt:variant>
      <vt:variant>
        <vt:lpwstr/>
      </vt:variant>
      <vt:variant>
        <vt:lpwstr>_Toc89264421</vt:lpwstr>
      </vt:variant>
      <vt:variant>
        <vt:i4>1835068</vt:i4>
      </vt:variant>
      <vt:variant>
        <vt:i4>164</vt:i4>
      </vt:variant>
      <vt:variant>
        <vt:i4>0</vt:i4>
      </vt:variant>
      <vt:variant>
        <vt:i4>5</vt:i4>
      </vt:variant>
      <vt:variant>
        <vt:lpwstr/>
      </vt:variant>
      <vt:variant>
        <vt:lpwstr>_Toc89264420</vt:lpwstr>
      </vt:variant>
      <vt:variant>
        <vt:i4>1376319</vt:i4>
      </vt:variant>
      <vt:variant>
        <vt:i4>158</vt:i4>
      </vt:variant>
      <vt:variant>
        <vt:i4>0</vt:i4>
      </vt:variant>
      <vt:variant>
        <vt:i4>5</vt:i4>
      </vt:variant>
      <vt:variant>
        <vt:lpwstr/>
      </vt:variant>
      <vt:variant>
        <vt:lpwstr>_Toc89264419</vt:lpwstr>
      </vt:variant>
      <vt:variant>
        <vt:i4>1310783</vt:i4>
      </vt:variant>
      <vt:variant>
        <vt:i4>152</vt:i4>
      </vt:variant>
      <vt:variant>
        <vt:i4>0</vt:i4>
      </vt:variant>
      <vt:variant>
        <vt:i4>5</vt:i4>
      </vt:variant>
      <vt:variant>
        <vt:lpwstr/>
      </vt:variant>
      <vt:variant>
        <vt:lpwstr>_Toc89264418</vt:lpwstr>
      </vt:variant>
      <vt:variant>
        <vt:i4>1769535</vt:i4>
      </vt:variant>
      <vt:variant>
        <vt:i4>146</vt:i4>
      </vt:variant>
      <vt:variant>
        <vt:i4>0</vt:i4>
      </vt:variant>
      <vt:variant>
        <vt:i4>5</vt:i4>
      </vt:variant>
      <vt:variant>
        <vt:lpwstr/>
      </vt:variant>
      <vt:variant>
        <vt:lpwstr>_Toc89264417</vt:lpwstr>
      </vt:variant>
      <vt:variant>
        <vt:i4>1703999</vt:i4>
      </vt:variant>
      <vt:variant>
        <vt:i4>140</vt:i4>
      </vt:variant>
      <vt:variant>
        <vt:i4>0</vt:i4>
      </vt:variant>
      <vt:variant>
        <vt:i4>5</vt:i4>
      </vt:variant>
      <vt:variant>
        <vt:lpwstr/>
      </vt:variant>
      <vt:variant>
        <vt:lpwstr>_Toc89264416</vt:lpwstr>
      </vt:variant>
      <vt:variant>
        <vt:i4>1638463</vt:i4>
      </vt:variant>
      <vt:variant>
        <vt:i4>134</vt:i4>
      </vt:variant>
      <vt:variant>
        <vt:i4>0</vt:i4>
      </vt:variant>
      <vt:variant>
        <vt:i4>5</vt:i4>
      </vt:variant>
      <vt:variant>
        <vt:lpwstr/>
      </vt:variant>
      <vt:variant>
        <vt:lpwstr>_Toc89264415</vt:lpwstr>
      </vt:variant>
      <vt:variant>
        <vt:i4>1572927</vt:i4>
      </vt:variant>
      <vt:variant>
        <vt:i4>128</vt:i4>
      </vt:variant>
      <vt:variant>
        <vt:i4>0</vt:i4>
      </vt:variant>
      <vt:variant>
        <vt:i4>5</vt:i4>
      </vt:variant>
      <vt:variant>
        <vt:lpwstr/>
      </vt:variant>
      <vt:variant>
        <vt:lpwstr>_Toc89264414</vt:lpwstr>
      </vt:variant>
      <vt:variant>
        <vt:i4>2031679</vt:i4>
      </vt:variant>
      <vt:variant>
        <vt:i4>122</vt:i4>
      </vt:variant>
      <vt:variant>
        <vt:i4>0</vt:i4>
      </vt:variant>
      <vt:variant>
        <vt:i4>5</vt:i4>
      </vt:variant>
      <vt:variant>
        <vt:lpwstr/>
      </vt:variant>
      <vt:variant>
        <vt:lpwstr>_Toc89264413</vt:lpwstr>
      </vt:variant>
      <vt:variant>
        <vt:i4>1966143</vt:i4>
      </vt:variant>
      <vt:variant>
        <vt:i4>116</vt:i4>
      </vt:variant>
      <vt:variant>
        <vt:i4>0</vt:i4>
      </vt:variant>
      <vt:variant>
        <vt:i4>5</vt:i4>
      </vt:variant>
      <vt:variant>
        <vt:lpwstr/>
      </vt:variant>
      <vt:variant>
        <vt:lpwstr>_Toc89264412</vt:lpwstr>
      </vt:variant>
      <vt:variant>
        <vt:i4>1900607</vt:i4>
      </vt:variant>
      <vt:variant>
        <vt:i4>110</vt:i4>
      </vt:variant>
      <vt:variant>
        <vt:i4>0</vt:i4>
      </vt:variant>
      <vt:variant>
        <vt:i4>5</vt:i4>
      </vt:variant>
      <vt:variant>
        <vt:lpwstr/>
      </vt:variant>
      <vt:variant>
        <vt:lpwstr>_Toc89264411</vt:lpwstr>
      </vt:variant>
      <vt:variant>
        <vt:i4>1835071</vt:i4>
      </vt:variant>
      <vt:variant>
        <vt:i4>104</vt:i4>
      </vt:variant>
      <vt:variant>
        <vt:i4>0</vt:i4>
      </vt:variant>
      <vt:variant>
        <vt:i4>5</vt:i4>
      </vt:variant>
      <vt:variant>
        <vt:lpwstr/>
      </vt:variant>
      <vt:variant>
        <vt:lpwstr>_Toc89264410</vt:lpwstr>
      </vt:variant>
      <vt:variant>
        <vt:i4>1376318</vt:i4>
      </vt:variant>
      <vt:variant>
        <vt:i4>98</vt:i4>
      </vt:variant>
      <vt:variant>
        <vt:i4>0</vt:i4>
      </vt:variant>
      <vt:variant>
        <vt:i4>5</vt:i4>
      </vt:variant>
      <vt:variant>
        <vt:lpwstr/>
      </vt:variant>
      <vt:variant>
        <vt:lpwstr>_Toc89264409</vt:lpwstr>
      </vt:variant>
      <vt:variant>
        <vt:i4>1310782</vt:i4>
      </vt:variant>
      <vt:variant>
        <vt:i4>92</vt:i4>
      </vt:variant>
      <vt:variant>
        <vt:i4>0</vt:i4>
      </vt:variant>
      <vt:variant>
        <vt:i4>5</vt:i4>
      </vt:variant>
      <vt:variant>
        <vt:lpwstr/>
      </vt:variant>
      <vt:variant>
        <vt:lpwstr>_Toc89264408</vt:lpwstr>
      </vt:variant>
      <vt:variant>
        <vt:i4>1769534</vt:i4>
      </vt:variant>
      <vt:variant>
        <vt:i4>86</vt:i4>
      </vt:variant>
      <vt:variant>
        <vt:i4>0</vt:i4>
      </vt:variant>
      <vt:variant>
        <vt:i4>5</vt:i4>
      </vt:variant>
      <vt:variant>
        <vt:lpwstr/>
      </vt:variant>
      <vt:variant>
        <vt:lpwstr>_Toc89264407</vt:lpwstr>
      </vt:variant>
      <vt:variant>
        <vt:i4>1703998</vt:i4>
      </vt:variant>
      <vt:variant>
        <vt:i4>80</vt:i4>
      </vt:variant>
      <vt:variant>
        <vt:i4>0</vt:i4>
      </vt:variant>
      <vt:variant>
        <vt:i4>5</vt:i4>
      </vt:variant>
      <vt:variant>
        <vt:lpwstr/>
      </vt:variant>
      <vt:variant>
        <vt:lpwstr>_Toc89264406</vt:lpwstr>
      </vt:variant>
      <vt:variant>
        <vt:i4>1638462</vt:i4>
      </vt:variant>
      <vt:variant>
        <vt:i4>74</vt:i4>
      </vt:variant>
      <vt:variant>
        <vt:i4>0</vt:i4>
      </vt:variant>
      <vt:variant>
        <vt:i4>5</vt:i4>
      </vt:variant>
      <vt:variant>
        <vt:lpwstr/>
      </vt:variant>
      <vt:variant>
        <vt:lpwstr>_Toc89264405</vt:lpwstr>
      </vt:variant>
      <vt:variant>
        <vt:i4>1572926</vt:i4>
      </vt:variant>
      <vt:variant>
        <vt:i4>68</vt:i4>
      </vt:variant>
      <vt:variant>
        <vt:i4>0</vt:i4>
      </vt:variant>
      <vt:variant>
        <vt:i4>5</vt:i4>
      </vt:variant>
      <vt:variant>
        <vt:lpwstr/>
      </vt:variant>
      <vt:variant>
        <vt:lpwstr>_Toc89264404</vt:lpwstr>
      </vt:variant>
      <vt:variant>
        <vt:i4>2031678</vt:i4>
      </vt:variant>
      <vt:variant>
        <vt:i4>62</vt:i4>
      </vt:variant>
      <vt:variant>
        <vt:i4>0</vt:i4>
      </vt:variant>
      <vt:variant>
        <vt:i4>5</vt:i4>
      </vt:variant>
      <vt:variant>
        <vt:lpwstr/>
      </vt:variant>
      <vt:variant>
        <vt:lpwstr>_Toc89264403</vt:lpwstr>
      </vt:variant>
      <vt:variant>
        <vt:i4>1966142</vt:i4>
      </vt:variant>
      <vt:variant>
        <vt:i4>56</vt:i4>
      </vt:variant>
      <vt:variant>
        <vt:i4>0</vt:i4>
      </vt:variant>
      <vt:variant>
        <vt:i4>5</vt:i4>
      </vt:variant>
      <vt:variant>
        <vt:lpwstr/>
      </vt:variant>
      <vt:variant>
        <vt:lpwstr>_Toc89264402</vt:lpwstr>
      </vt:variant>
      <vt:variant>
        <vt:i4>1900606</vt:i4>
      </vt:variant>
      <vt:variant>
        <vt:i4>50</vt:i4>
      </vt:variant>
      <vt:variant>
        <vt:i4>0</vt:i4>
      </vt:variant>
      <vt:variant>
        <vt:i4>5</vt:i4>
      </vt:variant>
      <vt:variant>
        <vt:lpwstr/>
      </vt:variant>
      <vt:variant>
        <vt:lpwstr>_Toc89264401</vt:lpwstr>
      </vt:variant>
      <vt:variant>
        <vt:i4>1835070</vt:i4>
      </vt:variant>
      <vt:variant>
        <vt:i4>44</vt:i4>
      </vt:variant>
      <vt:variant>
        <vt:i4>0</vt:i4>
      </vt:variant>
      <vt:variant>
        <vt:i4>5</vt:i4>
      </vt:variant>
      <vt:variant>
        <vt:lpwstr/>
      </vt:variant>
      <vt:variant>
        <vt:lpwstr>_Toc89264400</vt:lpwstr>
      </vt:variant>
      <vt:variant>
        <vt:i4>1179703</vt:i4>
      </vt:variant>
      <vt:variant>
        <vt:i4>38</vt:i4>
      </vt:variant>
      <vt:variant>
        <vt:i4>0</vt:i4>
      </vt:variant>
      <vt:variant>
        <vt:i4>5</vt:i4>
      </vt:variant>
      <vt:variant>
        <vt:lpwstr/>
      </vt:variant>
      <vt:variant>
        <vt:lpwstr>_Toc89264399</vt:lpwstr>
      </vt:variant>
      <vt:variant>
        <vt:i4>1245239</vt:i4>
      </vt:variant>
      <vt:variant>
        <vt:i4>32</vt:i4>
      </vt:variant>
      <vt:variant>
        <vt:i4>0</vt:i4>
      </vt:variant>
      <vt:variant>
        <vt:i4>5</vt:i4>
      </vt:variant>
      <vt:variant>
        <vt:lpwstr/>
      </vt:variant>
      <vt:variant>
        <vt:lpwstr>_Toc89264398</vt:lpwstr>
      </vt:variant>
      <vt:variant>
        <vt:i4>1835063</vt:i4>
      </vt:variant>
      <vt:variant>
        <vt:i4>26</vt:i4>
      </vt:variant>
      <vt:variant>
        <vt:i4>0</vt:i4>
      </vt:variant>
      <vt:variant>
        <vt:i4>5</vt:i4>
      </vt:variant>
      <vt:variant>
        <vt:lpwstr/>
      </vt:variant>
      <vt:variant>
        <vt:lpwstr>_Toc89264397</vt:lpwstr>
      </vt:variant>
      <vt:variant>
        <vt:i4>1900599</vt:i4>
      </vt:variant>
      <vt:variant>
        <vt:i4>20</vt:i4>
      </vt:variant>
      <vt:variant>
        <vt:i4>0</vt:i4>
      </vt:variant>
      <vt:variant>
        <vt:i4>5</vt:i4>
      </vt:variant>
      <vt:variant>
        <vt:lpwstr/>
      </vt:variant>
      <vt:variant>
        <vt:lpwstr>_Toc89264396</vt:lpwstr>
      </vt:variant>
      <vt:variant>
        <vt:i4>2031671</vt:i4>
      </vt:variant>
      <vt:variant>
        <vt:i4>14</vt:i4>
      </vt:variant>
      <vt:variant>
        <vt:i4>0</vt:i4>
      </vt:variant>
      <vt:variant>
        <vt:i4>5</vt:i4>
      </vt:variant>
      <vt:variant>
        <vt:lpwstr/>
      </vt:variant>
      <vt:variant>
        <vt:lpwstr>_Toc89264394</vt:lpwstr>
      </vt:variant>
      <vt:variant>
        <vt:i4>1572919</vt:i4>
      </vt:variant>
      <vt:variant>
        <vt:i4>8</vt:i4>
      </vt:variant>
      <vt:variant>
        <vt:i4>0</vt:i4>
      </vt:variant>
      <vt:variant>
        <vt:i4>5</vt:i4>
      </vt:variant>
      <vt:variant>
        <vt:lpwstr/>
      </vt:variant>
      <vt:variant>
        <vt:lpwstr>_Toc89264393</vt:lpwstr>
      </vt:variant>
      <vt:variant>
        <vt:i4>1638455</vt:i4>
      </vt:variant>
      <vt:variant>
        <vt:i4>2</vt:i4>
      </vt:variant>
      <vt:variant>
        <vt:i4>0</vt:i4>
      </vt:variant>
      <vt:variant>
        <vt:i4>5</vt:i4>
      </vt:variant>
      <vt:variant>
        <vt:lpwstr/>
      </vt:variant>
      <vt:variant>
        <vt:lpwstr>_Toc89264392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dc:title>
  <dc:subject/>
  <dc:creator>Corporate User</dc:creator>
  <cp:keywords/>
  <cp:lastModifiedBy>Gorelov Iván</cp:lastModifiedBy>
  <cp:revision>2</cp:revision>
  <cp:lastPrinted>2012-06-14T13:43:00Z</cp:lastPrinted>
  <dcterms:created xsi:type="dcterms:W3CDTF">2024-12-13T13:22:00Z</dcterms:created>
  <dcterms:modified xsi:type="dcterms:W3CDTF">2024-12-13T13:22:00Z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nemethneed@mnb.hu</vt:lpwstr>
  </property>
  <property fmtid="{D5CDD505-2E9C-101B-9397-08002B2CF9AE}" pid="6" name="MSIP_Label_b0d11092-50c9-4e74-84b5-b1af078dc3d0_SetDate">
    <vt:lpwstr>2018-12-20T14:30:29.5685517+01:00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2026-10-15T08:25:24Z</vt:filetime>
  </property>
  <property fmtid="{D5CDD505-2E9C-101B-9397-08002B2CF9AE}" pid="12" name="Érvényességet beállító">
    <vt:lpwstr>vargaviv</vt:lpwstr>
  </property>
  <property fmtid="{D5CDD505-2E9C-101B-9397-08002B2CF9AE}" pid="13" name="Érvényességi idő első beállítása">
    <vt:filetime>2021-10-15T08:25:24Z</vt:filetime>
  </property>
</Properties>
</file>