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815B2" w:rsidRPr="00A15E30" w:rsidRDefault="00510309" w:rsidP="002815B2">
      <w:pPr>
        <w:spacing w:after="240"/>
        <w:rPr>
          <w:rFonts w:ascii="Arial" w:hAnsi="Arial" w:cs="Arial"/>
          <w:b/>
          <w:lang w:val="en-GB"/>
        </w:rPr>
      </w:pPr>
      <w:proofErr w:type="spellStart"/>
      <w:r w:rsidRPr="00A15E30">
        <w:rPr>
          <w:rFonts w:ascii="Arial" w:hAnsi="Arial"/>
          <w:b/>
          <w:lang w:val="en-GB"/>
        </w:rPr>
        <w:t>MNB</w:t>
      </w:r>
      <w:proofErr w:type="spellEnd"/>
      <w:r w:rsidRPr="00A15E30">
        <w:rPr>
          <w:rFonts w:ascii="Arial" w:hAnsi="Arial"/>
          <w:b/>
          <w:lang w:val="en-GB"/>
        </w:rPr>
        <w:t xml:space="preserve"> </w:t>
      </w:r>
      <w:r w:rsidR="00A15E30" w:rsidRPr="00A15E30">
        <w:rPr>
          <w:rFonts w:ascii="Arial" w:hAnsi="Arial"/>
          <w:b/>
          <w:lang w:val="en-GB"/>
        </w:rPr>
        <w:t>identification number</w:t>
      </w:r>
      <w:r w:rsidRPr="00A15E30">
        <w:rPr>
          <w:rFonts w:ascii="Arial" w:hAnsi="Arial"/>
          <w:b/>
          <w:lang w:val="en-GB"/>
        </w:rPr>
        <w:t>: P64</w:t>
      </w:r>
    </w:p>
    <w:p w:rsidR="002815B2" w:rsidRPr="00A15E30" w:rsidRDefault="00616FA4" w:rsidP="00574628">
      <w:pPr>
        <w:rPr>
          <w:rFonts w:ascii="Arial" w:hAnsi="Arial" w:cs="Arial"/>
          <w:u w:val="single"/>
          <w:lang w:val="en-GB"/>
        </w:rPr>
      </w:pPr>
    </w:p>
    <w:p w:rsidR="002815B2" w:rsidRPr="00A15E30" w:rsidRDefault="00616FA4" w:rsidP="00AA24FB">
      <w:pPr>
        <w:jc w:val="center"/>
        <w:rPr>
          <w:rFonts w:ascii="Arial" w:hAnsi="Arial" w:cs="Arial"/>
          <w:b/>
          <w:lang w:val="en-GB"/>
        </w:rPr>
      </w:pPr>
      <w:r>
        <w:rPr>
          <w:rFonts w:ascii="Arial" w:hAnsi="Arial"/>
          <w:b/>
          <w:lang w:val="en-GB"/>
        </w:rPr>
        <w:t>Completion</w:t>
      </w:r>
      <w:r w:rsidR="00510309" w:rsidRPr="00A15E30">
        <w:rPr>
          <w:rFonts w:ascii="Arial" w:hAnsi="Arial"/>
          <w:b/>
          <w:lang w:val="en-GB"/>
        </w:rPr>
        <w:t xml:space="preserve"> instructions</w:t>
      </w:r>
    </w:p>
    <w:p w:rsidR="002815B2" w:rsidRPr="00A15E30" w:rsidRDefault="00510309" w:rsidP="00AA24FB">
      <w:pPr>
        <w:jc w:val="center"/>
        <w:rPr>
          <w:rFonts w:ascii="Arial" w:hAnsi="Arial" w:cs="Arial"/>
          <w:b/>
          <w:lang w:val="en-GB"/>
        </w:rPr>
      </w:pPr>
      <w:bookmarkStart w:id="0" w:name="_GoBack"/>
      <w:bookmarkEnd w:id="0"/>
      <w:r w:rsidRPr="00A15E30">
        <w:rPr>
          <w:rFonts w:ascii="Arial" w:hAnsi="Arial"/>
          <w:b/>
          <w:lang w:val="en-GB"/>
        </w:rPr>
        <w:t>Reporting of major operational or security incidents by the payment service provider</w:t>
      </w:r>
    </w:p>
    <w:p w:rsidR="00AE4852" w:rsidRPr="00A15E30" w:rsidRDefault="00616FA4" w:rsidP="00AA24FB">
      <w:pPr>
        <w:jc w:val="center"/>
        <w:rPr>
          <w:rFonts w:ascii="Arial" w:hAnsi="Arial" w:cs="Arial"/>
          <w:b/>
          <w:lang w:val="en-GB"/>
        </w:rPr>
      </w:pPr>
    </w:p>
    <w:p w:rsidR="0094227A" w:rsidRPr="00A15E30" w:rsidRDefault="00510309" w:rsidP="0094227A">
      <w:pPr>
        <w:pStyle w:val="Cmsor3"/>
        <w:numPr>
          <w:ilvl w:val="0"/>
          <w:numId w:val="0"/>
        </w:numPr>
        <w:rPr>
          <w:rFonts w:ascii="Arial" w:hAnsi="Arial" w:cs="Arial"/>
          <w:b/>
          <w:color w:val="000000"/>
          <w:szCs w:val="20"/>
          <w:lang w:val="en-GB"/>
        </w:rPr>
      </w:pPr>
      <w:r w:rsidRPr="00A15E30">
        <w:rPr>
          <w:rFonts w:ascii="Arial" w:hAnsi="Arial"/>
          <w:b/>
          <w:color w:val="000000"/>
          <w:lang w:val="en-GB"/>
        </w:rPr>
        <w:t>I. General requirements</w:t>
      </w:r>
    </w:p>
    <w:p w:rsidR="00CF35A3" w:rsidRPr="008A28D0" w:rsidRDefault="00510309" w:rsidP="00CF35A3">
      <w:pPr>
        <w:pStyle w:val="Szvegtrzs"/>
        <w:numPr>
          <w:ilvl w:val="0"/>
          <w:numId w:val="21"/>
        </w:numPr>
        <w:tabs>
          <w:tab w:val="clear" w:pos="567"/>
        </w:tabs>
        <w:rPr>
          <w:rFonts w:cs="Arial"/>
        </w:rPr>
      </w:pPr>
      <w:r w:rsidRPr="00A15E30">
        <w:rPr>
          <w:lang w:val="en-GB"/>
        </w:rPr>
        <w:t>For the purpose of the reporting requirement, operational and security incident means a single event or a series of linked events unplanned by the payment service provider which has a negative impact</w:t>
      </w:r>
      <w:r>
        <w:t xml:space="preserve"> on the integrity, availability, confidentiality, authenticity and continuity of the payment services or on the technical support duties necessary for the rendering of those in adequate quality (hereinafter together: payment-related services), irrespective of the source (external/internal) and wilfulness (wilful/accidental). The reporting requirement also covers the situations and events as a result of which the operational or security incidents occurred outside the European Union (hereinafter: EU) (for example at a parent company or subsidiary established outside the EU), but it impacts directly (the payment-related services is rendered by the affected non-EU financial service provider) or indirectly (as a result of the event the financial service provider's ability to fulfil its payment activity is prejudiced in another way) the payment services of the payment service provider within the EU. </w:t>
      </w:r>
    </w:p>
    <w:p w:rsidR="00703FEE" w:rsidRPr="008A28D0" w:rsidRDefault="00616FA4" w:rsidP="000121D7">
      <w:pPr>
        <w:pStyle w:val="Szvegtrzs"/>
        <w:tabs>
          <w:tab w:val="clear" w:pos="567"/>
        </w:tabs>
        <w:ind w:left="720"/>
        <w:rPr>
          <w:rFonts w:cs="Arial"/>
        </w:rPr>
      </w:pPr>
    </w:p>
    <w:p w:rsidR="006477F2" w:rsidRPr="008A28D0" w:rsidRDefault="00510309" w:rsidP="00CF35A3">
      <w:pPr>
        <w:pStyle w:val="Szvegtrzs"/>
        <w:numPr>
          <w:ilvl w:val="0"/>
          <w:numId w:val="21"/>
        </w:numPr>
        <w:tabs>
          <w:tab w:val="clear" w:pos="567"/>
        </w:tabs>
        <w:rPr>
          <w:rFonts w:cs="Arial"/>
        </w:rPr>
      </w:pPr>
      <w:r>
        <w:t>Classification of the operational or security incidents</w:t>
      </w:r>
    </w:p>
    <w:p w:rsidR="003C4513" w:rsidRPr="008A28D0" w:rsidRDefault="00510309" w:rsidP="00D378A5">
      <w:pPr>
        <w:pStyle w:val="Szvegtrzs"/>
        <w:numPr>
          <w:ilvl w:val="1"/>
          <w:numId w:val="21"/>
        </w:numPr>
        <w:tabs>
          <w:tab w:val="clear" w:pos="567"/>
        </w:tabs>
        <w:rPr>
          <w:rFonts w:cs="Arial"/>
        </w:rPr>
      </w:pPr>
      <w:r>
        <w:t>The payment service provider</w:t>
      </w:r>
      <w:r>
        <w:rPr>
          <w:b/>
        </w:rPr>
        <w:t xml:space="preserve"> </w:t>
      </w:r>
      <w:r>
        <w:t>must only report the major operational and security incidents.</w:t>
      </w:r>
      <w:r>
        <w:rPr>
          <w:b/>
        </w:rPr>
        <w:t xml:space="preserve"> </w:t>
      </w:r>
      <w:r>
        <w:t>Those operational and security incidents are deemed major that satisfy</w:t>
      </w:r>
    </w:p>
    <w:p w:rsidR="00F0170D" w:rsidRPr="008A28D0" w:rsidRDefault="00616FA4" w:rsidP="000121D7">
      <w:pPr>
        <w:pStyle w:val="Szvegtrzs"/>
        <w:tabs>
          <w:tab w:val="clear" w:pos="567"/>
        </w:tabs>
        <w:ind w:left="720"/>
        <w:rPr>
          <w:rFonts w:cs="Arial"/>
        </w:rPr>
      </w:pPr>
    </w:p>
    <w:p w:rsidR="00C23EBF" w:rsidRPr="008A28D0" w:rsidRDefault="00510309" w:rsidP="00CF35A3">
      <w:pPr>
        <w:pStyle w:val="Default"/>
        <w:numPr>
          <w:ilvl w:val="0"/>
          <w:numId w:val="11"/>
        </w:numPr>
        <w:spacing w:after="119"/>
        <w:ind w:left="1440"/>
        <w:rPr>
          <w:rFonts w:ascii="Arial" w:hAnsi="Arial" w:cs="Arial"/>
          <w:sz w:val="20"/>
          <w:szCs w:val="20"/>
        </w:rPr>
      </w:pPr>
      <w:r>
        <w:rPr>
          <w:rFonts w:ascii="Arial" w:hAnsi="Arial"/>
          <w:sz w:val="20"/>
        </w:rPr>
        <w:t>one or more criteria of the "higher impact level", or</w:t>
      </w:r>
    </w:p>
    <w:p w:rsidR="00C23EBF" w:rsidRPr="008A28D0" w:rsidRDefault="00510309" w:rsidP="00CF35A3">
      <w:pPr>
        <w:pStyle w:val="Default"/>
        <w:numPr>
          <w:ilvl w:val="0"/>
          <w:numId w:val="11"/>
        </w:numPr>
        <w:ind w:left="1440"/>
        <w:rPr>
          <w:rFonts w:ascii="Arial" w:hAnsi="Arial" w:cs="Arial"/>
          <w:sz w:val="20"/>
          <w:szCs w:val="20"/>
        </w:rPr>
      </w:pPr>
      <w:r>
        <w:rPr>
          <w:rFonts w:ascii="Arial" w:hAnsi="Arial"/>
          <w:sz w:val="20"/>
        </w:rPr>
        <w:t>three or more criteria of the "lower impact level", as specified in the table below</w:t>
      </w:r>
    </w:p>
    <w:p w:rsidR="003C4513" w:rsidRPr="008A28D0" w:rsidRDefault="00616FA4" w:rsidP="00C23EBF">
      <w:pPr>
        <w:pStyle w:val="Default"/>
        <w:rPr>
          <w:rFonts w:ascii="Arial" w:hAnsi="Arial" w:cs="Arial"/>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70"/>
        <w:gridCol w:w="3172"/>
        <w:gridCol w:w="3172"/>
      </w:tblGrid>
      <w:tr w:rsidR="00703FEE" w:rsidRPr="005379A0" w:rsidTr="005379A0">
        <w:tc>
          <w:tcPr>
            <w:tcW w:w="3170" w:type="dxa"/>
            <w:shd w:val="clear" w:color="auto" w:fill="auto"/>
            <w:vAlign w:val="center"/>
          </w:tcPr>
          <w:p w:rsidR="00C01DD5" w:rsidRPr="005379A0" w:rsidRDefault="00510309" w:rsidP="005379A0">
            <w:pPr>
              <w:pStyle w:val="Default"/>
              <w:contextualSpacing/>
              <w:jc w:val="both"/>
              <w:rPr>
                <w:rFonts w:ascii="Arial" w:hAnsi="Arial" w:cs="Arial"/>
                <w:sz w:val="20"/>
                <w:szCs w:val="20"/>
              </w:rPr>
            </w:pPr>
            <w:r>
              <w:rPr>
                <w:rFonts w:ascii="Arial" w:hAnsi="Arial"/>
                <w:b/>
                <w:sz w:val="20"/>
              </w:rPr>
              <w:t>Criteria</w:t>
            </w:r>
          </w:p>
        </w:tc>
        <w:tc>
          <w:tcPr>
            <w:tcW w:w="3172" w:type="dxa"/>
            <w:shd w:val="clear" w:color="auto" w:fill="auto"/>
            <w:vAlign w:val="center"/>
          </w:tcPr>
          <w:p w:rsidR="00C01DD5" w:rsidRPr="005379A0" w:rsidRDefault="00510309" w:rsidP="005379A0">
            <w:pPr>
              <w:pStyle w:val="Default"/>
              <w:contextualSpacing/>
              <w:jc w:val="both"/>
              <w:rPr>
                <w:rFonts w:ascii="Arial" w:hAnsi="Arial" w:cs="Arial"/>
                <w:sz w:val="20"/>
                <w:szCs w:val="20"/>
              </w:rPr>
            </w:pPr>
            <w:r>
              <w:rPr>
                <w:rFonts w:ascii="Arial" w:hAnsi="Arial"/>
                <w:b/>
                <w:sz w:val="20"/>
              </w:rPr>
              <w:t>Lower impact level</w:t>
            </w:r>
          </w:p>
        </w:tc>
        <w:tc>
          <w:tcPr>
            <w:tcW w:w="3172" w:type="dxa"/>
            <w:shd w:val="clear" w:color="auto" w:fill="auto"/>
            <w:vAlign w:val="center"/>
          </w:tcPr>
          <w:p w:rsidR="00C01DD5" w:rsidRPr="005379A0" w:rsidRDefault="00510309" w:rsidP="005379A0">
            <w:pPr>
              <w:pStyle w:val="Default"/>
              <w:contextualSpacing/>
              <w:jc w:val="both"/>
              <w:rPr>
                <w:rFonts w:ascii="Arial" w:hAnsi="Arial" w:cs="Arial"/>
                <w:sz w:val="20"/>
                <w:szCs w:val="20"/>
              </w:rPr>
            </w:pPr>
            <w:r>
              <w:rPr>
                <w:rFonts w:ascii="Arial" w:hAnsi="Arial"/>
                <w:b/>
                <w:sz w:val="20"/>
              </w:rPr>
              <w:t>Higher impact level</w:t>
            </w:r>
          </w:p>
        </w:tc>
      </w:tr>
      <w:tr w:rsidR="00703FEE" w:rsidRPr="005379A0" w:rsidTr="005379A0">
        <w:tc>
          <w:tcPr>
            <w:tcW w:w="3170" w:type="dxa"/>
            <w:shd w:val="clear" w:color="auto" w:fill="auto"/>
          </w:tcPr>
          <w:p w:rsidR="00C01DD5" w:rsidRPr="005379A0" w:rsidRDefault="00510309" w:rsidP="00E67E5A">
            <w:pPr>
              <w:pStyle w:val="Default"/>
              <w:contextualSpacing/>
              <w:rPr>
                <w:rFonts w:ascii="Arial" w:hAnsi="Arial" w:cs="Arial"/>
                <w:sz w:val="20"/>
                <w:szCs w:val="20"/>
              </w:rPr>
            </w:pPr>
            <w:r>
              <w:rPr>
                <w:rFonts w:ascii="Arial" w:hAnsi="Arial"/>
                <w:sz w:val="20"/>
              </w:rPr>
              <w:t>Affected payment transactions</w:t>
            </w:r>
          </w:p>
        </w:tc>
        <w:tc>
          <w:tcPr>
            <w:tcW w:w="3172" w:type="dxa"/>
            <w:shd w:val="clear" w:color="auto" w:fill="auto"/>
          </w:tcPr>
          <w:p w:rsidR="00C01DD5" w:rsidRPr="005379A0" w:rsidRDefault="00510309" w:rsidP="00E67E5A">
            <w:pPr>
              <w:pStyle w:val="Default"/>
              <w:contextualSpacing/>
              <w:rPr>
                <w:rFonts w:ascii="Arial" w:hAnsi="Arial" w:cs="Arial"/>
                <w:sz w:val="20"/>
                <w:szCs w:val="20"/>
              </w:rPr>
            </w:pPr>
            <w:r>
              <w:rPr>
                <w:rFonts w:ascii="Arial" w:hAnsi="Arial"/>
                <w:sz w:val="20"/>
              </w:rPr>
              <w:t xml:space="preserve">&gt; 10 percent of the payment service provider’s usual level of payment transactions (expressed as the number of transactions) </w:t>
            </w:r>
          </w:p>
          <w:p w:rsidR="00C01DD5" w:rsidRPr="005379A0" w:rsidRDefault="00510309" w:rsidP="00E67E5A">
            <w:pPr>
              <w:pStyle w:val="Default"/>
              <w:contextualSpacing/>
              <w:rPr>
                <w:rFonts w:ascii="Arial" w:hAnsi="Arial" w:cs="Arial"/>
                <w:sz w:val="20"/>
                <w:szCs w:val="20"/>
              </w:rPr>
            </w:pPr>
            <w:r>
              <w:rPr>
                <w:rFonts w:ascii="Arial" w:hAnsi="Arial"/>
                <w:b/>
                <w:sz w:val="20"/>
              </w:rPr>
              <w:t xml:space="preserve">and </w:t>
            </w:r>
          </w:p>
          <w:p w:rsidR="00C01DD5" w:rsidRPr="005379A0" w:rsidRDefault="00510309" w:rsidP="00E67E5A">
            <w:pPr>
              <w:pStyle w:val="Default"/>
              <w:contextualSpacing/>
              <w:rPr>
                <w:rFonts w:ascii="Arial" w:hAnsi="Arial" w:cs="Arial"/>
                <w:sz w:val="20"/>
                <w:szCs w:val="20"/>
              </w:rPr>
            </w:pPr>
            <w:r>
              <w:rPr>
                <w:rFonts w:ascii="Arial" w:hAnsi="Arial"/>
                <w:sz w:val="20"/>
              </w:rPr>
              <w:t xml:space="preserve">&gt; EUR 100,000 </w:t>
            </w:r>
          </w:p>
        </w:tc>
        <w:tc>
          <w:tcPr>
            <w:tcW w:w="3172" w:type="dxa"/>
            <w:shd w:val="clear" w:color="auto" w:fill="auto"/>
          </w:tcPr>
          <w:p w:rsidR="00C01DD5" w:rsidRPr="005379A0" w:rsidRDefault="00510309" w:rsidP="00E67E5A">
            <w:pPr>
              <w:pStyle w:val="Default"/>
              <w:contextualSpacing/>
              <w:rPr>
                <w:rFonts w:ascii="Arial" w:hAnsi="Arial" w:cs="Arial"/>
                <w:sz w:val="20"/>
                <w:szCs w:val="20"/>
              </w:rPr>
            </w:pPr>
            <w:r>
              <w:rPr>
                <w:rFonts w:ascii="Arial" w:hAnsi="Arial"/>
                <w:sz w:val="20"/>
              </w:rPr>
              <w:t>&gt; 25 percent of the payment service provider’s usual level of payment transactions (expressed as the number of transactions)</w:t>
            </w:r>
          </w:p>
          <w:p w:rsidR="00C01DD5" w:rsidRPr="005379A0" w:rsidRDefault="00510309" w:rsidP="00E67E5A">
            <w:pPr>
              <w:pStyle w:val="Default"/>
              <w:contextualSpacing/>
              <w:rPr>
                <w:rFonts w:ascii="Arial" w:hAnsi="Arial" w:cs="Arial"/>
                <w:sz w:val="20"/>
                <w:szCs w:val="20"/>
              </w:rPr>
            </w:pPr>
            <w:r>
              <w:rPr>
                <w:rFonts w:ascii="Arial" w:hAnsi="Arial"/>
                <w:b/>
                <w:sz w:val="20"/>
              </w:rPr>
              <w:t xml:space="preserve">or </w:t>
            </w:r>
          </w:p>
          <w:p w:rsidR="00C01DD5" w:rsidRPr="005379A0" w:rsidRDefault="00510309" w:rsidP="00E67E5A">
            <w:pPr>
              <w:pStyle w:val="Default"/>
              <w:contextualSpacing/>
              <w:rPr>
                <w:rFonts w:ascii="Arial" w:hAnsi="Arial" w:cs="Arial"/>
                <w:sz w:val="20"/>
                <w:szCs w:val="20"/>
              </w:rPr>
            </w:pPr>
            <w:r>
              <w:rPr>
                <w:rFonts w:ascii="Arial" w:hAnsi="Arial"/>
                <w:sz w:val="20"/>
              </w:rPr>
              <w:t xml:space="preserve">&gt; EUR 5 million </w:t>
            </w:r>
          </w:p>
        </w:tc>
      </w:tr>
      <w:tr w:rsidR="00703FEE" w:rsidRPr="000A13C7" w:rsidTr="005379A0">
        <w:tc>
          <w:tcPr>
            <w:tcW w:w="3170" w:type="dxa"/>
            <w:shd w:val="clear" w:color="auto" w:fill="auto"/>
          </w:tcPr>
          <w:p w:rsidR="00C01DD5" w:rsidRPr="005379A0" w:rsidRDefault="00510309" w:rsidP="00E67E5A">
            <w:pPr>
              <w:pStyle w:val="Default"/>
              <w:contextualSpacing/>
              <w:rPr>
                <w:rFonts w:ascii="Arial" w:hAnsi="Arial" w:cs="Arial"/>
                <w:sz w:val="20"/>
                <w:szCs w:val="20"/>
              </w:rPr>
            </w:pPr>
            <w:r>
              <w:rPr>
                <w:rFonts w:ascii="Arial" w:hAnsi="Arial"/>
                <w:sz w:val="20"/>
              </w:rPr>
              <w:t xml:space="preserve">The number of the affected users of the payment services </w:t>
            </w:r>
          </w:p>
        </w:tc>
        <w:tc>
          <w:tcPr>
            <w:tcW w:w="3172" w:type="dxa"/>
            <w:shd w:val="clear" w:color="auto" w:fill="auto"/>
          </w:tcPr>
          <w:p w:rsidR="00C01DD5" w:rsidRPr="005379A0" w:rsidRDefault="00510309" w:rsidP="00E67E5A">
            <w:pPr>
              <w:pStyle w:val="Default"/>
              <w:contextualSpacing/>
              <w:rPr>
                <w:rFonts w:ascii="Arial" w:hAnsi="Arial" w:cs="Arial"/>
                <w:sz w:val="20"/>
                <w:szCs w:val="20"/>
              </w:rPr>
            </w:pPr>
            <w:r>
              <w:rPr>
                <w:rFonts w:ascii="Arial" w:hAnsi="Arial"/>
                <w:sz w:val="20"/>
              </w:rPr>
              <w:t>&gt; 5,000 persons</w:t>
            </w:r>
          </w:p>
          <w:p w:rsidR="00C01DD5" w:rsidRPr="005379A0" w:rsidRDefault="00510309" w:rsidP="00E67E5A">
            <w:pPr>
              <w:pStyle w:val="Default"/>
              <w:contextualSpacing/>
              <w:rPr>
                <w:rFonts w:ascii="Arial" w:hAnsi="Arial" w:cs="Arial"/>
                <w:sz w:val="20"/>
                <w:szCs w:val="20"/>
              </w:rPr>
            </w:pPr>
            <w:r>
              <w:rPr>
                <w:rFonts w:ascii="Arial" w:hAnsi="Arial"/>
                <w:b/>
                <w:sz w:val="20"/>
              </w:rPr>
              <w:t xml:space="preserve">and </w:t>
            </w:r>
          </w:p>
          <w:p w:rsidR="00C01DD5" w:rsidRPr="005379A0" w:rsidRDefault="00510309" w:rsidP="00E67E5A">
            <w:pPr>
              <w:pStyle w:val="Default"/>
              <w:contextualSpacing/>
              <w:rPr>
                <w:rFonts w:ascii="Arial" w:hAnsi="Arial" w:cs="Arial"/>
                <w:sz w:val="20"/>
                <w:szCs w:val="20"/>
              </w:rPr>
            </w:pPr>
            <w:r>
              <w:rPr>
                <w:rFonts w:ascii="Arial" w:hAnsi="Arial"/>
                <w:sz w:val="20"/>
              </w:rPr>
              <w:t>&gt; 10 percent (compared to the total number of the users of the payment services)</w:t>
            </w:r>
          </w:p>
        </w:tc>
        <w:tc>
          <w:tcPr>
            <w:tcW w:w="3172" w:type="dxa"/>
            <w:shd w:val="clear" w:color="auto" w:fill="auto"/>
          </w:tcPr>
          <w:p w:rsidR="00C01DD5" w:rsidRPr="005379A0" w:rsidRDefault="00510309" w:rsidP="00E67E5A">
            <w:pPr>
              <w:pStyle w:val="Default"/>
              <w:contextualSpacing/>
              <w:rPr>
                <w:rFonts w:ascii="Arial" w:hAnsi="Arial" w:cs="Arial"/>
                <w:sz w:val="20"/>
                <w:szCs w:val="20"/>
              </w:rPr>
            </w:pPr>
            <w:r>
              <w:rPr>
                <w:rFonts w:ascii="Arial" w:hAnsi="Arial"/>
                <w:sz w:val="20"/>
              </w:rPr>
              <w:t>&gt; 50,000 persons</w:t>
            </w:r>
          </w:p>
          <w:p w:rsidR="00C01DD5" w:rsidRPr="005379A0" w:rsidRDefault="00510309" w:rsidP="00E67E5A">
            <w:pPr>
              <w:pStyle w:val="Default"/>
              <w:contextualSpacing/>
              <w:rPr>
                <w:rFonts w:ascii="Arial" w:hAnsi="Arial" w:cs="Arial"/>
                <w:sz w:val="20"/>
                <w:szCs w:val="20"/>
              </w:rPr>
            </w:pPr>
            <w:r>
              <w:rPr>
                <w:rFonts w:ascii="Arial" w:hAnsi="Arial"/>
                <w:b/>
                <w:sz w:val="20"/>
              </w:rPr>
              <w:t xml:space="preserve">or </w:t>
            </w:r>
          </w:p>
          <w:p w:rsidR="00C01DD5" w:rsidRPr="005379A0" w:rsidRDefault="00510309" w:rsidP="00E67E5A">
            <w:pPr>
              <w:pStyle w:val="Default"/>
              <w:contextualSpacing/>
              <w:rPr>
                <w:rFonts w:ascii="Arial" w:hAnsi="Arial" w:cs="Arial"/>
                <w:sz w:val="20"/>
                <w:szCs w:val="20"/>
              </w:rPr>
            </w:pPr>
            <w:r>
              <w:rPr>
                <w:rFonts w:ascii="Arial" w:hAnsi="Arial"/>
                <w:sz w:val="20"/>
              </w:rPr>
              <w:t>&gt; 25 percent (compared to the total number of the users of the payment services)</w:t>
            </w:r>
          </w:p>
        </w:tc>
      </w:tr>
      <w:tr w:rsidR="00703FEE" w:rsidRPr="005379A0" w:rsidTr="005379A0">
        <w:tc>
          <w:tcPr>
            <w:tcW w:w="3170" w:type="dxa"/>
            <w:shd w:val="clear" w:color="auto" w:fill="auto"/>
          </w:tcPr>
          <w:p w:rsidR="00C01DD5" w:rsidRPr="005379A0" w:rsidRDefault="00510309" w:rsidP="00E67E5A">
            <w:pPr>
              <w:pStyle w:val="Default"/>
              <w:contextualSpacing/>
              <w:rPr>
                <w:rFonts w:ascii="Arial" w:hAnsi="Arial" w:cs="Arial"/>
                <w:sz w:val="20"/>
                <w:szCs w:val="20"/>
              </w:rPr>
            </w:pPr>
            <w:r>
              <w:rPr>
                <w:rFonts w:ascii="Arial" w:hAnsi="Arial"/>
                <w:sz w:val="20"/>
              </w:rPr>
              <w:t xml:space="preserve">Duration of the service downtime </w:t>
            </w:r>
          </w:p>
        </w:tc>
        <w:tc>
          <w:tcPr>
            <w:tcW w:w="3172" w:type="dxa"/>
            <w:shd w:val="clear" w:color="auto" w:fill="auto"/>
          </w:tcPr>
          <w:p w:rsidR="00C01DD5" w:rsidRPr="005379A0" w:rsidRDefault="00510309" w:rsidP="00E67E5A">
            <w:pPr>
              <w:pStyle w:val="Default"/>
              <w:contextualSpacing/>
              <w:rPr>
                <w:rFonts w:ascii="Arial" w:hAnsi="Arial" w:cs="Arial"/>
                <w:sz w:val="20"/>
                <w:szCs w:val="20"/>
              </w:rPr>
            </w:pPr>
            <w:r>
              <w:rPr>
                <w:rFonts w:ascii="Arial" w:hAnsi="Arial"/>
                <w:sz w:val="20"/>
              </w:rPr>
              <w:t xml:space="preserve">&gt; 2 hours </w:t>
            </w:r>
          </w:p>
        </w:tc>
        <w:tc>
          <w:tcPr>
            <w:tcW w:w="3172" w:type="dxa"/>
            <w:shd w:val="clear" w:color="auto" w:fill="auto"/>
          </w:tcPr>
          <w:p w:rsidR="00C01DD5" w:rsidRPr="005379A0" w:rsidRDefault="00510309" w:rsidP="00E67E5A">
            <w:pPr>
              <w:pStyle w:val="Default"/>
              <w:contextualSpacing/>
              <w:rPr>
                <w:rFonts w:ascii="Arial" w:hAnsi="Arial" w:cs="Arial"/>
                <w:sz w:val="20"/>
                <w:szCs w:val="20"/>
              </w:rPr>
            </w:pPr>
            <w:r>
              <w:rPr>
                <w:rFonts w:ascii="Arial" w:hAnsi="Arial"/>
                <w:sz w:val="20"/>
              </w:rPr>
              <w:t xml:space="preserve">Not applicable </w:t>
            </w:r>
          </w:p>
        </w:tc>
      </w:tr>
      <w:tr w:rsidR="00703FEE" w:rsidRPr="000A13C7" w:rsidTr="005379A0">
        <w:tc>
          <w:tcPr>
            <w:tcW w:w="3170" w:type="dxa"/>
            <w:shd w:val="clear" w:color="auto" w:fill="auto"/>
          </w:tcPr>
          <w:p w:rsidR="00C01DD5" w:rsidRPr="005379A0" w:rsidRDefault="00510309" w:rsidP="00E67E5A">
            <w:pPr>
              <w:pStyle w:val="Default"/>
              <w:contextualSpacing/>
              <w:rPr>
                <w:rFonts w:ascii="Arial" w:hAnsi="Arial" w:cs="Arial"/>
                <w:sz w:val="20"/>
                <w:szCs w:val="20"/>
              </w:rPr>
            </w:pPr>
            <w:r>
              <w:rPr>
                <w:rFonts w:ascii="Arial" w:hAnsi="Arial"/>
                <w:sz w:val="20"/>
              </w:rPr>
              <w:t xml:space="preserve">Economic impact </w:t>
            </w:r>
          </w:p>
        </w:tc>
        <w:tc>
          <w:tcPr>
            <w:tcW w:w="3172" w:type="dxa"/>
            <w:shd w:val="clear" w:color="auto" w:fill="auto"/>
          </w:tcPr>
          <w:p w:rsidR="00C01DD5" w:rsidRPr="005379A0" w:rsidRDefault="00510309" w:rsidP="00E67E5A">
            <w:pPr>
              <w:pStyle w:val="Default"/>
              <w:contextualSpacing/>
              <w:rPr>
                <w:rFonts w:ascii="Arial" w:hAnsi="Arial" w:cs="Arial"/>
                <w:sz w:val="20"/>
                <w:szCs w:val="20"/>
              </w:rPr>
            </w:pPr>
            <w:r>
              <w:rPr>
                <w:rFonts w:ascii="Arial" w:hAnsi="Arial"/>
                <w:sz w:val="20"/>
              </w:rPr>
              <w:t xml:space="preserve">Not applicable </w:t>
            </w:r>
          </w:p>
        </w:tc>
        <w:tc>
          <w:tcPr>
            <w:tcW w:w="3172" w:type="dxa"/>
            <w:shd w:val="clear" w:color="auto" w:fill="auto"/>
          </w:tcPr>
          <w:p w:rsidR="00C01DD5" w:rsidRPr="005379A0" w:rsidRDefault="00510309" w:rsidP="00E67E5A">
            <w:pPr>
              <w:pStyle w:val="Default"/>
              <w:contextualSpacing/>
              <w:rPr>
                <w:rFonts w:ascii="Arial" w:hAnsi="Arial" w:cs="Arial"/>
                <w:sz w:val="20"/>
                <w:szCs w:val="20"/>
              </w:rPr>
            </w:pPr>
            <w:r>
              <w:rPr>
                <w:rFonts w:ascii="Arial" w:hAnsi="Arial"/>
                <w:sz w:val="20"/>
              </w:rPr>
              <w:t>&gt; 0.1 percent of the Tier 1 capital, but minimum EUR 200,000</w:t>
            </w:r>
          </w:p>
          <w:p w:rsidR="00C01DD5" w:rsidRPr="005379A0" w:rsidRDefault="00510309" w:rsidP="00E67E5A">
            <w:pPr>
              <w:pStyle w:val="Default"/>
              <w:contextualSpacing/>
              <w:rPr>
                <w:rFonts w:ascii="Arial" w:hAnsi="Arial" w:cs="Arial"/>
                <w:b/>
                <w:bCs/>
                <w:sz w:val="20"/>
                <w:szCs w:val="20"/>
              </w:rPr>
            </w:pPr>
            <w:r>
              <w:rPr>
                <w:rFonts w:ascii="Arial" w:hAnsi="Arial"/>
                <w:b/>
                <w:sz w:val="20"/>
              </w:rPr>
              <w:t xml:space="preserve">or </w:t>
            </w:r>
          </w:p>
          <w:p w:rsidR="00C01DD5" w:rsidRPr="005379A0" w:rsidRDefault="00510309" w:rsidP="00E67E5A">
            <w:pPr>
              <w:pStyle w:val="Default"/>
              <w:contextualSpacing/>
              <w:rPr>
                <w:rFonts w:ascii="Arial" w:hAnsi="Arial" w:cs="Arial"/>
                <w:sz w:val="20"/>
                <w:szCs w:val="20"/>
              </w:rPr>
            </w:pPr>
            <w:r>
              <w:rPr>
                <w:rFonts w:ascii="Arial" w:hAnsi="Arial"/>
                <w:sz w:val="20"/>
              </w:rPr>
              <w:t>&gt; EUR 5 million</w:t>
            </w:r>
          </w:p>
        </w:tc>
      </w:tr>
      <w:tr w:rsidR="00703FEE" w:rsidRPr="000A13C7" w:rsidTr="005379A0">
        <w:tc>
          <w:tcPr>
            <w:tcW w:w="3170" w:type="dxa"/>
            <w:shd w:val="clear" w:color="auto" w:fill="auto"/>
          </w:tcPr>
          <w:p w:rsidR="00C01DD5" w:rsidRPr="005379A0" w:rsidRDefault="00510309" w:rsidP="00E67E5A">
            <w:pPr>
              <w:pStyle w:val="Default"/>
              <w:contextualSpacing/>
              <w:rPr>
                <w:rFonts w:ascii="Arial" w:hAnsi="Arial" w:cs="Arial"/>
                <w:sz w:val="20"/>
                <w:szCs w:val="20"/>
              </w:rPr>
            </w:pPr>
            <w:r>
              <w:rPr>
                <w:rFonts w:ascii="Arial" w:hAnsi="Arial"/>
                <w:sz w:val="20"/>
              </w:rPr>
              <w:t xml:space="preserve">High level of internal escalation </w:t>
            </w:r>
          </w:p>
        </w:tc>
        <w:tc>
          <w:tcPr>
            <w:tcW w:w="3172" w:type="dxa"/>
            <w:shd w:val="clear" w:color="auto" w:fill="auto"/>
          </w:tcPr>
          <w:p w:rsidR="00C01DD5" w:rsidRPr="005379A0" w:rsidRDefault="00510309" w:rsidP="00E67E5A">
            <w:pPr>
              <w:pStyle w:val="Default"/>
              <w:contextualSpacing/>
              <w:rPr>
                <w:rFonts w:ascii="Arial" w:hAnsi="Arial" w:cs="Arial"/>
                <w:sz w:val="20"/>
                <w:szCs w:val="20"/>
              </w:rPr>
            </w:pPr>
            <w:r>
              <w:rPr>
                <w:rFonts w:ascii="Arial" w:hAnsi="Arial"/>
                <w:sz w:val="20"/>
              </w:rPr>
              <w:t xml:space="preserve">Yes </w:t>
            </w:r>
          </w:p>
        </w:tc>
        <w:tc>
          <w:tcPr>
            <w:tcW w:w="3172" w:type="dxa"/>
            <w:shd w:val="clear" w:color="auto" w:fill="auto"/>
          </w:tcPr>
          <w:p w:rsidR="00C01DD5" w:rsidRPr="005379A0" w:rsidRDefault="00510309" w:rsidP="00E67E5A">
            <w:pPr>
              <w:pStyle w:val="Default"/>
              <w:contextualSpacing/>
              <w:rPr>
                <w:rFonts w:ascii="Arial" w:hAnsi="Arial" w:cs="Arial"/>
                <w:sz w:val="20"/>
                <w:szCs w:val="20"/>
              </w:rPr>
            </w:pPr>
            <w:r>
              <w:rPr>
                <w:rFonts w:ascii="Arial" w:hAnsi="Arial"/>
                <w:sz w:val="20"/>
              </w:rPr>
              <w:t xml:space="preserve">Yes, and the emergency mode of operation (or equivalent) is likely to be implemented </w:t>
            </w:r>
          </w:p>
        </w:tc>
      </w:tr>
      <w:tr w:rsidR="00703FEE" w:rsidRPr="005379A0" w:rsidTr="005379A0">
        <w:tc>
          <w:tcPr>
            <w:tcW w:w="3170" w:type="dxa"/>
            <w:shd w:val="clear" w:color="auto" w:fill="auto"/>
          </w:tcPr>
          <w:p w:rsidR="00C01DD5" w:rsidRPr="005379A0" w:rsidRDefault="00510309" w:rsidP="00E67E5A">
            <w:pPr>
              <w:pStyle w:val="Default"/>
              <w:contextualSpacing/>
              <w:rPr>
                <w:rFonts w:ascii="Arial" w:hAnsi="Arial" w:cs="Arial"/>
                <w:sz w:val="20"/>
                <w:szCs w:val="20"/>
              </w:rPr>
            </w:pPr>
            <w:r>
              <w:rPr>
                <w:rFonts w:ascii="Arial" w:hAnsi="Arial"/>
                <w:sz w:val="20"/>
              </w:rPr>
              <w:t xml:space="preserve">Potential effect on other financial service providers or relevant infrastructures </w:t>
            </w:r>
          </w:p>
        </w:tc>
        <w:tc>
          <w:tcPr>
            <w:tcW w:w="3172" w:type="dxa"/>
            <w:shd w:val="clear" w:color="auto" w:fill="auto"/>
          </w:tcPr>
          <w:p w:rsidR="00C01DD5" w:rsidRPr="005379A0" w:rsidRDefault="00510309" w:rsidP="00E67E5A">
            <w:pPr>
              <w:pStyle w:val="Default"/>
              <w:contextualSpacing/>
              <w:rPr>
                <w:rFonts w:ascii="Arial" w:hAnsi="Arial" w:cs="Arial"/>
                <w:sz w:val="20"/>
                <w:szCs w:val="20"/>
              </w:rPr>
            </w:pPr>
            <w:r>
              <w:rPr>
                <w:rFonts w:ascii="Arial" w:hAnsi="Arial"/>
                <w:sz w:val="20"/>
              </w:rPr>
              <w:t xml:space="preserve">Yes </w:t>
            </w:r>
          </w:p>
        </w:tc>
        <w:tc>
          <w:tcPr>
            <w:tcW w:w="3172" w:type="dxa"/>
            <w:shd w:val="clear" w:color="auto" w:fill="auto"/>
          </w:tcPr>
          <w:p w:rsidR="00C01DD5" w:rsidRPr="005379A0" w:rsidRDefault="00510309" w:rsidP="00E67E5A">
            <w:pPr>
              <w:pStyle w:val="Default"/>
              <w:contextualSpacing/>
              <w:rPr>
                <w:rFonts w:ascii="Arial" w:hAnsi="Arial" w:cs="Arial"/>
                <w:sz w:val="20"/>
                <w:szCs w:val="20"/>
              </w:rPr>
            </w:pPr>
            <w:r>
              <w:rPr>
                <w:rFonts w:ascii="Arial" w:hAnsi="Arial"/>
                <w:sz w:val="20"/>
              </w:rPr>
              <w:t xml:space="preserve">Not applicable </w:t>
            </w:r>
          </w:p>
        </w:tc>
      </w:tr>
      <w:tr w:rsidR="00C01DD5" w:rsidRPr="005379A0" w:rsidTr="005379A0">
        <w:tc>
          <w:tcPr>
            <w:tcW w:w="3170" w:type="dxa"/>
            <w:shd w:val="clear" w:color="auto" w:fill="auto"/>
          </w:tcPr>
          <w:p w:rsidR="00C01DD5" w:rsidRPr="005379A0" w:rsidRDefault="00510309" w:rsidP="00E67E5A">
            <w:pPr>
              <w:pStyle w:val="Default"/>
              <w:contextualSpacing/>
              <w:rPr>
                <w:rFonts w:ascii="Arial" w:hAnsi="Arial" w:cs="Arial"/>
                <w:sz w:val="20"/>
                <w:szCs w:val="20"/>
              </w:rPr>
            </w:pPr>
            <w:r>
              <w:rPr>
                <w:rFonts w:ascii="Arial" w:hAnsi="Arial"/>
                <w:sz w:val="20"/>
              </w:rPr>
              <w:t xml:space="preserve">Reputational impact </w:t>
            </w:r>
          </w:p>
        </w:tc>
        <w:tc>
          <w:tcPr>
            <w:tcW w:w="3172" w:type="dxa"/>
            <w:shd w:val="clear" w:color="auto" w:fill="auto"/>
          </w:tcPr>
          <w:p w:rsidR="00C01DD5" w:rsidRPr="005379A0" w:rsidRDefault="00510309" w:rsidP="00E67E5A">
            <w:pPr>
              <w:pStyle w:val="Default"/>
              <w:contextualSpacing/>
              <w:rPr>
                <w:rFonts w:ascii="Arial" w:hAnsi="Arial" w:cs="Arial"/>
                <w:sz w:val="20"/>
                <w:szCs w:val="20"/>
              </w:rPr>
            </w:pPr>
            <w:r>
              <w:rPr>
                <w:rFonts w:ascii="Arial" w:hAnsi="Arial"/>
                <w:sz w:val="20"/>
              </w:rPr>
              <w:t xml:space="preserve">Yes </w:t>
            </w:r>
          </w:p>
        </w:tc>
        <w:tc>
          <w:tcPr>
            <w:tcW w:w="3172" w:type="dxa"/>
            <w:shd w:val="clear" w:color="auto" w:fill="auto"/>
          </w:tcPr>
          <w:p w:rsidR="00C01DD5" w:rsidRPr="005379A0" w:rsidRDefault="00510309" w:rsidP="00E67E5A">
            <w:pPr>
              <w:pStyle w:val="Default"/>
              <w:contextualSpacing/>
              <w:rPr>
                <w:rFonts w:ascii="Arial" w:hAnsi="Arial" w:cs="Arial"/>
                <w:sz w:val="20"/>
                <w:szCs w:val="20"/>
              </w:rPr>
            </w:pPr>
            <w:r>
              <w:rPr>
                <w:rFonts w:ascii="Arial" w:hAnsi="Arial"/>
                <w:sz w:val="20"/>
              </w:rPr>
              <w:t xml:space="preserve">Not applicable </w:t>
            </w:r>
          </w:p>
        </w:tc>
      </w:tr>
    </w:tbl>
    <w:p w:rsidR="00340597" w:rsidRPr="008A28D0" w:rsidRDefault="00616FA4" w:rsidP="00ED6358">
      <w:pPr>
        <w:pStyle w:val="Default"/>
        <w:jc w:val="both"/>
        <w:rPr>
          <w:rFonts w:ascii="Arial" w:hAnsi="Arial" w:cs="Arial"/>
          <w:sz w:val="20"/>
          <w:szCs w:val="20"/>
        </w:rPr>
      </w:pPr>
    </w:p>
    <w:p w:rsidR="00E2434B" w:rsidRPr="008A28D0" w:rsidRDefault="00510309" w:rsidP="00611E07">
      <w:pPr>
        <w:pStyle w:val="Default"/>
        <w:numPr>
          <w:ilvl w:val="1"/>
          <w:numId w:val="21"/>
        </w:numPr>
        <w:jc w:val="both"/>
        <w:rPr>
          <w:rFonts w:ascii="Arial" w:hAnsi="Arial" w:cs="Arial"/>
          <w:sz w:val="20"/>
          <w:szCs w:val="20"/>
        </w:rPr>
      </w:pPr>
      <w:r>
        <w:rPr>
          <w:rFonts w:ascii="Arial" w:hAnsi="Arial"/>
          <w:sz w:val="20"/>
        </w:rPr>
        <w:t>Terms used in the table:</w:t>
      </w:r>
    </w:p>
    <w:p w:rsidR="005404DB" w:rsidRPr="008A28D0" w:rsidRDefault="00510309" w:rsidP="00F35E6A">
      <w:pPr>
        <w:pStyle w:val="Default"/>
        <w:numPr>
          <w:ilvl w:val="0"/>
          <w:numId w:val="23"/>
        </w:numPr>
        <w:ind w:left="1134" w:hanging="425"/>
        <w:jc w:val="both"/>
        <w:rPr>
          <w:rFonts w:ascii="Arial" w:hAnsi="Arial" w:cs="Arial"/>
          <w:sz w:val="20"/>
          <w:szCs w:val="20"/>
        </w:rPr>
      </w:pPr>
      <w:r>
        <w:rPr>
          <w:rFonts w:ascii="Arial" w:hAnsi="Arial"/>
          <w:i/>
          <w:sz w:val="20"/>
        </w:rPr>
        <w:t>affected payment transactions</w:t>
      </w:r>
      <w:r>
        <w:rPr>
          <w:rFonts w:ascii="Arial" w:hAnsi="Arial"/>
          <w:sz w:val="20"/>
        </w:rPr>
        <w:t>:</w:t>
      </w:r>
      <w:r>
        <w:rPr>
          <w:rFonts w:ascii="Arial" w:hAnsi="Arial"/>
          <w:i/>
          <w:sz w:val="20"/>
        </w:rPr>
        <w:t xml:space="preserve"> </w:t>
      </w:r>
      <w:r>
        <w:rPr>
          <w:rFonts w:ascii="Arial" w:hAnsi="Arial"/>
          <w:sz w:val="20"/>
        </w:rPr>
        <w:t xml:space="preserve">all those domestic and cross-border payment transactions that the operational or security event directly or indirectly affected or is likely to affect, and particularly those payment transactions that could not be initiated or processed, as well as those in which </w:t>
      </w:r>
      <w:r>
        <w:rPr>
          <w:rFonts w:ascii="Arial" w:hAnsi="Arial"/>
          <w:sz w:val="20"/>
        </w:rPr>
        <w:lastRenderedPageBreak/>
        <w:t>the message related to the payment has been altered or for the execution of which fraudulent order has been given (irrespective whether the amount of the payment transaction has been recovered or not).</w:t>
      </w:r>
    </w:p>
    <w:p w:rsidR="007A133A" w:rsidRPr="008A28D0" w:rsidRDefault="00616FA4" w:rsidP="007A133A">
      <w:pPr>
        <w:pStyle w:val="Default"/>
        <w:ind w:left="709"/>
        <w:jc w:val="both"/>
        <w:rPr>
          <w:rFonts w:ascii="Arial" w:hAnsi="Arial" w:cs="Arial"/>
          <w:sz w:val="20"/>
          <w:szCs w:val="20"/>
        </w:rPr>
      </w:pPr>
    </w:p>
    <w:p w:rsidR="00340597" w:rsidRPr="008A28D0" w:rsidRDefault="00510309" w:rsidP="00611E07">
      <w:pPr>
        <w:pStyle w:val="Default"/>
        <w:numPr>
          <w:ilvl w:val="0"/>
          <w:numId w:val="23"/>
        </w:numPr>
        <w:ind w:left="1134" w:hanging="425"/>
        <w:jc w:val="both"/>
        <w:rPr>
          <w:rFonts w:ascii="Arial" w:hAnsi="Arial" w:cs="Arial"/>
          <w:sz w:val="20"/>
          <w:szCs w:val="20"/>
        </w:rPr>
      </w:pPr>
      <w:r>
        <w:rPr>
          <w:rFonts w:ascii="Arial" w:hAnsi="Arial"/>
          <w:i/>
          <w:sz w:val="20"/>
        </w:rPr>
        <w:t>usual level of payment transactions:</w:t>
      </w:r>
      <w:r>
        <w:rPr>
          <w:rFonts w:ascii="Arial" w:hAnsi="Arial"/>
          <w:sz w:val="20"/>
        </w:rPr>
        <w:t xml:space="preserve"> the daily average of domestic and cross-border payment transactions, in annual terms, that were carried out using the payment services affected by the operational or security incident. For the purpose of the calculation, the reference period shall be the year preceding the operational or security incident. If in the opinion of the financial service provider this measure is not representative (e.g. due to seasonality), other, more representative indicator should be used and the justification for this must be indicated in the "comments field" of the "Affected transaction" row of Table B – Intermediate report .</w:t>
      </w:r>
    </w:p>
    <w:p w:rsidR="00340597" w:rsidRPr="008A28D0" w:rsidRDefault="00616FA4" w:rsidP="00611E07">
      <w:pPr>
        <w:pStyle w:val="Default"/>
        <w:ind w:left="1134" w:hanging="425"/>
        <w:jc w:val="both"/>
        <w:rPr>
          <w:rFonts w:ascii="Arial" w:hAnsi="Arial" w:cs="Arial"/>
          <w:sz w:val="20"/>
          <w:szCs w:val="20"/>
        </w:rPr>
      </w:pPr>
    </w:p>
    <w:p w:rsidR="0015170F" w:rsidRPr="008A28D0" w:rsidRDefault="00510309" w:rsidP="00F35E6A">
      <w:pPr>
        <w:pStyle w:val="Default"/>
        <w:numPr>
          <w:ilvl w:val="0"/>
          <w:numId w:val="23"/>
        </w:numPr>
        <w:ind w:left="1134" w:hanging="425"/>
        <w:jc w:val="both"/>
        <w:rPr>
          <w:rFonts w:ascii="Arial" w:hAnsi="Arial" w:cs="Arial"/>
          <w:sz w:val="20"/>
          <w:szCs w:val="20"/>
        </w:rPr>
      </w:pPr>
      <w:r>
        <w:rPr>
          <w:rFonts w:ascii="Arial" w:hAnsi="Arial"/>
          <w:i/>
          <w:sz w:val="20"/>
        </w:rPr>
        <w:t xml:space="preserve">affected users of the payment services: </w:t>
      </w:r>
      <w:r>
        <w:rPr>
          <w:rFonts w:ascii="Arial" w:hAnsi="Arial"/>
          <w:sz w:val="20"/>
        </w:rPr>
        <w:t xml:space="preserve">all clients (resident or non-resident, household or corporate clients) that have a contract with the affected payment service provider for the provision of payment services, and that suffer or are likely to suffer the consequences of the operational or security incident (in absolute value and also as a percentage of the total number of the users of the payment services). The payment service provider must resort to estimations based on past activity to determine the number of payment service users that used the payment service during the operational or security incident. In the case of groups, the individual payment service provider should take into consideration only its own users. The payment service provider rendering operational services to other payment service providers should take into consideration only its own users (if any), while the financial service provider using such operational services should assess the operational or security incident only from the perspective of its own users. </w:t>
      </w:r>
    </w:p>
    <w:p w:rsidR="0015170F" w:rsidRPr="008A28D0" w:rsidRDefault="00616FA4" w:rsidP="0015170F">
      <w:pPr>
        <w:pStyle w:val="Default"/>
        <w:ind w:left="709"/>
        <w:jc w:val="both"/>
        <w:rPr>
          <w:rFonts w:ascii="Arial" w:hAnsi="Arial" w:cs="Arial"/>
          <w:sz w:val="20"/>
          <w:szCs w:val="20"/>
        </w:rPr>
      </w:pPr>
    </w:p>
    <w:p w:rsidR="00340597" w:rsidRPr="008A28D0" w:rsidRDefault="00510309" w:rsidP="00611E07">
      <w:pPr>
        <w:pStyle w:val="Default"/>
        <w:numPr>
          <w:ilvl w:val="0"/>
          <w:numId w:val="23"/>
        </w:numPr>
        <w:ind w:left="1134" w:hanging="425"/>
        <w:jc w:val="both"/>
        <w:rPr>
          <w:rFonts w:ascii="Arial" w:hAnsi="Arial" w:cs="Arial"/>
          <w:sz w:val="20"/>
          <w:szCs w:val="20"/>
        </w:rPr>
      </w:pPr>
      <w:r>
        <w:rPr>
          <w:rFonts w:ascii="Arial" w:hAnsi="Arial"/>
          <w:i/>
          <w:sz w:val="20"/>
        </w:rPr>
        <w:t>total number of the users of the payment services:</w:t>
      </w:r>
      <w:r>
        <w:rPr>
          <w:rFonts w:ascii="Arial" w:hAnsi="Arial"/>
          <w:sz w:val="20"/>
        </w:rPr>
        <w:t xml:space="preserve"> the aggregate number of the users of domestic and cross-border services (or the latest available figures), with whom the payment service provider had, at the time of the operational or security incident, a contract for the provision of payment services and had access to the respective payment services, irrespective of their size and whether they were active or passive users.</w:t>
      </w:r>
    </w:p>
    <w:p w:rsidR="00340597" w:rsidRPr="008A28D0" w:rsidRDefault="00616FA4" w:rsidP="00611E07">
      <w:pPr>
        <w:pStyle w:val="Default"/>
        <w:ind w:left="1134" w:hanging="425"/>
        <w:jc w:val="both"/>
        <w:rPr>
          <w:rFonts w:ascii="Arial" w:hAnsi="Arial" w:cs="Arial"/>
          <w:sz w:val="20"/>
          <w:szCs w:val="20"/>
        </w:rPr>
      </w:pPr>
    </w:p>
    <w:p w:rsidR="00340597" w:rsidRPr="008A28D0" w:rsidRDefault="00510309" w:rsidP="00611E07">
      <w:pPr>
        <w:pStyle w:val="Default"/>
        <w:numPr>
          <w:ilvl w:val="0"/>
          <w:numId w:val="23"/>
        </w:numPr>
        <w:ind w:left="1134" w:hanging="425"/>
        <w:jc w:val="both"/>
        <w:rPr>
          <w:rFonts w:ascii="Arial" w:hAnsi="Arial" w:cs="Arial"/>
          <w:sz w:val="20"/>
          <w:szCs w:val="20"/>
        </w:rPr>
      </w:pPr>
      <w:r>
        <w:rPr>
          <w:rFonts w:ascii="Arial" w:hAnsi="Arial"/>
          <w:i/>
          <w:sz w:val="20"/>
        </w:rPr>
        <w:t xml:space="preserve">duration of the service downtime: </w:t>
      </w:r>
      <w:r>
        <w:rPr>
          <w:rFonts w:ascii="Arial" w:hAnsi="Arial"/>
          <w:sz w:val="20"/>
        </w:rPr>
        <w:t xml:space="preserve">the time during which the payment-related service is likely to be unavailable to the users of the payment services or when the payment service provider is unable to execute the payment order. </w:t>
      </w:r>
      <w:proofErr w:type="gramStart"/>
      <w:r>
        <w:rPr>
          <w:rFonts w:ascii="Arial" w:hAnsi="Arial"/>
          <w:sz w:val="20"/>
        </w:rPr>
        <w:t>The  payment</w:t>
      </w:r>
      <w:proofErr w:type="gramEnd"/>
      <w:r>
        <w:rPr>
          <w:rFonts w:ascii="Arial" w:hAnsi="Arial"/>
          <w:sz w:val="20"/>
        </w:rPr>
        <w:t xml:space="preserve"> service provider must take into consideration the period when any task, process or channel related to the payment service is down or likely to be down, and due to this it is not possible to initiate or execute the respective payment service or the respective payment account cannot be accessed. The duration of the service downtime must be calculated from the moment when the service goes down and for this purpose the period open for the execution of payment services, the closing hours and the maintenance period, if these latter two are relevant, should be taken into consideration. If the payment service provider is unable to determine the start of the service downtime, as a temporary rule the duration of the downtime must be calculated from the detection of the breakdown.</w:t>
      </w:r>
    </w:p>
    <w:p w:rsidR="00340597" w:rsidRPr="008A28D0" w:rsidRDefault="00616FA4" w:rsidP="00611E07">
      <w:pPr>
        <w:pStyle w:val="Default"/>
        <w:ind w:left="1134" w:hanging="425"/>
        <w:jc w:val="both"/>
        <w:rPr>
          <w:rFonts w:ascii="Arial" w:hAnsi="Arial" w:cs="Arial"/>
          <w:sz w:val="20"/>
          <w:szCs w:val="20"/>
        </w:rPr>
      </w:pPr>
    </w:p>
    <w:p w:rsidR="007F72A5" w:rsidRPr="008A28D0" w:rsidRDefault="00510309" w:rsidP="00611E07">
      <w:pPr>
        <w:pStyle w:val="Default"/>
        <w:numPr>
          <w:ilvl w:val="0"/>
          <w:numId w:val="23"/>
        </w:numPr>
        <w:ind w:left="1134" w:hanging="425"/>
        <w:jc w:val="both"/>
        <w:rPr>
          <w:rFonts w:ascii="Arial" w:hAnsi="Arial" w:cs="Arial"/>
          <w:i/>
          <w:sz w:val="20"/>
          <w:szCs w:val="20"/>
        </w:rPr>
      </w:pPr>
      <w:r>
        <w:rPr>
          <w:rFonts w:ascii="Arial" w:hAnsi="Arial"/>
          <w:i/>
          <w:sz w:val="20"/>
        </w:rPr>
        <w:t>economic impact:</w:t>
      </w:r>
      <w:r>
        <w:rPr>
          <w:rFonts w:ascii="Arial" w:hAnsi="Arial"/>
          <w:sz w:val="20"/>
        </w:rPr>
        <w:t xml:space="preserve"> defining – as comprehensively as possible – the costs entailed by the operational or security incident, considering the absolute value of such costs, and also – as the case may be – the significance thereof compared to the size of the payment service provider (e.g. compared to the tier 1 capital of the payment service provider). </w:t>
      </w:r>
    </w:p>
    <w:p w:rsidR="00340597" w:rsidRPr="008A28D0" w:rsidRDefault="00616FA4" w:rsidP="00611E07">
      <w:pPr>
        <w:pStyle w:val="Default"/>
        <w:ind w:left="1134" w:hanging="425"/>
        <w:jc w:val="both"/>
        <w:rPr>
          <w:rFonts w:ascii="Arial" w:hAnsi="Arial" w:cs="Arial"/>
          <w:sz w:val="20"/>
          <w:szCs w:val="20"/>
        </w:rPr>
      </w:pPr>
    </w:p>
    <w:p w:rsidR="00340597" w:rsidRPr="008A28D0" w:rsidRDefault="00510309" w:rsidP="00611E07">
      <w:pPr>
        <w:pStyle w:val="Default"/>
        <w:numPr>
          <w:ilvl w:val="0"/>
          <w:numId w:val="23"/>
        </w:numPr>
        <w:ind w:left="1134" w:hanging="425"/>
        <w:jc w:val="both"/>
        <w:rPr>
          <w:rFonts w:ascii="Arial" w:hAnsi="Arial" w:cs="Arial"/>
          <w:sz w:val="20"/>
          <w:szCs w:val="20"/>
        </w:rPr>
      </w:pPr>
      <w:r>
        <w:rPr>
          <w:rFonts w:ascii="Arial" w:hAnsi="Arial"/>
          <w:i/>
          <w:sz w:val="20"/>
        </w:rPr>
        <w:t>high level of internal escalation:</w:t>
      </w:r>
      <w:r>
        <w:rPr>
          <w:rFonts w:ascii="Arial" w:hAnsi="Arial"/>
          <w:sz w:val="20"/>
        </w:rPr>
        <w:t xml:space="preserve"> the fact that the operational or security incident was reported or is likely to be reported to the chief executives of the financial service provider. Furthermore, the payment service provider must take into consideration whether, due to the operational or security incident's impact on the payment-related services, the Chief Information Officer (or any person of similar position) has continuously received or is likely to receive information – apart from the regular information – of the operational or security incident during the existence thereof. The payment service provider must also consider whether – due to the impact of the operational or security incident on the payment-related services – the emergency mode of operation has been implemented or is likely to be implemented in the future.</w:t>
      </w:r>
    </w:p>
    <w:p w:rsidR="00340597" w:rsidRPr="008A28D0" w:rsidRDefault="00616FA4" w:rsidP="00611E07">
      <w:pPr>
        <w:pStyle w:val="Default"/>
        <w:ind w:left="1134" w:hanging="425"/>
        <w:jc w:val="both"/>
        <w:rPr>
          <w:rFonts w:ascii="Arial" w:hAnsi="Arial" w:cs="Arial"/>
          <w:i/>
          <w:iCs/>
          <w:sz w:val="20"/>
          <w:szCs w:val="20"/>
        </w:rPr>
      </w:pPr>
    </w:p>
    <w:p w:rsidR="00340597" w:rsidRPr="008A28D0" w:rsidRDefault="00510309" w:rsidP="00611E07">
      <w:pPr>
        <w:pStyle w:val="Default"/>
        <w:numPr>
          <w:ilvl w:val="0"/>
          <w:numId w:val="23"/>
        </w:numPr>
        <w:ind w:left="1134" w:hanging="425"/>
        <w:jc w:val="both"/>
        <w:rPr>
          <w:rFonts w:ascii="Arial" w:hAnsi="Arial" w:cs="Arial"/>
          <w:sz w:val="20"/>
          <w:szCs w:val="20"/>
        </w:rPr>
      </w:pPr>
      <w:r>
        <w:rPr>
          <w:rFonts w:ascii="Arial" w:hAnsi="Arial"/>
          <w:i/>
          <w:sz w:val="20"/>
        </w:rPr>
        <w:t>effect on the other financial service provider or relevant infrastructures:</w:t>
      </w:r>
      <w:r>
        <w:rPr>
          <w:rFonts w:ascii="Arial" w:hAnsi="Arial"/>
          <w:sz w:val="20"/>
        </w:rPr>
        <w:t xml:space="preserve"> determining the probable systemic impact of the operational or security incident, i.e. whether there is any chance that the </w:t>
      </w:r>
      <w:r>
        <w:rPr>
          <w:rFonts w:ascii="Arial" w:hAnsi="Arial"/>
          <w:sz w:val="20"/>
        </w:rPr>
        <w:lastRenderedPageBreak/>
        <w:t>operational or security incident infects other payment service providers, financial infrastructures or card payment systems apart from the initially affected payment service provider. The payment service provider must assess the impact of the operational or security incident on the affected financial market – the financial infrastructure supporting the respective payment service provider and other payment service providers, as well as the card payment systems – and thus particularly the following: whether the operational or security incident has already occurred or is likely to recur in the future at other payment service providers as well, it has influenced or is likely to influence in the future the smooth operation of the financial infrastructures or whether in the future it is likely to jeopardise the stable operation of the entire financial system. When determining the degree of the effect, the payment service provider must take into consideration, e.g. whether the respective component or software is of exclusive use or is generally available, whether the network at risk is internal or external, the financial service provider has suspended or is likely to suspend the fulfilment of its obligations in a financial infrastructure where it is a member.</w:t>
      </w:r>
    </w:p>
    <w:p w:rsidR="00340597" w:rsidRPr="008A28D0" w:rsidRDefault="00616FA4" w:rsidP="00611E07">
      <w:pPr>
        <w:pStyle w:val="Default"/>
        <w:ind w:left="1134" w:hanging="425"/>
        <w:jc w:val="both"/>
        <w:rPr>
          <w:rFonts w:ascii="Arial" w:hAnsi="Arial" w:cs="Arial"/>
          <w:sz w:val="20"/>
          <w:szCs w:val="20"/>
        </w:rPr>
      </w:pPr>
    </w:p>
    <w:p w:rsidR="00340597" w:rsidRPr="008A28D0" w:rsidRDefault="00510309" w:rsidP="00611E07">
      <w:pPr>
        <w:pStyle w:val="Default"/>
        <w:numPr>
          <w:ilvl w:val="0"/>
          <w:numId w:val="23"/>
        </w:numPr>
        <w:ind w:left="1134" w:hanging="425"/>
        <w:jc w:val="both"/>
        <w:rPr>
          <w:rFonts w:ascii="Arial" w:hAnsi="Arial" w:cs="Arial"/>
          <w:sz w:val="20"/>
          <w:szCs w:val="20"/>
        </w:rPr>
      </w:pPr>
      <w:r>
        <w:rPr>
          <w:rFonts w:ascii="Arial" w:hAnsi="Arial"/>
          <w:i/>
          <w:sz w:val="20"/>
        </w:rPr>
        <w:t>reputational impact:</w:t>
      </w:r>
      <w:r>
        <w:rPr>
          <w:rFonts w:ascii="Arial" w:hAnsi="Arial"/>
          <w:sz w:val="20"/>
        </w:rPr>
        <w:t xml:space="preserve"> determining the way the operational or security incident may undermine confidence specifically in the financial service provider and – more generally – in the underlying service or even in the entire financial market. The payment service provider must take into consideration, to the best of its knowledge, to what degree the operational or security incident has become or is likely to become public knowledge in the financial market. The payment service provider must particularly take into consideration the likelihood of the detrimental social impact of the operational or security incident. The payment service provider must take into consideration whether the operational or security incident has affected a process visible for the public and is therefore likely to receive or has already received media coverage [considering not only traditional media, such as newspapers, but also blogs, social networks, etc.], whether statutory or regulatory obligations have been or are likely to be omitted, and whether the same type of operational or security incident has occurred before.</w:t>
      </w:r>
    </w:p>
    <w:p w:rsidR="00CF35A3" w:rsidRPr="008A28D0" w:rsidRDefault="00616FA4" w:rsidP="00611E07">
      <w:pPr>
        <w:pStyle w:val="Default"/>
        <w:rPr>
          <w:rFonts w:ascii="Arial" w:hAnsi="Arial" w:cs="Arial"/>
          <w:sz w:val="20"/>
          <w:szCs w:val="20"/>
        </w:rPr>
      </w:pPr>
    </w:p>
    <w:p w:rsidR="00126390" w:rsidRPr="008A28D0" w:rsidRDefault="00510309" w:rsidP="00DE7111">
      <w:pPr>
        <w:pStyle w:val="Default"/>
        <w:numPr>
          <w:ilvl w:val="0"/>
          <w:numId w:val="21"/>
        </w:numPr>
        <w:spacing w:after="240"/>
        <w:jc w:val="both"/>
        <w:rPr>
          <w:rFonts w:ascii="Arial" w:hAnsi="Arial" w:cs="Arial"/>
          <w:sz w:val="20"/>
          <w:szCs w:val="20"/>
        </w:rPr>
      </w:pPr>
      <w:r>
        <w:rPr>
          <w:rFonts w:ascii="Arial" w:hAnsi="Arial"/>
          <w:sz w:val="20"/>
        </w:rPr>
        <w:t xml:space="preserve">If the payment service provider has no such actual data that are suitable for proving that any of the criteria has reached a threshold value or is likely to reach it before resolving the incident (which may be the case in the initial phase of the investigation), it should rely on estimates. </w:t>
      </w:r>
    </w:p>
    <w:p w:rsidR="005B7E7E" w:rsidRPr="008A28D0" w:rsidRDefault="00510309" w:rsidP="00CF35A3">
      <w:pPr>
        <w:pStyle w:val="Default"/>
        <w:numPr>
          <w:ilvl w:val="0"/>
          <w:numId w:val="21"/>
        </w:numPr>
        <w:jc w:val="both"/>
        <w:rPr>
          <w:rFonts w:ascii="Arial" w:hAnsi="Arial" w:cs="Arial"/>
          <w:sz w:val="20"/>
          <w:szCs w:val="20"/>
        </w:rPr>
      </w:pPr>
      <w:r>
        <w:rPr>
          <w:rFonts w:ascii="Arial" w:hAnsi="Arial"/>
          <w:sz w:val="20"/>
        </w:rPr>
        <w:t>The payment service provider must perform the assessment of the criteria listed in subsection 2 during the lifecycle of the incident on a continuous basis to be able to decide whether the status of the incident has changed either to negative (from minor to major) or to positive (from major to minor) direction.</w:t>
      </w:r>
    </w:p>
    <w:p w:rsidR="007A58F1" w:rsidRPr="008A28D0" w:rsidRDefault="00616FA4" w:rsidP="007A58F1">
      <w:pPr>
        <w:pStyle w:val="Default"/>
        <w:jc w:val="both"/>
        <w:rPr>
          <w:rFonts w:ascii="Arial" w:hAnsi="Arial" w:cs="Arial"/>
          <w:sz w:val="20"/>
          <w:szCs w:val="20"/>
        </w:rPr>
      </w:pPr>
    </w:p>
    <w:p w:rsidR="007A58F1" w:rsidRPr="008A28D0" w:rsidRDefault="00510309" w:rsidP="007A58F1">
      <w:pPr>
        <w:pStyle w:val="Default"/>
        <w:numPr>
          <w:ilvl w:val="0"/>
          <w:numId w:val="21"/>
        </w:numPr>
        <w:jc w:val="both"/>
        <w:rPr>
          <w:rFonts w:ascii="Arial" w:hAnsi="Arial" w:cs="Arial"/>
          <w:sz w:val="20"/>
          <w:szCs w:val="20"/>
        </w:rPr>
      </w:pPr>
      <w:r>
        <w:rPr>
          <w:rFonts w:ascii="Arial" w:hAnsi="Arial"/>
          <w:sz w:val="20"/>
        </w:rPr>
        <w:t>The methodological guidelines for the completion of the tables are included in the technical manual specified in subsection 9 of Annex 3, published on the website of the MNB.</w:t>
      </w:r>
    </w:p>
    <w:p w:rsidR="000121D7" w:rsidRPr="008A28D0" w:rsidRDefault="00616FA4" w:rsidP="00001DC7">
      <w:pPr>
        <w:pStyle w:val="Default"/>
        <w:jc w:val="both"/>
        <w:rPr>
          <w:rFonts w:ascii="Arial" w:hAnsi="Arial" w:cs="Arial"/>
          <w:sz w:val="20"/>
          <w:szCs w:val="20"/>
        </w:rPr>
      </w:pPr>
    </w:p>
    <w:p w:rsidR="00040C43" w:rsidRPr="008A28D0" w:rsidRDefault="00616FA4" w:rsidP="00C23EBF">
      <w:pPr>
        <w:pStyle w:val="Default"/>
        <w:jc w:val="both"/>
        <w:rPr>
          <w:rFonts w:ascii="Arial" w:hAnsi="Arial" w:cs="Arial"/>
          <w:sz w:val="20"/>
          <w:szCs w:val="20"/>
        </w:rPr>
      </w:pPr>
    </w:p>
    <w:p w:rsidR="00C23EBF" w:rsidRPr="000A13C7" w:rsidRDefault="00510309" w:rsidP="00CF35A3">
      <w:pPr>
        <w:rPr>
          <w:rFonts w:ascii="Arial" w:hAnsi="Arial" w:cs="Arial"/>
          <w:b/>
        </w:rPr>
      </w:pPr>
      <w:r>
        <w:rPr>
          <w:rFonts w:ascii="Arial" w:hAnsi="Arial"/>
          <w:b/>
        </w:rPr>
        <w:t xml:space="preserve">II. Detailed filling instructions </w:t>
      </w:r>
    </w:p>
    <w:p w:rsidR="004921EF" w:rsidRPr="000A13C7" w:rsidRDefault="00510309" w:rsidP="00611E07">
      <w:pPr>
        <w:pStyle w:val="Listaszerbekezds"/>
        <w:numPr>
          <w:ilvl w:val="0"/>
          <w:numId w:val="25"/>
        </w:numPr>
        <w:spacing w:after="0"/>
        <w:rPr>
          <w:rFonts w:ascii="Arial" w:hAnsi="Arial" w:cs="Arial"/>
        </w:rPr>
      </w:pPr>
      <w:r>
        <w:rPr>
          <w:rFonts w:ascii="Arial" w:hAnsi="Arial"/>
        </w:rPr>
        <w:t>The "0 – Header" table must be filled in for all reports. The payment service provider must fill in the additional tables of the report depending on the phase of the processing of the major operational or security incident.</w:t>
      </w:r>
    </w:p>
    <w:p w:rsidR="00D81B9E" w:rsidRPr="000A13C7" w:rsidRDefault="00616FA4" w:rsidP="00611E07">
      <w:pPr>
        <w:spacing w:after="0"/>
        <w:ind w:left="360"/>
        <w:rPr>
          <w:rFonts w:ascii="Arial" w:hAnsi="Arial" w:cs="Arial"/>
        </w:rPr>
      </w:pPr>
    </w:p>
    <w:p w:rsidR="0088461A" w:rsidRPr="008A28D0" w:rsidRDefault="00510309" w:rsidP="00DE7111">
      <w:pPr>
        <w:pStyle w:val="Listaszerbekezds"/>
        <w:numPr>
          <w:ilvl w:val="0"/>
          <w:numId w:val="25"/>
        </w:numPr>
        <w:rPr>
          <w:rFonts w:ascii="Arial" w:hAnsi="Arial" w:cs="Arial"/>
        </w:rPr>
      </w:pPr>
      <w:r>
        <w:rPr>
          <w:rFonts w:ascii="Arial" w:hAnsi="Arial"/>
        </w:rPr>
        <w:t>A – Initial report:</w:t>
      </w:r>
    </w:p>
    <w:p w:rsidR="005249ED" w:rsidRPr="008A28D0" w:rsidRDefault="00510309" w:rsidP="00DE7111">
      <w:pPr>
        <w:pStyle w:val="Listaszerbekezds"/>
        <w:numPr>
          <w:ilvl w:val="1"/>
          <w:numId w:val="25"/>
        </w:numPr>
        <w:rPr>
          <w:rFonts w:ascii="Arial" w:hAnsi="Arial" w:cs="Arial"/>
        </w:rPr>
      </w:pPr>
      <w:r>
        <w:rPr>
          <w:rFonts w:ascii="Arial" w:hAnsi="Arial"/>
        </w:rPr>
        <w:t>The purpose of the table is to submit the first notification on major operational or security incidents to the MNB.</w:t>
      </w:r>
    </w:p>
    <w:p w:rsidR="0088461A" w:rsidRPr="008A28D0" w:rsidRDefault="00510309" w:rsidP="00DE7111">
      <w:pPr>
        <w:pStyle w:val="Listaszerbekezds"/>
        <w:numPr>
          <w:ilvl w:val="1"/>
          <w:numId w:val="25"/>
        </w:numPr>
        <w:rPr>
          <w:rFonts w:ascii="Arial" w:hAnsi="Arial" w:cs="Arial"/>
        </w:rPr>
      </w:pPr>
      <w:r>
        <w:rPr>
          <w:rFonts w:ascii="Arial" w:hAnsi="Arial"/>
        </w:rPr>
        <w:t>The payment service provider must submit the table within 4 hours from the detection of the major operational or security incident.</w:t>
      </w:r>
    </w:p>
    <w:p w:rsidR="0088461A" w:rsidRPr="008A28D0" w:rsidRDefault="00510309" w:rsidP="00DE7111">
      <w:pPr>
        <w:pStyle w:val="Listaszerbekezds"/>
        <w:numPr>
          <w:ilvl w:val="1"/>
          <w:numId w:val="25"/>
        </w:numPr>
        <w:rPr>
          <w:rFonts w:ascii="Arial" w:hAnsi="Arial" w:cs="Arial"/>
        </w:rPr>
      </w:pPr>
      <w:r>
        <w:rPr>
          <w:rFonts w:ascii="Arial" w:hAnsi="Arial"/>
        </w:rPr>
        <w:t>The initial report must be also submitted by the payment service provider when a previously detected minor operational or security incident becomes a major operational or security incident. In this case the payment service provider must submit the initial report immediately after identifying the change of status.</w:t>
      </w:r>
    </w:p>
    <w:p w:rsidR="00F96CEC" w:rsidRPr="008A28D0" w:rsidRDefault="00510309" w:rsidP="00611E07">
      <w:pPr>
        <w:pStyle w:val="Listaszerbekezds"/>
        <w:numPr>
          <w:ilvl w:val="1"/>
          <w:numId w:val="25"/>
        </w:numPr>
        <w:spacing w:after="0"/>
        <w:rPr>
          <w:rFonts w:ascii="Arial" w:hAnsi="Arial" w:cs="Arial"/>
        </w:rPr>
      </w:pPr>
      <w:r>
        <w:rPr>
          <w:rFonts w:ascii="Arial" w:hAnsi="Arial"/>
        </w:rPr>
        <w:t>If the "Report type" is consolidated, table "D - Affected PSP" must be also submitted, specifying the payment service providers included in the initial report.</w:t>
      </w:r>
    </w:p>
    <w:p w:rsidR="00FF51F2" w:rsidRPr="008A28D0" w:rsidRDefault="00616FA4" w:rsidP="00611E07">
      <w:pPr>
        <w:spacing w:after="0"/>
        <w:ind w:left="360"/>
        <w:rPr>
          <w:rFonts w:ascii="Arial" w:hAnsi="Arial" w:cs="Arial"/>
        </w:rPr>
      </w:pPr>
    </w:p>
    <w:p w:rsidR="006D744D" w:rsidRPr="008A28D0" w:rsidRDefault="00510309" w:rsidP="00DE7111">
      <w:pPr>
        <w:pStyle w:val="Listaszerbekezds"/>
        <w:numPr>
          <w:ilvl w:val="0"/>
          <w:numId w:val="25"/>
        </w:numPr>
        <w:rPr>
          <w:rFonts w:ascii="Arial" w:hAnsi="Arial" w:cs="Arial"/>
        </w:rPr>
      </w:pPr>
      <w:r>
        <w:rPr>
          <w:rFonts w:ascii="Arial" w:hAnsi="Arial"/>
        </w:rPr>
        <w:t>B – Intermediate report:</w:t>
      </w:r>
    </w:p>
    <w:p w:rsidR="00032589" w:rsidRPr="008A28D0" w:rsidRDefault="00510309" w:rsidP="00032589">
      <w:pPr>
        <w:pStyle w:val="Listaszerbekezds"/>
        <w:numPr>
          <w:ilvl w:val="1"/>
          <w:numId w:val="25"/>
        </w:numPr>
        <w:rPr>
          <w:rFonts w:ascii="Arial" w:hAnsi="Arial" w:cs="Arial"/>
        </w:rPr>
      </w:pPr>
      <w:r>
        <w:rPr>
          <w:rFonts w:ascii="Arial" w:hAnsi="Arial"/>
        </w:rPr>
        <w:t xml:space="preserve">The intermediate report must be submitted regularly – except for the cases specified in subsection 3.2 – not later than the time that the payment service provider specified in its previous report (i.e. in the initial report or the previous intermediate report) as the date of the next update, with the proviso that the date of next update must not be later than 3 working days. </w:t>
      </w:r>
    </w:p>
    <w:p w:rsidR="00556916" w:rsidRPr="008A28D0" w:rsidRDefault="00510309" w:rsidP="00DE7111">
      <w:pPr>
        <w:pStyle w:val="Listaszerbekezds"/>
        <w:numPr>
          <w:ilvl w:val="1"/>
          <w:numId w:val="25"/>
        </w:numPr>
        <w:rPr>
          <w:rFonts w:ascii="Arial" w:hAnsi="Arial" w:cs="Arial"/>
        </w:rPr>
      </w:pPr>
      <w:r>
        <w:rPr>
          <w:rFonts w:ascii="Arial" w:hAnsi="Arial"/>
        </w:rPr>
        <w:t>The payment service provider must always submit an intermediate report when according to its assessment a relevant change of status occurred in the reported major operational or security incident.</w:t>
      </w:r>
    </w:p>
    <w:p w:rsidR="008C2070" w:rsidRPr="008A28D0" w:rsidRDefault="00510309" w:rsidP="00DE7111">
      <w:pPr>
        <w:pStyle w:val="Listaszerbekezds"/>
        <w:numPr>
          <w:ilvl w:val="1"/>
          <w:numId w:val="25"/>
        </w:numPr>
        <w:rPr>
          <w:rFonts w:ascii="Arial" w:hAnsi="Arial" w:cs="Arial"/>
        </w:rPr>
      </w:pPr>
      <w:r>
        <w:rPr>
          <w:rFonts w:ascii="Arial" w:hAnsi="Arial"/>
        </w:rPr>
        <w:t xml:space="preserve">The last intermediate report must be submitted when the daily usual course of business has been recovered and the payment service provider' operation is back to normal. The payment service provider may consider that business is back to normal when the activities and transactions have been restored to the same level of service and conditions that were defined by the payment service provider or laid down externally in a service level agreement in terms of processing times, capacity, security requirements, etc., and emergency measures are no longer in place. </w:t>
      </w:r>
    </w:p>
    <w:p w:rsidR="006C6574" w:rsidRPr="008A28D0" w:rsidRDefault="00510309" w:rsidP="00611E07">
      <w:pPr>
        <w:pStyle w:val="Listaszerbekezds"/>
        <w:numPr>
          <w:ilvl w:val="1"/>
          <w:numId w:val="25"/>
        </w:numPr>
        <w:spacing w:after="0"/>
        <w:rPr>
          <w:rFonts w:ascii="Arial" w:hAnsi="Arial" w:cs="Arial"/>
        </w:rPr>
      </w:pPr>
      <w:r>
        <w:rPr>
          <w:rFonts w:ascii="Arial" w:hAnsi="Arial"/>
        </w:rPr>
        <w:t xml:space="preserve">Should business be back to normal before 4 hours have passed since the detection of the major operational or security incident, the payment service providers must submit both the initial and the last intermediate report simultaneously within the deadline specified for the submission of the initial report in subsection </w:t>
      </w:r>
      <w:proofErr w:type="gramStart"/>
      <w:r>
        <w:rPr>
          <w:rFonts w:ascii="Arial" w:hAnsi="Arial"/>
        </w:rPr>
        <w:t>2.2 .</w:t>
      </w:r>
      <w:proofErr w:type="gramEnd"/>
    </w:p>
    <w:p w:rsidR="00B91306" w:rsidRPr="008A28D0" w:rsidRDefault="00616FA4" w:rsidP="00611E07">
      <w:pPr>
        <w:spacing w:after="0"/>
        <w:ind w:left="360"/>
        <w:rPr>
          <w:rFonts w:ascii="Arial" w:hAnsi="Arial" w:cs="Arial"/>
        </w:rPr>
      </w:pPr>
    </w:p>
    <w:p w:rsidR="00CE0B13" w:rsidRPr="008A28D0" w:rsidRDefault="00510309" w:rsidP="00DE7111">
      <w:pPr>
        <w:pStyle w:val="Listaszerbekezds"/>
        <w:numPr>
          <w:ilvl w:val="0"/>
          <w:numId w:val="25"/>
        </w:numPr>
        <w:rPr>
          <w:rFonts w:ascii="Arial" w:hAnsi="Arial" w:cs="Arial"/>
        </w:rPr>
      </w:pPr>
      <w:r>
        <w:rPr>
          <w:rFonts w:ascii="Arial" w:hAnsi="Arial"/>
        </w:rPr>
        <w:t>C – Final report:</w:t>
      </w:r>
    </w:p>
    <w:p w:rsidR="00CE0B13" w:rsidRPr="008A28D0" w:rsidRDefault="00510309" w:rsidP="00DE7111">
      <w:pPr>
        <w:pStyle w:val="Listaszerbekezds"/>
        <w:numPr>
          <w:ilvl w:val="1"/>
          <w:numId w:val="25"/>
        </w:numPr>
        <w:rPr>
          <w:rFonts w:ascii="Arial" w:hAnsi="Arial" w:cs="Arial"/>
        </w:rPr>
      </w:pPr>
      <w:r>
        <w:rPr>
          <w:rFonts w:ascii="Arial" w:hAnsi="Arial"/>
        </w:rPr>
        <w:t xml:space="preserve">With the exception of the case specified in subsection 4.2, the payment service provider must submit the final report 2 weeks after that business is deemed to be back to normal in accordance with subsection 3.3. </w:t>
      </w:r>
    </w:p>
    <w:p w:rsidR="00CE0B13" w:rsidRPr="008A28D0" w:rsidRDefault="00510309" w:rsidP="00DE7111">
      <w:pPr>
        <w:pStyle w:val="Listaszerbekezds"/>
        <w:numPr>
          <w:ilvl w:val="1"/>
          <w:numId w:val="25"/>
        </w:numPr>
        <w:rPr>
          <w:rFonts w:ascii="Arial" w:hAnsi="Arial" w:cs="Arial"/>
        </w:rPr>
      </w:pPr>
      <w:r>
        <w:rPr>
          <w:rFonts w:ascii="Arial" w:hAnsi="Arial"/>
        </w:rPr>
        <w:t>If after the detection of the major operational or security incident the payment service provider has all information necessary for the compilation of the final report within 4 hours, it must submit the final report together with the initial report.</w:t>
      </w:r>
    </w:p>
    <w:p w:rsidR="00CE0B13" w:rsidRPr="008A28D0" w:rsidRDefault="00510309" w:rsidP="00611E07">
      <w:pPr>
        <w:pStyle w:val="Listaszerbekezds"/>
        <w:numPr>
          <w:ilvl w:val="1"/>
          <w:numId w:val="25"/>
        </w:numPr>
        <w:spacing w:after="0"/>
        <w:rPr>
          <w:rFonts w:ascii="Arial" w:hAnsi="Arial" w:cs="Arial"/>
        </w:rPr>
      </w:pPr>
      <w:r>
        <w:rPr>
          <w:rFonts w:ascii="Arial" w:hAnsi="Arial"/>
        </w:rPr>
        <w:t>The payment service provider must provide comprehensive information in the final report (e.g. actual figures with regard to the impact rather than estimates).</w:t>
      </w:r>
    </w:p>
    <w:p w:rsidR="00A57429" w:rsidRPr="008A28D0" w:rsidRDefault="00616FA4" w:rsidP="00611E07">
      <w:pPr>
        <w:spacing w:after="0"/>
        <w:ind w:left="360"/>
        <w:rPr>
          <w:rFonts w:ascii="Arial" w:hAnsi="Arial" w:cs="Arial"/>
        </w:rPr>
      </w:pPr>
    </w:p>
    <w:p w:rsidR="00A94BD0" w:rsidRPr="008A28D0" w:rsidRDefault="00510309" w:rsidP="00A57429">
      <w:pPr>
        <w:pStyle w:val="Listaszerbekezds"/>
        <w:numPr>
          <w:ilvl w:val="0"/>
          <w:numId w:val="25"/>
        </w:numPr>
        <w:rPr>
          <w:rFonts w:ascii="Arial" w:hAnsi="Arial" w:cs="Arial"/>
        </w:rPr>
      </w:pPr>
      <w:r>
        <w:rPr>
          <w:rFonts w:ascii="Arial" w:hAnsi="Arial"/>
        </w:rPr>
        <w:t>Additional data and documents to be submitted together with the report</w:t>
      </w:r>
    </w:p>
    <w:p w:rsidR="00D36930" w:rsidRPr="008A28D0" w:rsidRDefault="00510309" w:rsidP="0095721A">
      <w:pPr>
        <w:pStyle w:val="Listaszerbekezds"/>
        <w:numPr>
          <w:ilvl w:val="0"/>
          <w:numId w:val="0"/>
        </w:numPr>
        <w:ind w:left="720"/>
        <w:rPr>
          <w:rFonts w:ascii="Arial" w:hAnsi="Arial" w:cs="Arial"/>
        </w:rPr>
      </w:pPr>
      <w:r>
        <w:rPr>
          <w:rFonts w:ascii="Arial" w:hAnsi="Arial"/>
        </w:rPr>
        <w:t xml:space="preserve">Upon submitting the first report after preparing the notice in accordance with Section 55/B(2) of the Payment Services Act, the payment service provider must – irrespective of the report type (initial, intermediate, final) – attach a copy thereof to the respective report. </w:t>
      </w:r>
    </w:p>
    <w:sectPr w:rsidR="00D36930" w:rsidRPr="008A28D0" w:rsidSect="00CD6E8D">
      <w:headerReference w:type="default" r:id="rId8"/>
      <w:footerReference w:type="default" r:id="rId9"/>
      <w:pgSz w:w="11906" w:h="16838" w:code="9"/>
      <w:pgMar w:top="1418" w:right="1191" w:bottom="1418" w:left="119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02AA1" w:rsidRDefault="00510309">
      <w:r>
        <w:separator/>
      </w:r>
    </w:p>
  </w:endnote>
  <w:endnote w:type="continuationSeparator" w:id="0">
    <w:p w:rsidR="00302AA1" w:rsidRDefault="005103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EFF" w:usb1="C0007843" w:usb2="00000009" w:usb3="00000000" w:csb0="000001FF" w:csb1="00000000"/>
  </w:font>
  <w:font w:name="Verdana">
    <w:panose1 w:val="020B0604030504040204"/>
    <w:charset w:val="EE"/>
    <w:family w:val="swiss"/>
    <w:pitch w:val="variable"/>
    <w:sig w:usb0="A10006FF" w:usb1="4000205B" w:usb2="00000010" w:usb3="00000000" w:csb0="0000019F" w:csb1="00000000"/>
  </w:font>
  <w:font w:name="Calibri Light">
    <w:panose1 w:val="020F0302020204030204"/>
    <w:charset w:val="EE"/>
    <w:family w:val="swiss"/>
    <w:pitch w:val="variable"/>
    <w:sig w:usb0="A00002EF" w:usb1="4000207B" w:usb2="00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67E5A" w:rsidRPr="00AC6950" w:rsidRDefault="00510309" w:rsidP="00AC6950">
    <w:pPr>
      <w:tabs>
        <w:tab w:val="left" w:pos="8460"/>
      </w:tabs>
      <w:rPr>
        <w:sz w:val="18"/>
        <w:szCs w:val="18"/>
      </w:rPr>
    </w:pPr>
    <w:r>
      <w:rPr>
        <w:sz w:val="18"/>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02AA1" w:rsidRDefault="00510309">
      <w:r>
        <w:separator/>
      </w:r>
    </w:p>
  </w:footnote>
  <w:footnote w:type="continuationSeparator" w:id="0">
    <w:p w:rsidR="00302AA1" w:rsidRDefault="0051030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67E5A" w:rsidRPr="00AC6950" w:rsidRDefault="00616FA4" w:rsidP="008349B3">
    <w:pPr>
      <w:jc w:val="center"/>
      <w:rPr>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215F8C"/>
    <w:multiLevelType w:val="singleLevel"/>
    <w:tmpl w:val="040E0017"/>
    <w:lvl w:ilvl="0">
      <w:start w:val="1"/>
      <w:numFmt w:val="lowerLetter"/>
      <w:lvlText w:val="%1)"/>
      <w:lvlJc w:val="left"/>
      <w:pPr>
        <w:ind w:left="431" w:hanging="431"/>
      </w:pPr>
      <w:rPr>
        <w:rFonts w:hint="default"/>
      </w:rPr>
    </w:lvl>
  </w:abstractNum>
  <w:abstractNum w:abstractNumId="1" w15:restartNumberingAfterBreak="0">
    <w:nsid w:val="0A2F6CA5"/>
    <w:multiLevelType w:val="hybridMultilevel"/>
    <w:tmpl w:val="CF021E40"/>
    <w:lvl w:ilvl="0" w:tplc="21A29F9A">
      <w:start w:val="1"/>
      <w:numFmt w:val="bullet"/>
      <w:lvlText w:val=""/>
      <w:lvlJc w:val="left"/>
      <w:pPr>
        <w:ind w:left="1069" w:hanging="360"/>
      </w:pPr>
      <w:rPr>
        <w:rFonts w:ascii="Symbol" w:hAnsi="Symbol" w:hint="default"/>
      </w:rPr>
    </w:lvl>
    <w:lvl w:ilvl="1" w:tplc="5D505160">
      <w:start w:val="1"/>
      <w:numFmt w:val="bullet"/>
      <w:lvlText w:val="o"/>
      <w:lvlJc w:val="left"/>
      <w:pPr>
        <w:ind w:left="1789" w:hanging="360"/>
      </w:pPr>
      <w:rPr>
        <w:rFonts w:ascii="Courier New" w:hAnsi="Courier New" w:cs="Courier New" w:hint="default"/>
      </w:rPr>
    </w:lvl>
    <w:lvl w:ilvl="2" w:tplc="44E432FA" w:tentative="1">
      <w:start w:val="1"/>
      <w:numFmt w:val="bullet"/>
      <w:lvlText w:val=""/>
      <w:lvlJc w:val="left"/>
      <w:pPr>
        <w:ind w:left="2509" w:hanging="360"/>
      </w:pPr>
      <w:rPr>
        <w:rFonts w:ascii="Wingdings" w:hAnsi="Wingdings" w:hint="default"/>
      </w:rPr>
    </w:lvl>
    <w:lvl w:ilvl="3" w:tplc="E9D6570A" w:tentative="1">
      <w:start w:val="1"/>
      <w:numFmt w:val="bullet"/>
      <w:lvlText w:val=""/>
      <w:lvlJc w:val="left"/>
      <w:pPr>
        <w:ind w:left="3229" w:hanging="360"/>
      </w:pPr>
      <w:rPr>
        <w:rFonts w:ascii="Symbol" w:hAnsi="Symbol" w:hint="default"/>
      </w:rPr>
    </w:lvl>
    <w:lvl w:ilvl="4" w:tplc="A44A4CBA" w:tentative="1">
      <w:start w:val="1"/>
      <w:numFmt w:val="bullet"/>
      <w:lvlText w:val="o"/>
      <w:lvlJc w:val="left"/>
      <w:pPr>
        <w:ind w:left="3949" w:hanging="360"/>
      </w:pPr>
      <w:rPr>
        <w:rFonts w:ascii="Courier New" w:hAnsi="Courier New" w:cs="Courier New" w:hint="default"/>
      </w:rPr>
    </w:lvl>
    <w:lvl w:ilvl="5" w:tplc="E500F774" w:tentative="1">
      <w:start w:val="1"/>
      <w:numFmt w:val="bullet"/>
      <w:lvlText w:val=""/>
      <w:lvlJc w:val="left"/>
      <w:pPr>
        <w:ind w:left="4669" w:hanging="360"/>
      </w:pPr>
      <w:rPr>
        <w:rFonts w:ascii="Wingdings" w:hAnsi="Wingdings" w:hint="default"/>
      </w:rPr>
    </w:lvl>
    <w:lvl w:ilvl="6" w:tplc="B8FC4376" w:tentative="1">
      <w:start w:val="1"/>
      <w:numFmt w:val="bullet"/>
      <w:lvlText w:val=""/>
      <w:lvlJc w:val="left"/>
      <w:pPr>
        <w:ind w:left="5389" w:hanging="360"/>
      </w:pPr>
      <w:rPr>
        <w:rFonts w:ascii="Symbol" w:hAnsi="Symbol" w:hint="default"/>
      </w:rPr>
    </w:lvl>
    <w:lvl w:ilvl="7" w:tplc="823A595E" w:tentative="1">
      <w:start w:val="1"/>
      <w:numFmt w:val="bullet"/>
      <w:lvlText w:val="o"/>
      <w:lvlJc w:val="left"/>
      <w:pPr>
        <w:ind w:left="6109" w:hanging="360"/>
      </w:pPr>
      <w:rPr>
        <w:rFonts w:ascii="Courier New" w:hAnsi="Courier New" w:cs="Courier New" w:hint="default"/>
      </w:rPr>
    </w:lvl>
    <w:lvl w:ilvl="8" w:tplc="F5765026" w:tentative="1">
      <w:start w:val="1"/>
      <w:numFmt w:val="bullet"/>
      <w:lvlText w:val=""/>
      <w:lvlJc w:val="left"/>
      <w:pPr>
        <w:ind w:left="6829" w:hanging="360"/>
      </w:pPr>
      <w:rPr>
        <w:rFonts w:ascii="Wingdings" w:hAnsi="Wingdings" w:hint="default"/>
      </w:rPr>
    </w:lvl>
  </w:abstractNum>
  <w:abstractNum w:abstractNumId="2" w15:restartNumberingAfterBreak="0">
    <w:nsid w:val="0DDA0F89"/>
    <w:multiLevelType w:val="multilevel"/>
    <w:tmpl w:val="AC78E908"/>
    <w:lvl w:ilvl="0">
      <w:start w:val="1"/>
      <w:numFmt w:val="decimal"/>
      <w:pStyle w:val="Szmozs"/>
      <w:isLg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3.1"/>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none"/>
      <w:lvlRestart w:val="3"/>
      <w:lvlText w:val="1)"/>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 w15:restartNumberingAfterBreak="0">
    <w:nsid w:val="0E7D07EA"/>
    <w:multiLevelType w:val="hybridMultilevel"/>
    <w:tmpl w:val="39C0C754"/>
    <w:lvl w:ilvl="0" w:tplc="6A20DF42">
      <w:numFmt w:val="bullet"/>
      <w:pStyle w:val="Listaszerbekezds2"/>
      <w:lvlText w:val="-"/>
      <w:lvlJc w:val="left"/>
      <w:pPr>
        <w:ind w:left="72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 w15:restartNumberingAfterBreak="0">
    <w:nsid w:val="136D63A5"/>
    <w:multiLevelType w:val="multilevel"/>
    <w:tmpl w:val="2480BFBC"/>
    <w:styleLink w:val="Hierarchikuslista"/>
    <w:lvl w:ilvl="0">
      <w:start w:val="1"/>
      <w:numFmt w:val="upperLetter"/>
      <w:lvlText w:val="%1."/>
      <w:lvlJc w:val="left"/>
      <w:pPr>
        <w:ind w:left="360" w:hanging="360"/>
      </w:pPr>
      <w:rPr>
        <w:rFonts w:hint="default"/>
      </w:rPr>
    </w:lvl>
    <w:lvl w:ilvl="1">
      <w:start w:val="1"/>
      <w:numFmt w:val="upperRoman"/>
      <w:lvlText w:val="%2."/>
      <w:lvlJc w:val="left"/>
      <w:pPr>
        <w:ind w:left="720" w:hanging="360"/>
      </w:pPr>
      <w:rPr>
        <w:rFonts w:hint="default"/>
      </w:rPr>
    </w:lvl>
    <w:lvl w:ilvl="2">
      <w:start w:val="1"/>
      <w:numFmt w:val="decimal"/>
      <w:lvlText w:val="%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17721CCF"/>
    <w:multiLevelType w:val="hybridMultilevel"/>
    <w:tmpl w:val="FC96AC80"/>
    <w:lvl w:ilvl="0" w:tplc="5B1A86A4">
      <w:start w:val="1"/>
      <w:numFmt w:val="lowerLetter"/>
      <w:pStyle w:val="Listabetve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6" w15:restartNumberingAfterBreak="0">
    <w:nsid w:val="1E253B15"/>
    <w:multiLevelType w:val="multilevel"/>
    <w:tmpl w:val="E8AEFF86"/>
    <w:styleLink w:val="Style1"/>
    <w:lvl w:ilvl="0">
      <w:start w:val="1"/>
      <w:numFmt w:val="decimal"/>
      <w:pStyle w:val="ENChapterTitle"/>
      <w:lvlText w:val="%1"/>
      <w:lvlJc w:val="left"/>
      <w:pPr>
        <w:ind w:left="431" w:hanging="431"/>
      </w:pPr>
      <w:rPr>
        <w:rFonts w:hint="default"/>
      </w:rPr>
    </w:lvl>
    <w:lvl w:ilvl="1">
      <w:start w:val="1"/>
      <w:numFmt w:val="decimal"/>
      <w:pStyle w:val="ENSectionTitle"/>
      <w:lvlText w:val="%1.%2"/>
      <w:lvlJc w:val="left"/>
      <w:pPr>
        <w:ind w:left="431" w:hanging="431"/>
      </w:pPr>
      <w:rPr>
        <w:rFonts w:hint="default"/>
      </w:rPr>
    </w:lvl>
    <w:lvl w:ilvl="2">
      <w:start w:val="1"/>
      <w:numFmt w:val="decimal"/>
      <w:pStyle w:val="ENSubsectionTitle"/>
      <w:lvlText w:val="%1.%2.%3"/>
      <w:lvlJc w:val="left"/>
      <w:pPr>
        <w:ind w:left="431" w:hanging="431"/>
      </w:pPr>
      <w:rPr>
        <w:rFonts w:hint="default"/>
      </w:rPr>
    </w:lvl>
    <w:lvl w:ilvl="3">
      <w:start w:val="1"/>
      <w:numFmt w:val="decimal"/>
      <w:lvlText w:val="%1.%2.%3.%4"/>
      <w:lvlJc w:val="left"/>
      <w:pPr>
        <w:ind w:left="431" w:hanging="431"/>
      </w:pPr>
      <w:rPr>
        <w:rFonts w:hint="default"/>
      </w:rPr>
    </w:lvl>
    <w:lvl w:ilvl="4">
      <w:start w:val="1"/>
      <w:numFmt w:val="decimal"/>
      <w:lvlText w:val="%1.%2.%3.%4.%5"/>
      <w:lvlJc w:val="left"/>
      <w:pPr>
        <w:ind w:left="431" w:hanging="431"/>
      </w:pPr>
      <w:rPr>
        <w:rFonts w:hint="default"/>
      </w:rPr>
    </w:lvl>
    <w:lvl w:ilvl="5">
      <w:start w:val="1"/>
      <w:numFmt w:val="decimal"/>
      <w:lvlText w:val="%1.%2.%3.%4.%5.%6"/>
      <w:lvlJc w:val="left"/>
      <w:pPr>
        <w:ind w:left="431" w:hanging="431"/>
      </w:pPr>
      <w:rPr>
        <w:rFonts w:hint="default"/>
      </w:rPr>
    </w:lvl>
    <w:lvl w:ilvl="6">
      <w:start w:val="1"/>
      <w:numFmt w:val="decimal"/>
      <w:lvlText w:val="%1.%2.%3.%4.%5.%6.%7"/>
      <w:lvlJc w:val="left"/>
      <w:pPr>
        <w:ind w:left="431" w:hanging="431"/>
      </w:pPr>
      <w:rPr>
        <w:rFonts w:hint="default"/>
      </w:rPr>
    </w:lvl>
    <w:lvl w:ilvl="7">
      <w:start w:val="1"/>
      <w:numFmt w:val="decimal"/>
      <w:lvlText w:val="%1.%2.%3.%4.%5.%6.%7.%8"/>
      <w:lvlJc w:val="left"/>
      <w:pPr>
        <w:ind w:left="431" w:hanging="431"/>
      </w:pPr>
      <w:rPr>
        <w:rFonts w:hint="default"/>
      </w:rPr>
    </w:lvl>
    <w:lvl w:ilvl="8">
      <w:start w:val="1"/>
      <w:numFmt w:val="decimal"/>
      <w:lvlText w:val="%1.%2.%3.%4.%5.%6.%7.%8.%9"/>
      <w:lvlJc w:val="left"/>
      <w:pPr>
        <w:ind w:left="431" w:hanging="431"/>
      </w:pPr>
      <w:rPr>
        <w:rFonts w:hint="default"/>
      </w:rPr>
    </w:lvl>
  </w:abstractNum>
  <w:abstractNum w:abstractNumId="7" w15:restartNumberingAfterBreak="0">
    <w:nsid w:val="2A721D9F"/>
    <w:multiLevelType w:val="multilevel"/>
    <w:tmpl w:val="55727B6C"/>
    <w:lvl w:ilvl="0">
      <w:start w:val="1"/>
      <w:numFmt w:val="decimal"/>
      <w:pStyle w:val="Cmsor1"/>
      <w:suff w:val="space"/>
      <w:lvlText w:val="%1."/>
      <w:lvlJc w:val="left"/>
      <w:pPr>
        <w:ind w:left="431" w:hanging="431"/>
      </w:pPr>
      <w:rPr>
        <w:rFonts w:hint="default"/>
      </w:rPr>
    </w:lvl>
    <w:lvl w:ilvl="1">
      <w:start w:val="1"/>
      <w:numFmt w:val="decimal"/>
      <w:pStyle w:val="Cmsor2"/>
      <w:suff w:val="space"/>
      <w:lvlText w:val="%1.%2."/>
      <w:lvlJc w:val="left"/>
      <w:pPr>
        <w:ind w:left="431" w:hanging="431"/>
      </w:pPr>
      <w:rPr>
        <w:rFonts w:hint="default"/>
      </w:rPr>
    </w:lvl>
    <w:lvl w:ilvl="2">
      <w:start w:val="1"/>
      <w:numFmt w:val="decimal"/>
      <w:pStyle w:val="Cmsor3"/>
      <w:suff w:val="space"/>
      <w:lvlText w:val="%1.%2.%3."/>
      <w:lvlJc w:val="left"/>
      <w:pPr>
        <w:ind w:left="431" w:hanging="431"/>
      </w:pPr>
      <w:rPr>
        <w:rFonts w:hint="default"/>
      </w:rPr>
    </w:lvl>
    <w:lvl w:ilvl="3">
      <w:start w:val="1"/>
      <w:numFmt w:val="decimal"/>
      <w:pStyle w:val="Cmsor4"/>
      <w:suff w:val="space"/>
      <w:lvlText w:val="%1.%2.%3.%4."/>
      <w:lvlJc w:val="left"/>
      <w:pPr>
        <w:ind w:left="431" w:hanging="431"/>
      </w:pPr>
      <w:rPr>
        <w:rFonts w:hint="default"/>
      </w:rPr>
    </w:lvl>
    <w:lvl w:ilvl="4">
      <w:start w:val="1"/>
      <w:numFmt w:val="decimal"/>
      <w:pStyle w:val="Cmsor5"/>
      <w:suff w:val="space"/>
      <w:lvlText w:val="%1.%2.%3.%4.%5."/>
      <w:lvlJc w:val="left"/>
      <w:pPr>
        <w:ind w:left="431" w:hanging="431"/>
      </w:pPr>
      <w:rPr>
        <w:rFonts w:hint="default"/>
      </w:rPr>
    </w:lvl>
    <w:lvl w:ilvl="5">
      <w:start w:val="1"/>
      <w:numFmt w:val="decimal"/>
      <w:pStyle w:val="Cmsor6"/>
      <w:suff w:val="space"/>
      <w:lvlText w:val="%1.%2.%3.%4.%5.%6."/>
      <w:lvlJc w:val="left"/>
      <w:pPr>
        <w:ind w:left="431" w:hanging="431"/>
      </w:pPr>
      <w:rPr>
        <w:rFonts w:hint="default"/>
      </w:rPr>
    </w:lvl>
    <w:lvl w:ilvl="6">
      <w:start w:val="1"/>
      <w:numFmt w:val="decimal"/>
      <w:pStyle w:val="Cmsor7"/>
      <w:lvlText w:val="%1.%2.%3.%4.%5.%6.%7."/>
      <w:lvlJc w:val="left"/>
      <w:pPr>
        <w:ind w:left="431" w:hanging="431"/>
      </w:pPr>
      <w:rPr>
        <w:rFonts w:hint="default"/>
      </w:rPr>
    </w:lvl>
    <w:lvl w:ilvl="7">
      <w:start w:val="1"/>
      <w:numFmt w:val="decimal"/>
      <w:pStyle w:val="Cmsor8"/>
      <w:lvlText w:val="%1.%2.%3.%4.%5.%6.%7.%8."/>
      <w:lvlJc w:val="left"/>
      <w:pPr>
        <w:ind w:left="431" w:hanging="431"/>
      </w:pPr>
      <w:rPr>
        <w:rFonts w:hint="default"/>
      </w:rPr>
    </w:lvl>
    <w:lvl w:ilvl="8">
      <w:start w:val="1"/>
      <w:numFmt w:val="decimal"/>
      <w:pStyle w:val="Cmsor9"/>
      <w:lvlText w:val="%1.%2.%3.%4.%5.%6.%7.%8.%9."/>
      <w:lvlJc w:val="left"/>
      <w:pPr>
        <w:ind w:left="431" w:hanging="431"/>
      </w:pPr>
      <w:rPr>
        <w:rFonts w:hint="default"/>
      </w:rPr>
    </w:lvl>
  </w:abstractNum>
  <w:abstractNum w:abstractNumId="8" w15:restartNumberingAfterBreak="0">
    <w:nsid w:val="2DCB043B"/>
    <w:multiLevelType w:val="hybridMultilevel"/>
    <w:tmpl w:val="07DA96DC"/>
    <w:lvl w:ilvl="0" w:tplc="A156FC80">
      <w:start w:val="1"/>
      <w:numFmt w:val="bullet"/>
      <w:lvlText w:val=""/>
      <w:lvlJc w:val="left"/>
      <w:pPr>
        <w:ind w:left="720" w:hanging="360"/>
      </w:pPr>
      <w:rPr>
        <w:rFonts w:ascii="Symbol" w:hAnsi="Symbol" w:cstheme="minorHAnsi" w:hint="default"/>
        <w:b/>
        <w:color w:val="44546A" w:themeColor="text2"/>
        <w:sz w:val="24"/>
      </w:rPr>
    </w:lvl>
    <w:lvl w:ilvl="1" w:tplc="41420328">
      <w:start w:val="1"/>
      <w:numFmt w:val="bullet"/>
      <w:lvlText w:val="o"/>
      <w:lvlJc w:val="left"/>
      <w:pPr>
        <w:ind w:left="1440" w:hanging="360"/>
      </w:pPr>
      <w:rPr>
        <w:rFonts w:ascii="Courier New" w:hAnsi="Courier New" w:hint="default"/>
        <w:b/>
        <w:color w:val="44546A" w:themeColor="text2"/>
        <w:sz w:val="24"/>
      </w:rPr>
    </w:lvl>
    <w:lvl w:ilvl="2" w:tplc="EA2C5BBE">
      <w:start w:val="1"/>
      <w:numFmt w:val="bullet"/>
      <w:lvlText w:val=""/>
      <w:lvlJc w:val="left"/>
      <w:pPr>
        <w:ind w:left="2160" w:hanging="360"/>
      </w:pPr>
      <w:rPr>
        <w:rFonts w:ascii="Wingdings" w:hAnsi="Wingdings" w:cstheme="minorHAnsi" w:hint="default"/>
        <w:b/>
        <w:color w:val="44546A" w:themeColor="text2"/>
        <w:sz w:val="24"/>
      </w:rPr>
    </w:lvl>
    <w:lvl w:ilvl="3" w:tplc="6C34901E">
      <w:start w:val="1"/>
      <w:numFmt w:val="bullet"/>
      <w:lvlText w:val=""/>
      <w:lvlJc w:val="left"/>
      <w:pPr>
        <w:ind w:left="2880" w:hanging="360"/>
      </w:pPr>
      <w:rPr>
        <w:rFonts w:ascii="Symbol" w:hAnsi="Symbol" w:cstheme="minorHAnsi" w:hint="default"/>
        <w:b/>
        <w:color w:val="44546A" w:themeColor="text2"/>
        <w:sz w:val="24"/>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9" w15:restartNumberingAfterBreak="0">
    <w:nsid w:val="305730F9"/>
    <w:multiLevelType w:val="hybridMultilevel"/>
    <w:tmpl w:val="CAE2ECCC"/>
    <w:lvl w:ilvl="0" w:tplc="F36AAD00">
      <w:start w:val="1"/>
      <w:numFmt w:val="decimal"/>
      <w:lvlText w:val="%1."/>
      <w:lvlJc w:val="left"/>
      <w:pPr>
        <w:tabs>
          <w:tab w:val="num" w:pos="720"/>
        </w:tabs>
        <w:ind w:left="720" w:hanging="360"/>
      </w:pPr>
      <w:rPr>
        <w:rFonts w:ascii="Arial" w:eastAsia="Times New Roman" w:hAnsi="Arial" w:cs="Arial"/>
      </w:rPr>
    </w:lvl>
    <w:lvl w:ilvl="1" w:tplc="7EE6C16E" w:tentative="1">
      <w:start w:val="1"/>
      <w:numFmt w:val="lowerLetter"/>
      <w:lvlText w:val="%2."/>
      <w:lvlJc w:val="left"/>
      <w:pPr>
        <w:tabs>
          <w:tab w:val="num" w:pos="1440"/>
        </w:tabs>
        <w:ind w:left="1440" w:hanging="360"/>
      </w:pPr>
      <w:rPr>
        <w:rFonts w:cs="Times New Roman"/>
      </w:rPr>
    </w:lvl>
    <w:lvl w:ilvl="2" w:tplc="382EC668" w:tentative="1">
      <w:start w:val="1"/>
      <w:numFmt w:val="lowerRoman"/>
      <w:lvlText w:val="%3."/>
      <w:lvlJc w:val="right"/>
      <w:pPr>
        <w:tabs>
          <w:tab w:val="num" w:pos="2160"/>
        </w:tabs>
        <w:ind w:left="2160" w:hanging="180"/>
      </w:pPr>
      <w:rPr>
        <w:rFonts w:cs="Times New Roman"/>
      </w:rPr>
    </w:lvl>
    <w:lvl w:ilvl="3" w:tplc="3D7AC464" w:tentative="1">
      <w:start w:val="1"/>
      <w:numFmt w:val="decimal"/>
      <w:lvlText w:val="%4."/>
      <w:lvlJc w:val="left"/>
      <w:pPr>
        <w:tabs>
          <w:tab w:val="num" w:pos="2880"/>
        </w:tabs>
        <w:ind w:left="2880" w:hanging="360"/>
      </w:pPr>
      <w:rPr>
        <w:rFonts w:cs="Times New Roman"/>
      </w:rPr>
    </w:lvl>
    <w:lvl w:ilvl="4" w:tplc="C9DA33D4" w:tentative="1">
      <w:start w:val="1"/>
      <w:numFmt w:val="lowerLetter"/>
      <w:lvlText w:val="%5."/>
      <w:lvlJc w:val="left"/>
      <w:pPr>
        <w:tabs>
          <w:tab w:val="num" w:pos="3600"/>
        </w:tabs>
        <w:ind w:left="3600" w:hanging="360"/>
      </w:pPr>
      <w:rPr>
        <w:rFonts w:cs="Times New Roman"/>
      </w:rPr>
    </w:lvl>
    <w:lvl w:ilvl="5" w:tplc="B052C9B6" w:tentative="1">
      <w:start w:val="1"/>
      <w:numFmt w:val="lowerRoman"/>
      <w:lvlText w:val="%6."/>
      <w:lvlJc w:val="right"/>
      <w:pPr>
        <w:tabs>
          <w:tab w:val="num" w:pos="4320"/>
        </w:tabs>
        <w:ind w:left="4320" w:hanging="180"/>
      </w:pPr>
      <w:rPr>
        <w:rFonts w:cs="Times New Roman"/>
      </w:rPr>
    </w:lvl>
    <w:lvl w:ilvl="6" w:tplc="F894DE6A" w:tentative="1">
      <w:start w:val="1"/>
      <w:numFmt w:val="decimal"/>
      <w:lvlText w:val="%7."/>
      <w:lvlJc w:val="left"/>
      <w:pPr>
        <w:tabs>
          <w:tab w:val="num" w:pos="5040"/>
        </w:tabs>
        <w:ind w:left="5040" w:hanging="360"/>
      </w:pPr>
      <w:rPr>
        <w:rFonts w:cs="Times New Roman"/>
      </w:rPr>
    </w:lvl>
    <w:lvl w:ilvl="7" w:tplc="02DAAE4C" w:tentative="1">
      <w:start w:val="1"/>
      <w:numFmt w:val="lowerLetter"/>
      <w:lvlText w:val="%8."/>
      <w:lvlJc w:val="left"/>
      <w:pPr>
        <w:tabs>
          <w:tab w:val="num" w:pos="5760"/>
        </w:tabs>
        <w:ind w:left="5760" w:hanging="360"/>
      </w:pPr>
      <w:rPr>
        <w:rFonts w:cs="Times New Roman"/>
      </w:rPr>
    </w:lvl>
    <w:lvl w:ilvl="8" w:tplc="4BBA8A8E" w:tentative="1">
      <w:start w:val="1"/>
      <w:numFmt w:val="lowerRoman"/>
      <w:lvlText w:val="%9."/>
      <w:lvlJc w:val="right"/>
      <w:pPr>
        <w:tabs>
          <w:tab w:val="num" w:pos="6480"/>
        </w:tabs>
        <w:ind w:left="6480" w:hanging="180"/>
      </w:pPr>
      <w:rPr>
        <w:rFonts w:cs="Times New Roman"/>
      </w:rPr>
    </w:lvl>
  </w:abstractNum>
  <w:abstractNum w:abstractNumId="10" w15:restartNumberingAfterBreak="0">
    <w:nsid w:val="418C66E8"/>
    <w:multiLevelType w:val="hybridMultilevel"/>
    <w:tmpl w:val="0ECE5A1C"/>
    <w:lvl w:ilvl="0" w:tplc="A156FC80">
      <w:start w:val="1"/>
      <w:numFmt w:val="bullet"/>
      <w:pStyle w:val="Listaszerbekezds"/>
      <w:lvlText w:val=""/>
      <w:lvlJc w:val="left"/>
      <w:pPr>
        <w:ind w:left="720" w:hanging="360"/>
      </w:pPr>
      <w:rPr>
        <w:rFonts w:ascii="Symbol" w:hAnsi="Symbol" w:cstheme="minorHAnsi" w:hint="default"/>
        <w:b/>
        <w:color w:val="44546A" w:themeColor="text2"/>
        <w:sz w:val="24"/>
      </w:rPr>
    </w:lvl>
    <w:lvl w:ilvl="1" w:tplc="1242D2E6">
      <w:start w:val="1"/>
      <w:numFmt w:val="bullet"/>
      <w:lvlText w:val="o"/>
      <w:lvlJc w:val="left"/>
      <w:pPr>
        <w:ind w:left="1440" w:hanging="360"/>
      </w:pPr>
      <w:rPr>
        <w:rFonts w:ascii="Courier New" w:hAnsi="Courier New" w:hint="default"/>
        <w:b/>
        <w:color w:val="4472C4" w:themeColor="accent5"/>
        <w:sz w:val="24"/>
      </w:rPr>
    </w:lvl>
    <w:lvl w:ilvl="2" w:tplc="AA782C4A">
      <w:start w:val="1"/>
      <w:numFmt w:val="bullet"/>
      <w:lvlText w:val=""/>
      <w:lvlJc w:val="left"/>
      <w:pPr>
        <w:ind w:left="2160" w:hanging="360"/>
      </w:pPr>
      <w:rPr>
        <w:rFonts w:ascii="Wingdings" w:hAnsi="Wingdings" w:cstheme="minorHAnsi" w:hint="default"/>
        <w:b/>
        <w:color w:val="4472C4" w:themeColor="accent5"/>
        <w:sz w:val="24"/>
      </w:rPr>
    </w:lvl>
    <w:lvl w:ilvl="3" w:tplc="BA9A1B8A">
      <w:start w:val="1"/>
      <w:numFmt w:val="bullet"/>
      <w:lvlText w:val=""/>
      <w:lvlJc w:val="left"/>
      <w:pPr>
        <w:ind w:left="2880" w:hanging="360"/>
      </w:pPr>
      <w:rPr>
        <w:rFonts w:ascii="Symbol" w:hAnsi="Symbol" w:cstheme="minorHAnsi" w:hint="default"/>
        <w:b/>
        <w:color w:val="4472C4" w:themeColor="accent5"/>
        <w:sz w:val="24"/>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11" w15:restartNumberingAfterBreak="0">
    <w:nsid w:val="44A06796"/>
    <w:multiLevelType w:val="singleLevel"/>
    <w:tmpl w:val="7D828B2E"/>
    <w:lvl w:ilvl="0">
      <w:start w:val="1"/>
      <w:numFmt w:val="lowerLetter"/>
      <w:lvlText w:val="%1)"/>
      <w:lvlJc w:val="left"/>
      <w:pPr>
        <w:tabs>
          <w:tab w:val="num" w:pos="360"/>
        </w:tabs>
        <w:ind w:left="360" w:hanging="360"/>
      </w:pPr>
      <w:rPr>
        <w:rFonts w:cs="Times New Roman"/>
        <w:b w:val="0"/>
        <w:i w:val="0"/>
      </w:rPr>
    </w:lvl>
  </w:abstractNum>
  <w:abstractNum w:abstractNumId="12" w15:restartNumberingAfterBreak="0">
    <w:nsid w:val="48CE539B"/>
    <w:multiLevelType w:val="hybridMultilevel"/>
    <w:tmpl w:val="5972DB12"/>
    <w:lvl w:ilvl="0" w:tplc="A156FC80">
      <w:start w:val="1"/>
      <w:numFmt w:val="bullet"/>
      <w:lvlText w:val=""/>
      <w:lvlJc w:val="left"/>
      <w:pPr>
        <w:ind w:left="720" w:hanging="360"/>
      </w:pPr>
      <w:rPr>
        <w:rFonts w:ascii="Symbol" w:hAnsi="Symbol" w:cstheme="minorHAnsi" w:hint="default"/>
        <w:b/>
        <w:color w:val="44546A" w:themeColor="text2"/>
        <w:sz w:val="24"/>
      </w:rPr>
    </w:lvl>
    <w:lvl w:ilvl="1" w:tplc="41420328">
      <w:start w:val="1"/>
      <w:numFmt w:val="bullet"/>
      <w:lvlText w:val="o"/>
      <w:lvlJc w:val="left"/>
      <w:pPr>
        <w:ind w:left="1440" w:hanging="360"/>
      </w:pPr>
      <w:rPr>
        <w:rFonts w:ascii="Courier New" w:hAnsi="Courier New" w:hint="default"/>
        <w:b/>
        <w:color w:val="44546A" w:themeColor="text2"/>
        <w:sz w:val="24"/>
      </w:rPr>
    </w:lvl>
    <w:lvl w:ilvl="2" w:tplc="EA2C5BBE">
      <w:start w:val="1"/>
      <w:numFmt w:val="bullet"/>
      <w:lvlText w:val=""/>
      <w:lvlJc w:val="left"/>
      <w:pPr>
        <w:ind w:left="2160" w:hanging="360"/>
      </w:pPr>
      <w:rPr>
        <w:rFonts w:ascii="Wingdings" w:hAnsi="Wingdings" w:cstheme="minorHAnsi" w:hint="default"/>
        <w:b/>
        <w:color w:val="44546A" w:themeColor="text2"/>
        <w:sz w:val="24"/>
      </w:rPr>
    </w:lvl>
    <w:lvl w:ilvl="3" w:tplc="BA9A1B8A">
      <w:start w:val="1"/>
      <w:numFmt w:val="bullet"/>
      <w:lvlText w:val=""/>
      <w:lvlJc w:val="left"/>
      <w:pPr>
        <w:ind w:left="2880" w:hanging="360"/>
      </w:pPr>
      <w:rPr>
        <w:rFonts w:ascii="Symbol" w:hAnsi="Symbol" w:cstheme="minorHAnsi" w:hint="default"/>
        <w:b/>
        <w:color w:val="4472C4" w:themeColor="accent5"/>
        <w:sz w:val="24"/>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13" w15:restartNumberingAfterBreak="0">
    <w:nsid w:val="495D42D2"/>
    <w:multiLevelType w:val="hybridMultilevel"/>
    <w:tmpl w:val="4FB435EE"/>
    <w:lvl w:ilvl="0" w:tplc="EC1441A6">
      <w:start w:val="1"/>
      <w:numFmt w:val="lowerLetter"/>
      <w:lvlText w:val="%1)"/>
      <w:lvlJc w:val="left"/>
      <w:pPr>
        <w:ind w:left="1069" w:hanging="360"/>
      </w:pPr>
      <w:rPr>
        <w:rFonts w:hint="default"/>
      </w:rPr>
    </w:lvl>
    <w:lvl w:ilvl="1" w:tplc="F8C67E58" w:tentative="1">
      <w:start w:val="1"/>
      <w:numFmt w:val="lowerLetter"/>
      <w:lvlText w:val="%2."/>
      <w:lvlJc w:val="left"/>
      <w:pPr>
        <w:ind w:left="1789" w:hanging="360"/>
      </w:pPr>
    </w:lvl>
    <w:lvl w:ilvl="2" w:tplc="7AA0A9B4" w:tentative="1">
      <w:start w:val="1"/>
      <w:numFmt w:val="lowerRoman"/>
      <w:lvlText w:val="%3."/>
      <w:lvlJc w:val="right"/>
      <w:pPr>
        <w:ind w:left="2509" w:hanging="180"/>
      </w:pPr>
    </w:lvl>
    <w:lvl w:ilvl="3" w:tplc="D512AFBA" w:tentative="1">
      <w:start w:val="1"/>
      <w:numFmt w:val="decimal"/>
      <w:lvlText w:val="%4."/>
      <w:lvlJc w:val="left"/>
      <w:pPr>
        <w:ind w:left="3229" w:hanging="360"/>
      </w:pPr>
    </w:lvl>
    <w:lvl w:ilvl="4" w:tplc="F48A0AAC" w:tentative="1">
      <w:start w:val="1"/>
      <w:numFmt w:val="lowerLetter"/>
      <w:lvlText w:val="%5."/>
      <w:lvlJc w:val="left"/>
      <w:pPr>
        <w:ind w:left="3949" w:hanging="360"/>
      </w:pPr>
    </w:lvl>
    <w:lvl w:ilvl="5" w:tplc="EE364864" w:tentative="1">
      <w:start w:val="1"/>
      <w:numFmt w:val="lowerRoman"/>
      <w:lvlText w:val="%6."/>
      <w:lvlJc w:val="right"/>
      <w:pPr>
        <w:ind w:left="4669" w:hanging="180"/>
      </w:pPr>
    </w:lvl>
    <w:lvl w:ilvl="6" w:tplc="70388F2A" w:tentative="1">
      <w:start w:val="1"/>
      <w:numFmt w:val="decimal"/>
      <w:lvlText w:val="%7."/>
      <w:lvlJc w:val="left"/>
      <w:pPr>
        <w:ind w:left="5389" w:hanging="360"/>
      </w:pPr>
    </w:lvl>
    <w:lvl w:ilvl="7" w:tplc="AF1EBFC4" w:tentative="1">
      <w:start w:val="1"/>
      <w:numFmt w:val="lowerLetter"/>
      <w:lvlText w:val="%8."/>
      <w:lvlJc w:val="left"/>
      <w:pPr>
        <w:ind w:left="6109" w:hanging="360"/>
      </w:pPr>
    </w:lvl>
    <w:lvl w:ilvl="8" w:tplc="41CA318A" w:tentative="1">
      <w:start w:val="1"/>
      <w:numFmt w:val="lowerRoman"/>
      <w:lvlText w:val="%9."/>
      <w:lvlJc w:val="right"/>
      <w:pPr>
        <w:ind w:left="6829" w:hanging="180"/>
      </w:pPr>
    </w:lvl>
  </w:abstractNum>
  <w:abstractNum w:abstractNumId="14" w15:restartNumberingAfterBreak="0">
    <w:nsid w:val="51602467"/>
    <w:multiLevelType w:val="multilevel"/>
    <w:tmpl w:val="D982CE78"/>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5" w15:restartNumberingAfterBreak="0">
    <w:nsid w:val="550E311D"/>
    <w:multiLevelType w:val="hybridMultilevel"/>
    <w:tmpl w:val="217E3598"/>
    <w:lvl w:ilvl="0" w:tplc="4C70C09C">
      <w:start w:val="1"/>
      <w:numFmt w:val="bullet"/>
      <w:lvlText w:val=""/>
      <w:lvlJc w:val="left"/>
      <w:pPr>
        <w:ind w:left="720" w:hanging="360"/>
      </w:pPr>
      <w:rPr>
        <w:rFonts w:ascii="Symbol" w:hAnsi="Symbol" w:hint="default"/>
      </w:rPr>
    </w:lvl>
    <w:lvl w:ilvl="1" w:tplc="AF3043D8">
      <w:start w:val="1"/>
      <w:numFmt w:val="bullet"/>
      <w:lvlText w:val=""/>
      <w:lvlJc w:val="left"/>
      <w:pPr>
        <w:ind w:left="1440" w:hanging="360"/>
      </w:pPr>
      <w:rPr>
        <w:rFonts w:ascii="Symbol" w:hAnsi="Symbol" w:hint="default"/>
      </w:rPr>
    </w:lvl>
    <w:lvl w:ilvl="2" w:tplc="2EAE3618" w:tentative="1">
      <w:start w:val="1"/>
      <w:numFmt w:val="bullet"/>
      <w:lvlText w:val=""/>
      <w:lvlJc w:val="left"/>
      <w:pPr>
        <w:ind w:left="2160" w:hanging="360"/>
      </w:pPr>
      <w:rPr>
        <w:rFonts w:ascii="Wingdings" w:hAnsi="Wingdings" w:hint="default"/>
      </w:rPr>
    </w:lvl>
    <w:lvl w:ilvl="3" w:tplc="AC8CF016" w:tentative="1">
      <w:start w:val="1"/>
      <w:numFmt w:val="bullet"/>
      <w:lvlText w:val=""/>
      <w:lvlJc w:val="left"/>
      <w:pPr>
        <w:ind w:left="2880" w:hanging="360"/>
      </w:pPr>
      <w:rPr>
        <w:rFonts w:ascii="Symbol" w:hAnsi="Symbol" w:hint="default"/>
      </w:rPr>
    </w:lvl>
    <w:lvl w:ilvl="4" w:tplc="315C22B0" w:tentative="1">
      <w:start w:val="1"/>
      <w:numFmt w:val="bullet"/>
      <w:lvlText w:val="o"/>
      <w:lvlJc w:val="left"/>
      <w:pPr>
        <w:ind w:left="3600" w:hanging="360"/>
      </w:pPr>
      <w:rPr>
        <w:rFonts w:ascii="Courier New" w:hAnsi="Courier New" w:cs="Courier New" w:hint="default"/>
      </w:rPr>
    </w:lvl>
    <w:lvl w:ilvl="5" w:tplc="136A2AEE" w:tentative="1">
      <w:start w:val="1"/>
      <w:numFmt w:val="bullet"/>
      <w:lvlText w:val=""/>
      <w:lvlJc w:val="left"/>
      <w:pPr>
        <w:ind w:left="4320" w:hanging="360"/>
      </w:pPr>
      <w:rPr>
        <w:rFonts w:ascii="Wingdings" w:hAnsi="Wingdings" w:hint="default"/>
      </w:rPr>
    </w:lvl>
    <w:lvl w:ilvl="6" w:tplc="58C2A070" w:tentative="1">
      <w:start w:val="1"/>
      <w:numFmt w:val="bullet"/>
      <w:lvlText w:val=""/>
      <w:lvlJc w:val="left"/>
      <w:pPr>
        <w:ind w:left="5040" w:hanging="360"/>
      </w:pPr>
      <w:rPr>
        <w:rFonts w:ascii="Symbol" w:hAnsi="Symbol" w:hint="default"/>
      </w:rPr>
    </w:lvl>
    <w:lvl w:ilvl="7" w:tplc="86803E1E" w:tentative="1">
      <w:start w:val="1"/>
      <w:numFmt w:val="bullet"/>
      <w:lvlText w:val="o"/>
      <w:lvlJc w:val="left"/>
      <w:pPr>
        <w:ind w:left="5760" w:hanging="360"/>
      </w:pPr>
      <w:rPr>
        <w:rFonts w:ascii="Courier New" w:hAnsi="Courier New" w:cs="Courier New" w:hint="default"/>
      </w:rPr>
    </w:lvl>
    <w:lvl w:ilvl="8" w:tplc="81A89E72" w:tentative="1">
      <w:start w:val="1"/>
      <w:numFmt w:val="bullet"/>
      <w:lvlText w:val=""/>
      <w:lvlJc w:val="left"/>
      <w:pPr>
        <w:ind w:left="6480" w:hanging="360"/>
      </w:pPr>
      <w:rPr>
        <w:rFonts w:ascii="Wingdings" w:hAnsi="Wingdings" w:hint="default"/>
      </w:rPr>
    </w:lvl>
  </w:abstractNum>
  <w:abstractNum w:abstractNumId="16" w15:restartNumberingAfterBreak="0">
    <w:nsid w:val="6F322B13"/>
    <w:multiLevelType w:val="hybridMultilevel"/>
    <w:tmpl w:val="C15EA44C"/>
    <w:lvl w:ilvl="0" w:tplc="D0BC46E8">
      <w:start w:val="1"/>
      <w:numFmt w:val="bullet"/>
      <w:pStyle w:val="Listaszerbekezds2szint"/>
      <w:lvlText w:val=""/>
      <w:lvlJc w:val="left"/>
      <w:pPr>
        <w:ind w:left="1800" w:hanging="360"/>
      </w:pPr>
      <w:rPr>
        <w:rFonts w:ascii="Symbol" w:hAnsi="Symbol" w:cstheme="minorHAnsi" w:hint="default"/>
        <w:b/>
        <w:color w:val="44546A" w:themeColor="text2"/>
        <w:sz w:val="24"/>
      </w:rPr>
    </w:lvl>
    <w:lvl w:ilvl="1" w:tplc="040E0003" w:tentative="1">
      <w:start w:val="1"/>
      <w:numFmt w:val="bullet"/>
      <w:lvlText w:val="o"/>
      <w:lvlJc w:val="left"/>
      <w:pPr>
        <w:ind w:left="2520" w:hanging="360"/>
      </w:pPr>
      <w:rPr>
        <w:rFonts w:ascii="Courier New" w:hAnsi="Courier New" w:cs="Courier New" w:hint="default"/>
      </w:rPr>
    </w:lvl>
    <w:lvl w:ilvl="2" w:tplc="040E0005" w:tentative="1">
      <w:start w:val="1"/>
      <w:numFmt w:val="bullet"/>
      <w:lvlText w:val=""/>
      <w:lvlJc w:val="left"/>
      <w:pPr>
        <w:ind w:left="3240" w:hanging="360"/>
      </w:pPr>
      <w:rPr>
        <w:rFonts w:ascii="Wingdings" w:hAnsi="Wingdings" w:hint="default"/>
      </w:rPr>
    </w:lvl>
    <w:lvl w:ilvl="3" w:tplc="040E0001" w:tentative="1">
      <w:start w:val="1"/>
      <w:numFmt w:val="bullet"/>
      <w:lvlText w:val=""/>
      <w:lvlJc w:val="left"/>
      <w:pPr>
        <w:ind w:left="3960" w:hanging="360"/>
      </w:pPr>
      <w:rPr>
        <w:rFonts w:ascii="Symbol" w:hAnsi="Symbol" w:hint="default"/>
      </w:rPr>
    </w:lvl>
    <w:lvl w:ilvl="4" w:tplc="040E0003" w:tentative="1">
      <w:start w:val="1"/>
      <w:numFmt w:val="bullet"/>
      <w:lvlText w:val="o"/>
      <w:lvlJc w:val="left"/>
      <w:pPr>
        <w:ind w:left="4680" w:hanging="360"/>
      </w:pPr>
      <w:rPr>
        <w:rFonts w:ascii="Courier New" w:hAnsi="Courier New" w:cs="Courier New" w:hint="default"/>
      </w:rPr>
    </w:lvl>
    <w:lvl w:ilvl="5" w:tplc="040E0005" w:tentative="1">
      <w:start w:val="1"/>
      <w:numFmt w:val="bullet"/>
      <w:lvlText w:val=""/>
      <w:lvlJc w:val="left"/>
      <w:pPr>
        <w:ind w:left="5400" w:hanging="360"/>
      </w:pPr>
      <w:rPr>
        <w:rFonts w:ascii="Wingdings" w:hAnsi="Wingdings" w:hint="default"/>
      </w:rPr>
    </w:lvl>
    <w:lvl w:ilvl="6" w:tplc="040E0001" w:tentative="1">
      <w:start w:val="1"/>
      <w:numFmt w:val="bullet"/>
      <w:lvlText w:val=""/>
      <w:lvlJc w:val="left"/>
      <w:pPr>
        <w:ind w:left="6120" w:hanging="360"/>
      </w:pPr>
      <w:rPr>
        <w:rFonts w:ascii="Symbol" w:hAnsi="Symbol" w:hint="default"/>
      </w:rPr>
    </w:lvl>
    <w:lvl w:ilvl="7" w:tplc="040E0003" w:tentative="1">
      <w:start w:val="1"/>
      <w:numFmt w:val="bullet"/>
      <w:lvlText w:val="o"/>
      <w:lvlJc w:val="left"/>
      <w:pPr>
        <w:ind w:left="6840" w:hanging="360"/>
      </w:pPr>
      <w:rPr>
        <w:rFonts w:ascii="Courier New" w:hAnsi="Courier New" w:cs="Courier New" w:hint="default"/>
      </w:rPr>
    </w:lvl>
    <w:lvl w:ilvl="8" w:tplc="040E0005" w:tentative="1">
      <w:start w:val="1"/>
      <w:numFmt w:val="bullet"/>
      <w:lvlText w:val=""/>
      <w:lvlJc w:val="left"/>
      <w:pPr>
        <w:ind w:left="7560" w:hanging="360"/>
      </w:pPr>
      <w:rPr>
        <w:rFonts w:ascii="Wingdings" w:hAnsi="Wingdings" w:hint="default"/>
      </w:rPr>
    </w:lvl>
  </w:abstractNum>
  <w:abstractNum w:abstractNumId="17" w15:restartNumberingAfterBreak="0">
    <w:nsid w:val="74384B1C"/>
    <w:multiLevelType w:val="hybridMultilevel"/>
    <w:tmpl w:val="57B4061A"/>
    <w:lvl w:ilvl="0" w:tplc="8EAA8656">
      <w:start w:val="6"/>
      <w:numFmt w:val="bullet"/>
      <w:lvlText w:val=""/>
      <w:lvlJc w:val="left"/>
      <w:pPr>
        <w:ind w:left="720" w:hanging="360"/>
      </w:pPr>
      <w:rPr>
        <w:rFonts w:ascii="Symbol" w:eastAsia="Calibri" w:hAnsi="Symbol" w:cs="Times New Roman" w:hint="default"/>
      </w:rPr>
    </w:lvl>
    <w:lvl w:ilvl="1" w:tplc="20E670DC">
      <w:start w:val="1"/>
      <w:numFmt w:val="bullet"/>
      <w:lvlText w:val="o"/>
      <w:lvlJc w:val="left"/>
      <w:pPr>
        <w:ind w:left="1440" w:hanging="360"/>
      </w:pPr>
      <w:rPr>
        <w:rFonts w:ascii="Courier New" w:hAnsi="Courier New" w:cs="Courier New" w:hint="default"/>
      </w:rPr>
    </w:lvl>
    <w:lvl w:ilvl="2" w:tplc="201EA4DE">
      <w:start w:val="1"/>
      <w:numFmt w:val="bullet"/>
      <w:lvlText w:val=""/>
      <w:lvlJc w:val="left"/>
      <w:pPr>
        <w:ind w:left="2160" w:hanging="360"/>
      </w:pPr>
      <w:rPr>
        <w:rFonts w:ascii="Wingdings" w:hAnsi="Wingdings" w:hint="default"/>
      </w:rPr>
    </w:lvl>
    <w:lvl w:ilvl="3" w:tplc="49E2BA60">
      <w:start w:val="1"/>
      <w:numFmt w:val="bullet"/>
      <w:lvlText w:val=""/>
      <w:lvlJc w:val="left"/>
      <w:pPr>
        <w:ind w:left="2880" w:hanging="360"/>
      </w:pPr>
      <w:rPr>
        <w:rFonts w:ascii="Symbol" w:hAnsi="Symbol" w:hint="default"/>
      </w:rPr>
    </w:lvl>
    <w:lvl w:ilvl="4" w:tplc="98E8972A">
      <w:start w:val="1"/>
      <w:numFmt w:val="bullet"/>
      <w:lvlText w:val="o"/>
      <w:lvlJc w:val="left"/>
      <w:pPr>
        <w:ind w:left="3600" w:hanging="360"/>
      </w:pPr>
      <w:rPr>
        <w:rFonts w:ascii="Courier New" w:hAnsi="Courier New" w:cs="Courier New" w:hint="default"/>
      </w:rPr>
    </w:lvl>
    <w:lvl w:ilvl="5" w:tplc="BB86B702">
      <w:start w:val="1"/>
      <w:numFmt w:val="bullet"/>
      <w:lvlText w:val=""/>
      <w:lvlJc w:val="left"/>
      <w:pPr>
        <w:ind w:left="4320" w:hanging="360"/>
      </w:pPr>
      <w:rPr>
        <w:rFonts w:ascii="Wingdings" w:hAnsi="Wingdings" w:hint="default"/>
      </w:rPr>
    </w:lvl>
    <w:lvl w:ilvl="6" w:tplc="766803C0">
      <w:start w:val="1"/>
      <w:numFmt w:val="bullet"/>
      <w:lvlText w:val=""/>
      <w:lvlJc w:val="left"/>
      <w:pPr>
        <w:ind w:left="5040" w:hanging="360"/>
      </w:pPr>
      <w:rPr>
        <w:rFonts w:ascii="Symbol" w:hAnsi="Symbol" w:hint="default"/>
      </w:rPr>
    </w:lvl>
    <w:lvl w:ilvl="7" w:tplc="35B83FFA">
      <w:start w:val="1"/>
      <w:numFmt w:val="bullet"/>
      <w:lvlText w:val="o"/>
      <w:lvlJc w:val="left"/>
      <w:pPr>
        <w:ind w:left="5760" w:hanging="360"/>
      </w:pPr>
      <w:rPr>
        <w:rFonts w:ascii="Courier New" w:hAnsi="Courier New" w:cs="Courier New" w:hint="default"/>
      </w:rPr>
    </w:lvl>
    <w:lvl w:ilvl="8" w:tplc="D55EF2D0">
      <w:start w:val="1"/>
      <w:numFmt w:val="bullet"/>
      <w:lvlText w:val=""/>
      <w:lvlJc w:val="left"/>
      <w:pPr>
        <w:ind w:left="6480" w:hanging="360"/>
      </w:pPr>
      <w:rPr>
        <w:rFonts w:ascii="Wingdings" w:hAnsi="Wingdings" w:hint="default"/>
      </w:rPr>
    </w:lvl>
  </w:abstractNum>
  <w:abstractNum w:abstractNumId="18" w15:restartNumberingAfterBreak="0">
    <w:nsid w:val="745E0A6D"/>
    <w:multiLevelType w:val="hybridMultilevel"/>
    <w:tmpl w:val="30024616"/>
    <w:lvl w:ilvl="0" w:tplc="A156FC80">
      <w:start w:val="1"/>
      <w:numFmt w:val="bullet"/>
      <w:lvlText w:val=""/>
      <w:lvlJc w:val="left"/>
      <w:pPr>
        <w:ind w:left="720" w:hanging="360"/>
      </w:pPr>
      <w:rPr>
        <w:rFonts w:ascii="Symbol" w:hAnsi="Symbol" w:cstheme="minorHAnsi" w:hint="default"/>
        <w:b/>
        <w:color w:val="44546A" w:themeColor="text2"/>
        <w:sz w:val="24"/>
      </w:rPr>
    </w:lvl>
    <w:lvl w:ilvl="1" w:tplc="1242D2E6">
      <w:start w:val="1"/>
      <w:numFmt w:val="bullet"/>
      <w:lvlText w:val="o"/>
      <w:lvlJc w:val="left"/>
      <w:pPr>
        <w:ind w:left="1440" w:hanging="360"/>
      </w:pPr>
      <w:rPr>
        <w:rFonts w:ascii="Courier New" w:hAnsi="Courier New" w:hint="default"/>
        <w:b/>
        <w:color w:val="4472C4" w:themeColor="accent5"/>
        <w:sz w:val="24"/>
      </w:rPr>
    </w:lvl>
    <w:lvl w:ilvl="2" w:tplc="EA2C5BBE">
      <w:start w:val="1"/>
      <w:numFmt w:val="bullet"/>
      <w:pStyle w:val="Listaszerbekezds3szint"/>
      <w:lvlText w:val=""/>
      <w:lvlJc w:val="left"/>
      <w:pPr>
        <w:ind w:left="2160" w:hanging="360"/>
      </w:pPr>
      <w:rPr>
        <w:rFonts w:ascii="Wingdings" w:hAnsi="Wingdings" w:cstheme="minorHAnsi" w:hint="default"/>
        <w:b/>
        <w:color w:val="44546A" w:themeColor="text2"/>
        <w:sz w:val="24"/>
      </w:rPr>
    </w:lvl>
    <w:lvl w:ilvl="3" w:tplc="BA9A1B8A">
      <w:start w:val="1"/>
      <w:numFmt w:val="bullet"/>
      <w:lvlText w:val=""/>
      <w:lvlJc w:val="left"/>
      <w:pPr>
        <w:ind w:left="2880" w:hanging="360"/>
      </w:pPr>
      <w:rPr>
        <w:rFonts w:ascii="Symbol" w:hAnsi="Symbol" w:cstheme="minorHAnsi" w:hint="default"/>
        <w:b/>
        <w:color w:val="4472C4" w:themeColor="accent5"/>
        <w:sz w:val="24"/>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19" w15:restartNumberingAfterBreak="0">
    <w:nsid w:val="74E07C59"/>
    <w:multiLevelType w:val="multilevel"/>
    <w:tmpl w:val="E7FE859A"/>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0" w15:restartNumberingAfterBreak="0">
    <w:nsid w:val="7BB35CB3"/>
    <w:multiLevelType w:val="hybridMultilevel"/>
    <w:tmpl w:val="BC22D4BC"/>
    <w:lvl w:ilvl="0" w:tplc="D8480112">
      <w:start w:val="1"/>
      <w:numFmt w:val="bullet"/>
      <w:lvlText w:val=""/>
      <w:lvlJc w:val="left"/>
      <w:pPr>
        <w:ind w:left="720" w:hanging="360"/>
      </w:pPr>
      <w:rPr>
        <w:rFonts w:ascii="Symbol" w:hAnsi="Symbol" w:hint="default"/>
      </w:rPr>
    </w:lvl>
    <w:lvl w:ilvl="1" w:tplc="7BE6A0C4" w:tentative="1">
      <w:start w:val="1"/>
      <w:numFmt w:val="bullet"/>
      <w:lvlText w:val="o"/>
      <w:lvlJc w:val="left"/>
      <w:pPr>
        <w:ind w:left="1440" w:hanging="360"/>
      </w:pPr>
      <w:rPr>
        <w:rFonts w:ascii="Courier New" w:hAnsi="Courier New" w:cs="Courier New" w:hint="default"/>
      </w:rPr>
    </w:lvl>
    <w:lvl w:ilvl="2" w:tplc="0556FDE8" w:tentative="1">
      <w:start w:val="1"/>
      <w:numFmt w:val="bullet"/>
      <w:lvlText w:val=""/>
      <w:lvlJc w:val="left"/>
      <w:pPr>
        <w:ind w:left="2160" w:hanging="360"/>
      </w:pPr>
      <w:rPr>
        <w:rFonts w:ascii="Wingdings" w:hAnsi="Wingdings" w:hint="default"/>
      </w:rPr>
    </w:lvl>
    <w:lvl w:ilvl="3" w:tplc="65EEBA84" w:tentative="1">
      <w:start w:val="1"/>
      <w:numFmt w:val="bullet"/>
      <w:lvlText w:val=""/>
      <w:lvlJc w:val="left"/>
      <w:pPr>
        <w:ind w:left="2880" w:hanging="360"/>
      </w:pPr>
      <w:rPr>
        <w:rFonts w:ascii="Symbol" w:hAnsi="Symbol" w:hint="default"/>
      </w:rPr>
    </w:lvl>
    <w:lvl w:ilvl="4" w:tplc="CB809EF6" w:tentative="1">
      <w:start w:val="1"/>
      <w:numFmt w:val="bullet"/>
      <w:lvlText w:val="o"/>
      <w:lvlJc w:val="left"/>
      <w:pPr>
        <w:ind w:left="3600" w:hanging="360"/>
      </w:pPr>
      <w:rPr>
        <w:rFonts w:ascii="Courier New" w:hAnsi="Courier New" w:cs="Courier New" w:hint="default"/>
      </w:rPr>
    </w:lvl>
    <w:lvl w:ilvl="5" w:tplc="E222DEC4" w:tentative="1">
      <w:start w:val="1"/>
      <w:numFmt w:val="bullet"/>
      <w:lvlText w:val=""/>
      <w:lvlJc w:val="left"/>
      <w:pPr>
        <w:ind w:left="4320" w:hanging="360"/>
      </w:pPr>
      <w:rPr>
        <w:rFonts w:ascii="Wingdings" w:hAnsi="Wingdings" w:hint="default"/>
      </w:rPr>
    </w:lvl>
    <w:lvl w:ilvl="6" w:tplc="94D63BDE" w:tentative="1">
      <w:start w:val="1"/>
      <w:numFmt w:val="bullet"/>
      <w:lvlText w:val=""/>
      <w:lvlJc w:val="left"/>
      <w:pPr>
        <w:ind w:left="5040" w:hanging="360"/>
      </w:pPr>
      <w:rPr>
        <w:rFonts w:ascii="Symbol" w:hAnsi="Symbol" w:hint="default"/>
      </w:rPr>
    </w:lvl>
    <w:lvl w:ilvl="7" w:tplc="19D090A0" w:tentative="1">
      <w:start w:val="1"/>
      <w:numFmt w:val="bullet"/>
      <w:lvlText w:val="o"/>
      <w:lvlJc w:val="left"/>
      <w:pPr>
        <w:ind w:left="5760" w:hanging="360"/>
      </w:pPr>
      <w:rPr>
        <w:rFonts w:ascii="Courier New" w:hAnsi="Courier New" w:cs="Courier New" w:hint="default"/>
      </w:rPr>
    </w:lvl>
    <w:lvl w:ilvl="8" w:tplc="BFF225AA" w:tentative="1">
      <w:start w:val="1"/>
      <w:numFmt w:val="bullet"/>
      <w:lvlText w:val=""/>
      <w:lvlJc w:val="left"/>
      <w:pPr>
        <w:ind w:left="6480" w:hanging="360"/>
      </w:pPr>
      <w:rPr>
        <w:rFonts w:ascii="Wingdings" w:hAnsi="Wingdings" w:hint="default"/>
      </w:rPr>
    </w:lvl>
  </w:abstractNum>
  <w:num w:numId="1">
    <w:abstractNumId w:val="6"/>
  </w:num>
  <w:num w:numId="2">
    <w:abstractNumId w:val="4"/>
  </w:num>
  <w:num w:numId="3">
    <w:abstractNumId w:val="7"/>
  </w:num>
  <w:num w:numId="4">
    <w:abstractNumId w:val="2"/>
  </w:num>
  <w:num w:numId="5">
    <w:abstractNumId w:val="3"/>
  </w:num>
  <w:num w:numId="6">
    <w:abstractNumId w:val="10"/>
  </w:num>
  <w:num w:numId="7">
    <w:abstractNumId w:val="5"/>
  </w:num>
  <w:num w:numId="8">
    <w:abstractNumId w:val="16"/>
  </w:num>
  <w:num w:numId="9">
    <w:abstractNumId w:val="10"/>
    <w:lvlOverride w:ilvl="0">
      <w:startOverride w:val="1"/>
    </w:lvlOverride>
  </w:num>
  <w:num w:numId="10">
    <w:abstractNumId w:val="17"/>
  </w:num>
  <w:num w:numId="11">
    <w:abstractNumId w:val="0"/>
  </w:num>
  <w:num w:numId="12">
    <w:abstractNumId w:val="10"/>
    <w:lvlOverride w:ilvl="0">
      <w:startOverride w:val="1"/>
    </w:lvlOverride>
  </w:num>
  <w:num w:numId="13">
    <w:abstractNumId w:val="10"/>
    <w:lvlOverride w:ilvl="0">
      <w:startOverride w:val="1"/>
    </w:lvlOverride>
  </w:num>
  <w:num w:numId="14">
    <w:abstractNumId w:val="10"/>
    <w:lvlOverride w:ilvl="0">
      <w:startOverride w:val="1"/>
    </w:lvlOverride>
  </w:num>
  <w:num w:numId="15">
    <w:abstractNumId w:val="10"/>
    <w:lvlOverride w:ilvl="0">
      <w:startOverride w:val="1"/>
    </w:lvlOverride>
  </w:num>
  <w:num w:numId="16">
    <w:abstractNumId w:val="10"/>
    <w:lvlOverride w:ilvl="0">
      <w:startOverride w:val="1"/>
    </w:lvlOverride>
  </w:num>
  <w:num w:numId="17">
    <w:abstractNumId w:val="10"/>
    <w:lvlOverride w:ilvl="0">
      <w:startOverride w:val="1"/>
    </w:lvlOverride>
  </w:num>
  <w:num w:numId="18">
    <w:abstractNumId w:val="10"/>
    <w:lvlOverride w:ilvl="0">
      <w:startOverride w:val="1"/>
    </w:lvlOverride>
  </w:num>
  <w:num w:numId="19">
    <w:abstractNumId w:val="11"/>
  </w:num>
  <w:num w:numId="20">
    <w:abstractNumId w:val="9"/>
  </w:num>
  <w:num w:numId="21">
    <w:abstractNumId w:val="14"/>
  </w:num>
  <w:num w:numId="22">
    <w:abstractNumId w:val="20"/>
  </w:num>
  <w:num w:numId="23">
    <w:abstractNumId w:val="1"/>
  </w:num>
  <w:num w:numId="24">
    <w:abstractNumId w:val="15"/>
  </w:num>
  <w:num w:numId="25">
    <w:abstractNumId w:val="19"/>
  </w:num>
  <w:num w:numId="26">
    <w:abstractNumId w:val="13"/>
  </w:num>
  <w:num w:numId="2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8"/>
  </w:num>
  <w:num w:numId="29">
    <w:abstractNumId w:val="12"/>
  </w:num>
  <w:num w:numId="30">
    <w:abstractNumId w:val="8"/>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linkStyles/>
  <w:stylePaneFormatFilter w:val="7004" w:allStyles="0" w:customStyles="0" w:latentStyles="1" w:stylesInUse="0" w:headingStyles="0" w:numberingStyles="0" w:tableStyles="0" w:directFormattingOnRuns="0" w:directFormattingOnParagraphs="0" w:directFormattingOnNumbering="0" w:directFormattingOnTables="0" w:clearFormatting="1" w:top3HeadingStyles="1" w:visibleStyles="1" w:alternateStyleNames="0"/>
  <w:defaultTabStop w:val="709"/>
  <w:hyphenationZone w:val="425"/>
  <w:noPunctuationKerning/>
  <w:characterSpacingControl w:val="doNotCompress"/>
  <w:hdrShapeDefaults>
    <o:shapedefaults v:ext="edit" spidmax="30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74628"/>
    <w:rsid w:val="00510309"/>
    <w:rsid w:val="00574628"/>
    <w:rsid w:val="00616FA4"/>
    <w:rsid w:val="00A15E3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3"/>
    <o:shapelayout v:ext="edit">
      <o:idmap v:ext="edit" data="1"/>
    </o:shapelayout>
  </w:shapeDefaults>
  <w:decimalSymbol w:val=","/>
  <w:listSeparator w:val=";"/>
  <w14:docId w14:val="2E5BDD66"/>
  <w15:chartTrackingRefBased/>
  <w15:docId w15:val="{BBBEF83C-ABE1-4200-BCC6-20981CB60E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Verdana" w:eastAsia="Calibri" w:hAnsi="Verdana"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uiPriority="0"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qFormat="1"/>
    <w:lsdException w:name="toc 2" w:locked="1" w:semiHidden="1" w:uiPriority="39" w:unhideWhenUsed="1" w:qFormat="1"/>
    <w:lsdException w:name="toc 3" w:locked="1" w:semiHidden="1" w:uiPriority="39" w:unhideWhenUsed="1" w:qFormat="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3"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3" w:unhideWhenUsed="1" w:qFormat="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3"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6"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
    <w:name w:val="Normal"/>
    <w:qFormat/>
    <w:rsid w:val="00A15E30"/>
    <w:pPr>
      <w:spacing w:after="150" w:line="276" w:lineRule="auto"/>
      <w:jc w:val="both"/>
    </w:pPr>
    <w:rPr>
      <w:rFonts w:ascii="Calibri" w:eastAsiaTheme="minorHAnsi" w:hAnsi="Calibri" w:cstheme="minorBidi"/>
      <w:lang w:val="hu-HU" w:eastAsia="hu-HU"/>
    </w:rPr>
  </w:style>
  <w:style w:type="paragraph" w:styleId="Cmsor1">
    <w:name w:val="heading 1"/>
    <w:basedOn w:val="Norml"/>
    <w:next w:val="Norml"/>
    <w:link w:val="Cmsor1Char"/>
    <w:qFormat/>
    <w:rsid w:val="00A15E30"/>
    <w:pPr>
      <w:keepNext/>
      <w:keepLines/>
      <w:numPr>
        <w:numId w:val="3"/>
      </w:numPr>
      <w:spacing w:before="480" w:after="210"/>
      <w:jc w:val="left"/>
      <w:outlineLvl w:val="0"/>
    </w:pPr>
    <w:rPr>
      <w:rFonts w:eastAsiaTheme="majorEastAsia" w:cstheme="majorBidi"/>
      <w:b/>
      <w:bCs/>
      <w:caps/>
      <w:color w:val="44546A" w:themeColor="text2"/>
      <w:sz w:val="24"/>
      <w:szCs w:val="42"/>
    </w:rPr>
  </w:style>
  <w:style w:type="paragraph" w:styleId="Cmsor2">
    <w:name w:val="heading 2"/>
    <w:basedOn w:val="Norml"/>
    <w:next w:val="Norml"/>
    <w:link w:val="Cmsor2Char"/>
    <w:unhideWhenUsed/>
    <w:qFormat/>
    <w:rsid w:val="00A15E30"/>
    <w:pPr>
      <w:numPr>
        <w:ilvl w:val="1"/>
        <w:numId w:val="3"/>
      </w:numPr>
      <w:spacing w:before="210" w:after="75"/>
      <w:jc w:val="left"/>
      <w:outlineLvl w:val="1"/>
    </w:pPr>
    <w:rPr>
      <w:b/>
      <w:color w:val="44546A" w:themeColor="text2"/>
      <w:sz w:val="24"/>
      <w:szCs w:val="38"/>
    </w:rPr>
  </w:style>
  <w:style w:type="paragraph" w:styleId="Cmsor3">
    <w:name w:val="heading 3"/>
    <w:basedOn w:val="Norml"/>
    <w:next w:val="Norml"/>
    <w:link w:val="Cmsor3Char"/>
    <w:unhideWhenUsed/>
    <w:qFormat/>
    <w:rsid w:val="00A15E30"/>
    <w:pPr>
      <w:numPr>
        <w:ilvl w:val="2"/>
        <w:numId w:val="3"/>
      </w:numPr>
      <w:spacing w:before="75" w:after="75"/>
      <w:jc w:val="left"/>
      <w:outlineLvl w:val="2"/>
    </w:pPr>
    <w:rPr>
      <w:bCs/>
      <w:color w:val="44546A" w:themeColor="text2"/>
      <w:szCs w:val="34"/>
    </w:rPr>
  </w:style>
  <w:style w:type="paragraph" w:styleId="Cmsor4">
    <w:name w:val="heading 4"/>
    <w:basedOn w:val="Norml"/>
    <w:next w:val="Norml"/>
    <w:link w:val="Cmsor4Char"/>
    <w:unhideWhenUsed/>
    <w:qFormat/>
    <w:rsid w:val="00A15E30"/>
    <w:pPr>
      <w:numPr>
        <w:ilvl w:val="3"/>
        <w:numId w:val="3"/>
      </w:numPr>
      <w:spacing w:before="75" w:after="75"/>
      <w:jc w:val="left"/>
      <w:outlineLvl w:val="3"/>
    </w:pPr>
    <w:rPr>
      <w:iCs/>
      <w:color w:val="44546A" w:themeColor="text2"/>
      <w:szCs w:val="30"/>
    </w:rPr>
  </w:style>
  <w:style w:type="paragraph" w:styleId="Cmsor5">
    <w:name w:val="heading 5"/>
    <w:basedOn w:val="Norml"/>
    <w:next w:val="Norml"/>
    <w:link w:val="Cmsor5Char"/>
    <w:unhideWhenUsed/>
    <w:qFormat/>
    <w:rsid w:val="00A15E30"/>
    <w:pPr>
      <w:numPr>
        <w:ilvl w:val="4"/>
        <w:numId w:val="3"/>
      </w:numPr>
      <w:spacing w:before="75" w:after="75"/>
      <w:jc w:val="left"/>
      <w:outlineLvl w:val="4"/>
    </w:pPr>
    <w:rPr>
      <w:color w:val="44546A" w:themeColor="text2"/>
      <w:szCs w:val="26"/>
    </w:rPr>
  </w:style>
  <w:style w:type="paragraph" w:styleId="Cmsor6">
    <w:name w:val="heading 6"/>
    <w:basedOn w:val="Norml"/>
    <w:next w:val="Norml"/>
    <w:link w:val="Cmsor6Char"/>
    <w:unhideWhenUsed/>
    <w:qFormat/>
    <w:rsid w:val="00A15E30"/>
    <w:pPr>
      <w:numPr>
        <w:ilvl w:val="5"/>
        <w:numId w:val="3"/>
      </w:numPr>
      <w:spacing w:before="75" w:after="75"/>
      <w:jc w:val="left"/>
      <w:outlineLvl w:val="5"/>
    </w:pPr>
    <w:rPr>
      <w:color w:val="44546A" w:themeColor="text2"/>
    </w:rPr>
  </w:style>
  <w:style w:type="paragraph" w:styleId="Cmsor7">
    <w:name w:val="heading 7"/>
    <w:basedOn w:val="Norml"/>
    <w:next w:val="Norml"/>
    <w:link w:val="Cmsor7Char"/>
    <w:uiPriority w:val="9"/>
    <w:semiHidden/>
    <w:unhideWhenUsed/>
    <w:qFormat/>
    <w:rsid w:val="00A15E30"/>
    <w:pPr>
      <w:keepNext/>
      <w:keepLines/>
      <w:numPr>
        <w:ilvl w:val="6"/>
        <w:numId w:val="3"/>
      </w:numPr>
      <w:spacing w:before="200"/>
      <w:outlineLvl w:val="6"/>
    </w:pPr>
    <w:rPr>
      <w:rFonts w:eastAsiaTheme="majorEastAsia" w:cstheme="majorBidi"/>
      <w:i/>
      <w:iCs/>
      <w:color w:val="404040" w:themeColor="text1" w:themeTint="BF"/>
    </w:rPr>
  </w:style>
  <w:style w:type="paragraph" w:styleId="Cmsor8">
    <w:name w:val="heading 8"/>
    <w:basedOn w:val="Norml"/>
    <w:next w:val="Norml"/>
    <w:link w:val="Cmsor8Char"/>
    <w:uiPriority w:val="9"/>
    <w:semiHidden/>
    <w:unhideWhenUsed/>
    <w:qFormat/>
    <w:rsid w:val="00A15E30"/>
    <w:pPr>
      <w:keepNext/>
      <w:keepLines/>
      <w:numPr>
        <w:ilvl w:val="7"/>
        <w:numId w:val="3"/>
      </w:numPr>
      <w:spacing w:before="200"/>
      <w:outlineLvl w:val="7"/>
    </w:pPr>
    <w:rPr>
      <w:rFonts w:eastAsiaTheme="majorEastAsia" w:cstheme="majorBidi"/>
      <w:color w:val="404040" w:themeColor="text1" w:themeTint="BF"/>
    </w:rPr>
  </w:style>
  <w:style w:type="paragraph" w:styleId="Cmsor9">
    <w:name w:val="heading 9"/>
    <w:basedOn w:val="Norml"/>
    <w:next w:val="Norml"/>
    <w:link w:val="Cmsor9Char"/>
    <w:uiPriority w:val="9"/>
    <w:semiHidden/>
    <w:unhideWhenUsed/>
    <w:qFormat/>
    <w:rsid w:val="00A15E30"/>
    <w:pPr>
      <w:keepNext/>
      <w:keepLines/>
      <w:numPr>
        <w:ilvl w:val="8"/>
        <w:numId w:val="3"/>
      </w:numPr>
      <w:spacing w:before="200"/>
      <w:outlineLvl w:val="8"/>
    </w:pPr>
    <w:rPr>
      <w:rFonts w:eastAsiaTheme="majorEastAsia" w:cstheme="majorBidi"/>
      <w:i/>
      <w:iCs/>
      <w:color w:val="404040" w:themeColor="text1" w:themeTint="BF"/>
    </w:rPr>
  </w:style>
  <w:style w:type="character" w:default="1" w:styleId="Bekezdsalapbettpusa">
    <w:name w:val="Default Paragraph Font"/>
    <w:uiPriority w:val="1"/>
    <w:semiHidden/>
    <w:unhideWhenUsed/>
    <w:rsid w:val="00A15E30"/>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rsid w:val="00A15E30"/>
  </w:style>
  <w:style w:type="table" w:customStyle="1" w:styleId="tblzat-mtrix">
    <w:name w:val="táblázat - mátrix"/>
    <w:basedOn w:val="Normltblzat"/>
    <w:uiPriority w:val="2"/>
    <w:qFormat/>
    <w:rsid w:val="00A15E30"/>
    <w:pPr>
      <w:contextualSpacing/>
    </w:pPr>
    <w:rPr>
      <w:rFonts w:asciiTheme="majorHAnsi" w:hAnsiTheme="majorHAnsi" w:cstheme="minorBidi"/>
      <w:lang w:val="hu-HU" w:eastAsia="hu-HU"/>
    </w:rPr>
    <w:tblPr>
      <w:tblStyleRowBandSize w:val="1"/>
      <w:tblStyleColBandSize w:val="1"/>
      <w:tblBorders>
        <w:top w:val="single" w:sz="2" w:space="0" w:color="4472C4" w:themeColor="accent5"/>
        <w:left w:val="single" w:sz="2" w:space="0" w:color="4472C4" w:themeColor="accent5"/>
        <w:bottom w:val="single" w:sz="2" w:space="0" w:color="4472C4" w:themeColor="accent5"/>
        <w:right w:val="single" w:sz="2" w:space="0" w:color="4472C4" w:themeColor="accent5"/>
        <w:insideH w:val="single" w:sz="2" w:space="0" w:color="4472C4" w:themeColor="accent5"/>
        <w:insideV w:val="single" w:sz="2" w:space="0" w:color="4472C4" w:themeColor="accent5"/>
      </w:tblBorders>
      <w:tblCellMar>
        <w:top w:w="85" w:type="dxa"/>
      </w:tblCellMar>
    </w:tblPr>
    <w:tcPr>
      <w:shd w:val="clear" w:color="auto" w:fill="auto"/>
      <w:vAlign w:val="center"/>
    </w:tcPr>
    <w:tblStylePr w:type="firstRow">
      <w:rPr>
        <w:rFonts w:asciiTheme="majorHAnsi" w:hAnsiTheme="majorHAnsi"/>
        <w:sz w:val="20"/>
      </w:rPr>
      <w:tblPr/>
      <w:tcPr>
        <w:shd w:val="clear" w:color="auto" w:fill="E7E6E6" w:themeFill="background2"/>
      </w:tcPr>
    </w:tblStylePr>
    <w:tblStylePr w:type="firstCol">
      <w:pPr>
        <w:jc w:val="left"/>
      </w:pPr>
      <w:rPr>
        <w:rFonts w:asciiTheme="majorHAnsi" w:hAnsiTheme="majorHAnsi"/>
        <w:sz w:val="20"/>
      </w:rPr>
      <w:tblPr/>
      <w:tcPr>
        <w:shd w:val="clear" w:color="auto" w:fill="E7E6E6" w:themeFill="background2"/>
      </w:tcPr>
    </w:tblStylePr>
  </w:style>
  <w:style w:type="table" w:customStyle="1" w:styleId="tblzat-fejlces">
    <w:name w:val="táblázat - fejléces"/>
    <w:basedOn w:val="Normltblzat"/>
    <w:uiPriority w:val="1"/>
    <w:qFormat/>
    <w:rsid w:val="00A15E30"/>
    <w:pPr>
      <w:contextualSpacing/>
    </w:pPr>
    <w:rPr>
      <w:rFonts w:asciiTheme="majorHAnsi" w:hAnsiTheme="majorHAnsi" w:cstheme="minorBidi"/>
      <w:lang w:val="hu-HU" w:eastAsia="hu-HU"/>
    </w:rPr>
    <w:tblPr>
      <w:tblStyleRowBandSize w:val="1"/>
      <w:tblStyleColBandSize w:val="1"/>
      <w:tblBorders>
        <w:top w:val="single" w:sz="4" w:space="0" w:color="4472C4" w:themeColor="accent5"/>
        <w:left w:val="single" w:sz="4" w:space="0" w:color="4472C4" w:themeColor="accent5"/>
        <w:bottom w:val="single" w:sz="4" w:space="0" w:color="4472C4" w:themeColor="accent5"/>
        <w:right w:val="single" w:sz="4" w:space="0" w:color="4472C4" w:themeColor="accent5"/>
        <w:insideH w:val="single" w:sz="4" w:space="0" w:color="4472C4" w:themeColor="accent5"/>
        <w:insideV w:val="single" w:sz="4" w:space="0" w:color="4472C4" w:themeColor="accent5"/>
      </w:tblBorders>
    </w:tblPr>
    <w:tcPr>
      <w:shd w:val="clear" w:color="auto" w:fill="auto"/>
      <w:tcMar>
        <w:top w:w="85" w:type="dxa"/>
      </w:tcMar>
      <w:vAlign w:val="center"/>
    </w:tcPr>
    <w:tblStylePr w:type="firstRow">
      <w:rPr>
        <w:rFonts w:asciiTheme="majorHAnsi" w:hAnsiTheme="majorHAnsi"/>
        <w:sz w:val="20"/>
      </w:rPr>
      <w:tblPr/>
      <w:tcPr>
        <w:shd w:val="clear" w:color="auto" w:fill="E7E6E6" w:themeFill="background2"/>
      </w:tcPr>
    </w:tblStylePr>
    <w:tblStylePr w:type="firstCol">
      <w:rPr>
        <w:rFonts w:asciiTheme="majorHAnsi" w:hAnsiTheme="majorHAnsi"/>
        <w:sz w:val="20"/>
      </w:rPr>
    </w:tblStylePr>
  </w:style>
  <w:style w:type="paragraph" w:styleId="Listaszerbekezds">
    <w:name w:val="List Paragraph"/>
    <w:basedOn w:val="Norml"/>
    <w:link w:val="ListaszerbekezdsChar"/>
    <w:uiPriority w:val="4"/>
    <w:qFormat/>
    <w:rsid w:val="00A15E30"/>
    <w:pPr>
      <w:numPr>
        <w:numId w:val="9"/>
      </w:numPr>
      <w:contextualSpacing/>
    </w:pPr>
  </w:style>
  <w:style w:type="character" w:styleId="Hiperhivatkozs">
    <w:name w:val="Hyperlink"/>
    <w:basedOn w:val="Vgjegyzet-hivatkozs"/>
    <w:uiPriority w:val="99"/>
    <w:rsid w:val="00A15E30"/>
    <w:rPr>
      <w:rFonts w:ascii="Calibri" w:hAnsi="Calibri"/>
      <w:color w:val="0000FF"/>
      <w:sz w:val="20"/>
      <w:u w:val="single"/>
      <w:vertAlign w:val="superscript"/>
    </w:rPr>
  </w:style>
  <w:style w:type="table" w:customStyle="1" w:styleId="tblzat-oldallces">
    <w:name w:val="táblázat - oldalléces"/>
    <w:basedOn w:val="Normltblzat"/>
    <w:uiPriority w:val="3"/>
    <w:qFormat/>
    <w:rsid w:val="00A15E30"/>
    <w:pPr>
      <w:contextualSpacing/>
    </w:pPr>
    <w:rPr>
      <w:rFonts w:asciiTheme="majorHAnsi" w:hAnsiTheme="majorHAnsi" w:cstheme="minorBidi"/>
      <w:lang w:val="hu-HU" w:eastAsia="hu-HU"/>
    </w:rPr>
    <w:tblPr>
      <w:tblStyleRowBandSize w:val="1"/>
      <w:tblStyleColBandSize w:val="1"/>
      <w:tblBorders>
        <w:top w:val="single" w:sz="4" w:space="0" w:color="4472C4" w:themeColor="accent5"/>
        <w:left w:val="single" w:sz="4" w:space="0" w:color="4472C4" w:themeColor="accent5"/>
        <w:bottom w:val="single" w:sz="4" w:space="0" w:color="4472C4" w:themeColor="accent5"/>
        <w:right w:val="single" w:sz="4" w:space="0" w:color="4472C4" w:themeColor="accent5"/>
        <w:insideH w:val="single" w:sz="4" w:space="0" w:color="4472C4" w:themeColor="accent5"/>
        <w:insideV w:val="single" w:sz="4" w:space="0" w:color="4472C4" w:themeColor="accent5"/>
      </w:tblBorders>
    </w:tblPr>
    <w:tcPr>
      <w:shd w:val="clear" w:color="auto" w:fill="auto"/>
      <w:tcMar>
        <w:top w:w="85" w:type="dxa"/>
      </w:tcMar>
      <w:vAlign w:val="center"/>
    </w:tcPr>
    <w:tblStylePr w:type="firstRow">
      <w:rPr>
        <w:rFonts w:asciiTheme="majorHAnsi" w:hAnsiTheme="majorHAnsi"/>
        <w:sz w:val="20"/>
      </w:rPr>
    </w:tblStylePr>
    <w:tblStylePr w:type="firstCol">
      <w:rPr>
        <w:rFonts w:asciiTheme="majorHAnsi" w:hAnsiTheme="majorHAnsi"/>
        <w:sz w:val="20"/>
      </w:rPr>
      <w:tblPr/>
      <w:tcPr>
        <w:shd w:val="clear" w:color="auto" w:fill="E7E6E6" w:themeFill="background2"/>
      </w:tcPr>
    </w:tblStylePr>
  </w:style>
  <w:style w:type="character" w:styleId="Vgjegyzet-hivatkozs">
    <w:name w:val="endnote reference"/>
    <w:basedOn w:val="Bekezdsalapbettpusa"/>
    <w:semiHidden/>
    <w:rsid w:val="00A15E30"/>
    <w:rPr>
      <w:vertAlign w:val="superscript"/>
    </w:rPr>
  </w:style>
  <w:style w:type="paragraph" w:styleId="Buborkszveg">
    <w:name w:val="Balloon Text"/>
    <w:basedOn w:val="Norml"/>
    <w:link w:val="BuborkszvegChar"/>
    <w:uiPriority w:val="99"/>
    <w:semiHidden/>
    <w:unhideWhenUsed/>
    <w:rsid w:val="00A15E30"/>
    <w:rPr>
      <w:rFonts w:ascii="Tahoma" w:hAnsi="Tahoma" w:cs="Tahoma"/>
      <w:sz w:val="16"/>
      <w:szCs w:val="16"/>
    </w:rPr>
  </w:style>
  <w:style w:type="paragraph" w:customStyle="1" w:styleId="Magyarzszveg">
    <w:name w:val="Magyarázó szöveg"/>
    <w:basedOn w:val="Norml"/>
    <w:next w:val="Norml"/>
    <w:uiPriority w:val="7"/>
    <w:rsid w:val="00A15E30"/>
    <w:rPr>
      <w:color w:val="4472C4" w:themeColor="accent5"/>
      <w:sz w:val="18"/>
    </w:rPr>
  </w:style>
  <w:style w:type="character" w:customStyle="1" w:styleId="BuborkszvegChar">
    <w:name w:val="Buborékszöveg Char"/>
    <w:basedOn w:val="Bekezdsalapbettpusa"/>
    <w:link w:val="Buborkszveg"/>
    <w:uiPriority w:val="99"/>
    <w:semiHidden/>
    <w:rsid w:val="00A15E30"/>
    <w:rPr>
      <w:rFonts w:ascii="Tahoma" w:eastAsiaTheme="minorHAnsi" w:hAnsi="Tahoma" w:cs="Tahoma"/>
      <w:sz w:val="16"/>
      <w:szCs w:val="16"/>
      <w:lang w:val="hu-HU" w:eastAsia="hu-HU"/>
    </w:rPr>
  </w:style>
  <w:style w:type="paragraph" w:styleId="lfej">
    <w:name w:val="header"/>
    <w:basedOn w:val="Norml"/>
    <w:link w:val="lfejChar"/>
    <w:uiPriority w:val="99"/>
    <w:unhideWhenUsed/>
    <w:rsid w:val="00A15E30"/>
    <w:pPr>
      <w:tabs>
        <w:tab w:val="center" w:pos="4536"/>
        <w:tab w:val="right" w:pos="9072"/>
      </w:tabs>
    </w:pPr>
  </w:style>
  <w:style w:type="character" w:customStyle="1" w:styleId="lfejChar">
    <w:name w:val="Élőfej Char"/>
    <w:basedOn w:val="Bekezdsalapbettpusa"/>
    <w:link w:val="lfej"/>
    <w:uiPriority w:val="99"/>
    <w:rsid w:val="00A15E30"/>
    <w:rPr>
      <w:rFonts w:ascii="Calibri" w:eastAsiaTheme="minorHAnsi" w:hAnsi="Calibri" w:cstheme="minorBidi"/>
      <w:lang w:val="hu-HU" w:eastAsia="hu-HU"/>
    </w:rPr>
  </w:style>
  <w:style w:type="paragraph" w:styleId="llb">
    <w:name w:val="footer"/>
    <w:basedOn w:val="Norml"/>
    <w:link w:val="llbChar"/>
    <w:uiPriority w:val="99"/>
    <w:unhideWhenUsed/>
    <w:rsid w:val="00A15E30"/>
    <w:pPr>
      <w:tabs>
        <w:tab w:val="center" w:pos="4536"/>
        <w:tab w:val="right" w:pos="9072"/>
      </w:tabs>
    </w:pPr>
  </w:style>
  <w:style w:type="character" w:customStyle="1" w:styleId="llbChar">
    <w:name w:val="Élőláb Char"/>
    <w:basedOn w:val="Bekezdsalapbettpusa"/>
    <w:link w:val="llb"/>
    <w:uiPriority w:val="99"/>
    <w:rsid w:val="00A15E30"/>
    <w:rPr>
      <w:rFonts w:ascii="Calibri" w:eastAsiaTheme="minorHAnsi" w:hAnsi="Calibri" w:cstheme="minorBidi"/>
      <w:lang w:val="hu-HU" w:eastAsia="hu-HU"/>
    </w:rPr>
  </w:style>
  <w:style w:type="paragraph" w:customStyle="1" w:styleId="Szmozs">
    <w:name w:val="Számozás"/>
    <w:basedOn w:val="Norml"/>
    <w:uiPriority w:val="4"/>
    <w:qFormat/>
    <w:rsid w:val="00A15E30"/>
    <w:pPr>
      <w:numPr>
        <w:numId w:val="4"/>
      </w:numPr>
      <w:spacing w:before="120"/>
      <w:contextualSpacing/>
    </w:pPr>
  </w:style>
  <w:style w:type="table" w:styleId="Rcsostblzat">
    <w:name w:val="Table Grid"/>
    <w:aliases w:val="Szegély nélküli"/>
    <w:basedOn w:val="Normltblzat"/>
    <w:uiPriority w:val="59"/>
    <w:rsid w:val="00A15E30"/>
    <w:pPr>
      <w:contextualSpacing/>
    </w:pPr>
    <w:rPr>
      <w:rFonts w:ascii="Calibri" w:eastAsiaTheme="minorHAnsi" w:hAnsi="Calibri" w:cstheme="minorBidi"/>
      <w:lang w:val="hu-HU" w:eastAsia="hu-HU"/>
    </w:rPr>
    <w:tblPr/>
    <w:tcPr>
      <w:vAlign w:val="center"/>
    </w:tcPr>
  </w:style>
  <w:style w:type="character" w:customStyle="1" w:styleId="Cmsor4Char">
    <w:name w:val="Címsor 4 Char"/>
    <w:basedOn w:val="Bekezdsalapbettpusa"/>
    <w:link w:val="Cmsor4"/>
    <w:rsid w:val="00A15E30"/>
    <w:rPr>
      <w:rFonts w:ascii="Calibri" w:eastAsiaTheme="minorHAnsi" w:hAnsi="Calibri" w:cstheme="minorBidi"/>
      <w:iCs/>
      <w:color w:val="44546A" w:themeColor="text2"/>
      <w:szCs w:val="30"/>
      <w:lang w:val="hu-HU" w:eastAsia="hu-HU"/>
    </w:rPr>
  </w:style>
  <w:style w:type="character" w:customStyle="1" w:styleId="Cmsor5Char">
    <w:name w:val="Címsor 5 Char"/>
    <w:basedOn w:val="Bekezdsalapbettpusa"/>
    <w:link w:val="Cmsor5"/>
    <w:rsid w:val="00A15E30"/>
    <w:rPr>
      <w:rFonts w:ascii="Calibri" w:eastAsiaTheme="minorHAnsi" w:hAnsi="Calibri" w:cstheme="minorBidi"/>
      <w:color w:val="44546A" w:themeColor="text2"/>
      <w:szCs w:val="26"/>
      <w:lang w:val="hu-HU" w:eastAsia="hu-HU"/>
    </w:rPr>
  </w:style>
  <w:style w:type="character" w:customStyle="1" w:styleId="Cmsor6Char">
    <w:name w:val="Címsor 6 Char"/>
    <w:basedOn w:val="Bekezdsalapbettpusa"/>
    <w:link w:val="Cmsor6"/>
    <w:rsid w:val="00A15E30"/>
    <w:rPr>
      <w:rFonts w:ascii="Calibri" w:eastAsiaTheme="minorHAnsi" w:hAnsi="Calibri" w:cstheme="minorBidi"/>
      <w:color w:val="44546A" w:themeColor="text2"/>
      <w:lang w:val="hu-HU" w:eastAsia="hu-HU"/>
    </w:rPr>
  </w:style>
  <w:style w:type="character" w:customStyle="1" w:styleId="Cmsor1Char">
    <w:name w:val="Címsor 1 Char"/>
    <w:basedOn w:val="Bekezdsalapbettpusa"/>
    <w:link w:val="Cmsor1"/>
    <w:rsid w:val="00A15E30"/>
    <w:rPr>
      <w:rFonts w:ascii="Calibri" w:eastAsiaTheme="majorEastAsia" w:hAnsi="Calibri" w:cstheme="majorBidi"/>
      <w:b/>
      <w:bCs/>
      <w:caps/>
      <w:color w:val="44546A" w:themeColor="text2"/>
      <w:sz w:val="24"/>
      <w:szCs w:val="42"/>
      <w:lang w:val="hu-HU" w:eastAsia="hu-HU"/>
    </w:rPr>
  </w:style>
  <w:style w:type="character" w:customStyle="1" w:styleId="Cmsor2Char">
    <w:name w:val="Címsor 2 Char"/>
    <w:basedOn w:val="Bekezdsalapbettpusa"/>
    <w:link w:val="Cmsor2"/>
    <w:rsid w:val="00A15E30"/>
    <w:rPr>
      <w:rFonts w:ascii="Calibri" w:eastAsiaTheme="minorHAnsi" w:hAnsi="Calibri" w:cstheme="minorBidi"/>
      <w:b/>
      <w:color w:val="44546A" w:themeColor="text2"/>
      <w:sz w:val="24"/>
      <w:szCs w:val="38"/>
      <w:lang w:val="hu-HU" w:eastAsia="hu-HU"/>
    </w:rPr>
  </w:style>
  <w:style w:type="character" w:customStyle="1" w:styleId="Cmsor3Char">
    <w:name w:val="Címsor 3 Char"/>
    <w:basedOn w:val="Bekezdsalapbettpusa"/>
    <w:link w:val="Cmsor3"/>
    <w:rsid w:val="00A15E30"/>
    <w:rPr>
      <w:rFonts w:ascii="Calibri" w:eastAsiaTheme="minorHAnsi" w:hAnsi="Calibri" w:cstheme="minorBidi"/>
      <w:bCs/>
      <w:color w:val="44546A" w:themeColor="text2"/>
      <w:szCs w:val="34"/>
      <w:lang w:val="hu-HU" w:eastAsia="hu-HU"/>
    </w:rPr>
  </w:style>
  <w:style w:type="paragraph" w:styleId="Cm">
    <w:name w:val="Title"/>
    <w:basedOn w:val="Norml"/>
    <w:next w:val="Norml"/>
    <w:link w:val="CmChar"/>
    <w:uiPriority w:val="3"/>
    <w:qFormat/>
    <w:rsid w:val="00A15E30"/>
    <w:pPr>
      <w:spacing w:after="300"/>
      <w:contextualSpacing/>
    </w:pPr>
    <w:rPr>
      <w:rFonts w:eastAsiaTheme="majorEastAsia" w:cstheme="majorBidi"/>
      <w:caps/>
      <w:color w:val="44546A" w:themeColor="text2"/>
      <w:spacing w:val="5"/>
      <w:kern w:val="28"/>
      <w:sz w:val="24"/>
      <w:szCs w:val="52"/>
    </w:rPr>
  </w:style>
  <w:style w:type="character" w:customStyle="1" w:styleId="CmChar">
    <w:name w:val="Cím Char"/>
    <w:basedOn w:val="Bekezdsalapbettpusa"/>
    <w:link w:val="Cm"/>
    <w:uiPriority w:val="3"/>
    <w:rsid w:val="00A15E30"/>
    <w:rPr>
      <w:rFonts w:ascii="Calibri" w:eastAsiaTheme="majorEastAsia" w:hAnsi="Calibri" w:cstheme="majorBidi"/>
      <w:caps/>
      <w:color w:val="44546A" w:themeColor="text2"/>
      <w:spacing w:val="5"/>
      <w:kern w:val="28"/>
      <w:sz w:val="24"/>
      <w:szCs w:val="52"/>
      <w:lang w:val="hu-HU" w:eastAsia="hu-HU"/>
    </w:rPr>
  </w:style>
  <w:style w:type="character" w:customStyle="1" w:styleId="Cmsor7Char">
    <w:name w:val="Címsor 7 Char"/>
    <w:basedOn w:val="Bekezdsalapbettpusa"/>
    <w:link w:val="Cmsor7"/>
    <w:uiPriority w:val="9"/>
    <w:semiHidden/>
    <w:rsid w:val="00A15E30"/>
    <w:rPr>
      <w:rFonts w:ascii="Calibri" w:eastAsiaTheme="majorEastAsia" w:hAnsi="Calibri" w:cstheme="majorBidi"/>
      <w:i/>
      <w:iCs/>
      <w:color w:val="404040" w:themeColor="text1" w:themeTint="BF"/>
      <w:lang w:val="hu-HU" w:eastAsia="hu-HU"/>
    </w:rPr>
  </w:style>
  <w:style w:type="character" w:customStyle="1" w:styleId="Cmsor8Char">
    <w:name w:val="Címsor 8 Char"/>
    <w:basedOn w:val="Bekezdsalapbettpusa"/>
    <w:link w:val="Cmsor8"/>
    <w:uiPriority w:val="9"/>
    <w:semiHidden/>
    <w:rsid w:val="00A15E30"/>
    <w:rPr>
      <w:rFonts w:ascii="Calibri" w:eastAsiaTheme="majorEastAsia" w:hAnsi="Calibri" w:cstheme="majorBidi"/>
      <w:color w:val="404040" w:themeColor="text1" w:themeTint="BF"/>
      <w:lang w:val="hu-HU" w:eastAsia="hu-HU"/>
    </w:rPr>
  </w:style>
  <w:style w:type="character" w:customStyle="1" w:styleId="Cmsor9Char">
    <w:name w:val="Címsor 9 Char"/>
    <w:basedOn w:val="Bekezdsalapbettpusa"/>
    <w:link w:val="Cmsor9"/>
    <w:uiPriority w:val="9"/>
    <w:semiHidden/>
    <w:rsid w:val="00A15E30"/>
    <w:rPr>
      <w:rFonts w:ascii="Calibri" w:eastAsiaTheme="majorEastAsia" w:hAnsi="Calibri" w:cstheme="majorBidi"/>
      <w:i/>
      <w:iCs/>
      <w:color w:val="404040" w:themeColor="text1" w:themeTint="BF"/>
      <w:lang w:val="hu-HU" w:eastAsia="hu-HU"/>
    </w:rPr>
  </w:style>
  <w:style w:type="numbering" w:customStyle="1" w:styleId="Style1">
    <w:name w:val="Style1"/>
    <w:uiPriority w:val="99"/>
    <w:rsid w:val="00A15E30"/>
    <w:pPr>
      <w:numPr>
        <w:numId w:val="1"/>
      </w:numPr>
    </w:pPr>
  </w:style>
  <w:style w:type="paragraph" w:styleId="TJ7">
    <w:name w:val="toc 7"/>
    <w:basedOn w:val="Norml"/>
    <w:next w:val="Norml"/>
    <w:autoRedefine/>
    <w:uiPriority w:val="99"/>
    <w:semiHidden/>
    <w:locked/>
    <w:rsid w:val="00A15E30"/>
    <w:pPr>
      <w:spacing w:after="100"/>
      <w:ind w:left="1200"/>
    </w:pPr>
    <w:rPr>
      <w:color w:val="385623" w:themeColor="accent6" w:themeShade="80"/>
    </w:rPr>
  </w:style>
  <w:style w:type="paragraph" w:styleId="TJ8">
    <w:name w:val="toc 8"/>
    <w:basedOn w:val="Norml"/>
    <w:next w:val="Norml"/>
    <w:autoRedefine/>
    <w:uiPriority w:val="99"/>
    <w:semiHidden/>
    <w:locked/>
    <w:rsid w:val="00A15E30"/>
    <w:pPr>
      <w:spacing w:after="100"/>
      <w:ind w:left="1400"/>
    </w:pPr>
    <w:rPr>
      <w:color w:val="385623" w:themeColor="accent6" w:themeShade="80"/>
    </w:rPr>
  </w:style>
  <w:style w:type="paragraph" w:styleId="TJ9">
    <w:name w:val="toc 9"/>
    <w:basedOn w:val="Norml"/>
    <w:next w:val="Norml"/>
    <w:autoRedefine/>
    <w:uiPriority w:val="99"/>
    <w:semiHidden/>
    <w:locked/>
    <w:rsid w:val="00A15E30"/>
    <w:pPr>
      <w:spacing w:after="100"/>
      <w:ind w:left="1600"/>
    </w:pPr>
    <w:rPr>
      <w:color w:val="385623" w:themeColor="accent6" w:themeShade="80"/>
    </w:rPr>
  </w:style>
  <w:style w:type="table" w:customStyle="1" w:styleId="Calendar2">
    <w:name w:val="Calendar 2"/>
    <w:basedOn w:val="Normltblzat"/>
    <w:uiPriority w:val="99"/>
    <w:qFormat/>
    <w:rsid w:val="00A15E30"/>
    <w:pPr>
      <w:jc w:val="center"/>
    </w:pPr>
    <w:rPr>
      <w:rFonts w:ascii="Calibri" w:eastAsiaTheme="minorEastAsia" w:hAnsi="Calibri" w:cstheme="minorBidi"/>
      <w:szCs w:val="28"/>
      <w:lang w:bidi="en-US"/>
    </w:rPr>
    <w:tblPr>
      <w:tblBorders>
        <w:insideV w:val="single" w:sz="4" w:space="0" w:color="9CC2E5" w:themeColor="accent1" w:themeTint="99"/>
      </w:tblBorders>
    </w:tblPr>
    <w:tblStylePr w:type="firstRow">
      <w:rPr>
        <w:rFonts w:asciiTheme="majorHAnsi" w:eastAsiaTheme="majorEastAsia" w:hAnsiTheme="majorHAnsi" w:cstheme="majorBidi"/>
        <w:caps/>
        <w:color w:val="5B9BD5" w:themeColor="accent1"/>
        <w:spacing w:val="20"/>
        <w:sz w:val="32"/>
        <w:szCs w:val="32"/>
      </w:rPr>
      <w:tblPr/>
      <w:tcPr>
        <w:tcBorders>
          <w:top w:val="nil"/>
          <w:left w:val="nil"/>
          <w:bottom w:val="nil"/>
          <w:right w:val="nil"/>
          <w:insideH w:val="nil"/>
          <w:insideV w:val="nil"/>
          <w:tl2br w:val="nil"/>
          <w:tr2bl w:val="nil"/>
        </w:tcBorders>
      </w:tcPr>
    </w:tblStylePr>
  </w:style>
  <w:style w:type="paragraph" w:styleId="Lbjegyzetszveg">
    <w:name w:val="footnote text"/>
    <w:basedOn w:val="Norml"/>
    <w:link w:val="LbjegyzetszvegChar"/>
    <w:uiPriority w:val="99"/>
    <w:unhideWhenUsed/>
    <w:qFormat/>
    <w:rsid w:val="00A15E30"/>
    <w:rPr>
      <w:rFonts w:eastAsiaTheme="minorEastAsia"/>
      <w:color w:val="44546A" w:themeColor="text2"/>
      <w:sz w:val="16"/>
    </w:rPr>
  </w:style>
  <w:style w:type="character" w:customStyle="1" w:styleId="LbjegyzetszvegChar">
    <w:name w:val="Lábjegyzetszöveg Char"/>
    <w:basedOn w:val="Bekezdsalapbettpusa"/>
    <w:link w:val="Lbjegyzetszveg"/>
    <w:uiPriority w:val="99"/>
    <w:rsid w:val="00A15E30"/>
    <w:rPr>
      <w:rFonts w:ascii="Calibri" w:eastAsiaTheme="minorEastAsia" w:hAnsi="Calibri" w:cstheme="minorBidi"/>
      <w:color w:val="44546A" w:themeColor="text2"/>
      <w:sz w:val="16"/>
      <w:lang w:val="hu-HU" w:eastAsia="hu-HU"/>
    </w:rPr>
  </w:style>
  <w:style w:type="character" w:styleId="Finomkiemels">
    <w:name w:val="Subtle Emphasis"/>
    <w:basedOn w:val="Bekezdsalapbettpusa"/>
    <w:uiPriority w:val="19"/>
    <w:qFormat/>
    <w:rsid w:val="00A15E30"/>
    <w:rPr>
      <w:rFonts w:ascii="Calibri" w:eastAsiaTheme="minorEastAsia" w:hAnsi="Calibri" w:cstheme="minorBidi"/>
      <w:bCs w:val="0"/>
      <w:i/>
      <w:iCs/>
      <w:color w:val="808080" w:themeColor="text1" w:themeTint="7F"/>
      <w:sz w:val="20"/>
      <w:szCs w:val="22"/>
      <w:lang w:val="hu-HU"/>
    </w:rPr>
  </w:style>
  <w:style w:type="table" w:customStyle="1" w:styleId="LightShading-Accent11">
    <w:name w:val="Light Shading - Accent 11"/>
    <w:basedOn w:val="Normltblzat"/>
    <w:uiPriority w:val="60"/>
    <w:rsid w:val="00A15E30"/>
    <w:rPr>
      <w:rFonts w:ascii="Calibri" w:eastAsiaTheme="minorEastAsia" w:hAnsi="Calibri" w:cstheme="minorBidi"/>
      <w:color w:val="2E74B5" w:themeColor="accent1" w:themeShade="BF"/>
      <w:lang w:val="hu-HU"/>
    </w:rPr>
    <w:tblPr>
      <w:tblStyleRowBandSize w:val="1"/>
      <w:tblStyleColBandSize w:val="1"/>
      <w:tblBorders>
        <w:top w:val="single" w:sz="8" w:space="0" w:color="5B9BD5" w:themeColor="accent1"/>
        <w:bottom w:val="single" w:sz="8" w:space="0" w:color="5B9BD5" w:themeColor="accent1"/>
      </w:tblBorders>
    </w:tblPr>
    <w:tblStylePr w:type="firstRow">
      <w:pPr>
        <w:spacing w:before="0" w:after="0" w:line="240" w:lineRule="auto"/>
      </w:pPr>
      <w:rPr>
        <w:b/>
        <w:bCs/>
      </w:rPr>
      <w:tblPr/>
      <w:tcPr>
        <w:tcBorders>
          <w:top w:val="single" w:sz="8" w:space="0" w:color="5B9BD5" w:themeColor="accent1"/>
          <w:left w:val="nil"/>
          <w:bottom w:val="single" w:sz="8" w:space="0" w:color="5B9BD5" w:themeColor="accent1"/>
          <w:right w:val="nil"/>
          <w:insideH w:val="nil"/>
          <w:insideV w:val="nil"/>
        </w:tcBorders>
      </w:tcPr>
    </w:tblStylePr>
    <w:tblStylePr w:type="lastRow">
      <w:pPr>
        <w:spacing w:before="0" w:after="0" w:line="240" w:lineRule="auto"/>
      </w:pPr>
      <w:rPr>
        <w:b/>
        <w:bCs/>
      </w:rPr>
      <w:tblPr/>
      <w:tcPr>
        <w:tcBorders>
          <w:top w:val="single" w:sz="8" w:space="0" w:color="5B9BD5" w:themeColor="accent1"/>
          <w:left w:val="nil"/>
          <w:bottom w:val="single" w:sz="8" w:space="0" w:color="5B9BD5"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6E6F4" w:themeFill="accent1" w:themeFillTint="3F"/>
      </w:tcPr>
    </w:tblStylePr>
    <w:tblStylePr w:type="band1Horz">
      <w:tblPr/>
      <w:tcPr>
        <w:tcBorders>
          <w:left w:val="nil"/>
          <w:right w:val="nil"/>
          <w:insideH w:val="nil"/>
          <w:insideV w:val="nil"/>
        </w:tcBorders>
        <w:shd w:val="clear" w:color="auto" w:fill="D6E6F4" w:themeFill="accent1" w:themeFillTint="3F"/>
      </w:tcPr>
    </w:tblStylePr>
  </w:style>
  <w:style w:type="paragraph" w:styleId="Kpalrs">
    <w:name w:val="caption"/>
    <w:basedOn w:val="Norml"/>
    <w:next w:val="Norml"/>
    <w:uiPriority w:val="35"/>
    <w:unhideWhenUsed/>
    <w:qFormat/>
    <w:rsid w:val="00A15E30"/>
    <w:pPr>
      <w:spacing w:after="200"/>
      <w:jc w:val="left"/>
    </w:pPr>
    <w:rPr>
      <w:b/>
      <w:bCs/>
      <w:color w:val="808080"/>
      <w:sz w:val="18"/>
      <w:szCs w:val="18"/>
    </w:rPr>
  </w:style>
  <w:style w:type="paragraph" w:styleId="Vgjegyzetszvege">
    <w:name w:val="endnote text"/>
    <w:basedOn w:val="Norml"/>
    <w:link w:val="VgjegyzetszvegeChar"/>
    <w:uiPriority w:val="99"/>
    <w:semiHidden/>
    <w:unhideWhenUsed/>
    <w:rsid w:val="00A15E30"/>
    <w:rPr>
      <w:color w:val="385623" w:themeColor="accent6" w:themeShade="80"/>
    </w:rPr>
  </w:style>
  <w:style w:type="character" w:customStyle="1" w:styleId="VgjegyzetszvegeChar">
    <w:name w:val="Végjegyzet szövege Char"/>
    <w:basedOn w:val="Bekezdsalapbettpusa"/>
    <w:link w:val="Vgjegyzetszvege"/>
    <w:uiPriority w:val="99"/>
    <w:semiHidden/>
    <w:rsid w:val="00A15E30"/>
    <w:rPr>
      <w:rFonts w:ascii="Calibri" w:eastAsiaTheme="minorHAnsi" w:hAnsi="Calibri" w:cstheme="minorBidi"/>
      <w:color w:val="385623" w:themeColor="accent6" w:themeShade="80"/>
      <w:lang w:val="hu-HU" w:eastAsia="hu-HU"/>
    </w:rPr>
  </w:style>
  <w:style w:type="table" w:customStyle="1" w:styleId="Vilgosrnykols1jellszn1">
    <w:name w:val="Világos árnyékolás – 1. jelölőszín1"/>
    <w:basedOn w:val="Normltblzat"/>
    <w:uiPriority w:val="60"/>
    <w:rsid w:val="00A15E30"/>
    <w:rPr>
      <w:rFonts w:ascii="Calibri" w:eastAsiaTheme="minorHAnsi" w:hAnsi="Calibri" w:cstheme="minorBidi"/>
      <w:color w:val="2E74B5" w:themeColor="accent1" w:themeShade="BF"/>
      <w:lang w:val="hu-HU" w:eastAsia="hu-HU"/>
    </w:rPr>
    <w:tblPr>
      <w:tblStyleRowBandSize w:val="1"/>
      <w:tblStyleColBandSize w:val="1"/>
      <w:tblBorders>
        <w:top w:val="single" w:sz="8" w:space="0" w:color="5B9BD5" w:themeColor="accent1"/>
        <w:bottom w:val="single" w:sz="8" w:space="0" w:color="5B9BD5" w:themeColor="accent1"/>
      </w:tblBorders>
    </w:tblPr>
    <w:tblStylePr w:type="firstRow">
      <w:pPr>
        <w:spacing w:before="0" w:after="0" w:line="240" w:lineRule="auto"/>
      </w:pPr>
      <w:rPr>
        <w:b/>
        <w:bCs/>
      </w:rPr>
      <w:tblPr/>
      <w:tcPr>
        <w:tcBorders>
          <w:top w:val="single" w:sz="8" w:space="0" w:color="5B9BD5" w:themeColor="accent1"/>
          <w:left w:val="nil"/>
          <w:bottom w:val="single" w:sz="8" w:space="0" w:color="5B9BD5" w:themeColor="accent1"/>
          <w:right w:val="nil"/>
          <w:insideH w:val="nil"/>
          <w:insideV w:val="nil"/>
        </w:tcBorders>
      </w:tcPr>
    </w:tblStylePr>
    <w:tblStylePr w:type="lastRow">
      <w:pPr>
        <w:spacing w:before="0" w:after="0" w:line="240" w:lineRule="auto"/>
      </w:pPr>
      <w:rPr>
        <w:b/>
        <w:bCs/>
      </w:rPr>
      <w:tblPr/>
      <w:tcPr>
        <w:tcBorders>
          <w:top w:val="single" w:sz="8" w:space="0" w:color="5B9BD5" w:themeColor="accent1"/>
          <w:left w:val="nil"/>
          <w:bottom w:val="single" w:sz="8" w:space="0" w:color="5B9BD5"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6E6F4" w:themeFill="accent1" w:themeFillTint="3F"/>
      </w:tcPr>
    </w:tblStylePr>
    <w:tblStylePr w:type="band1Horz">
      <w:tblPr/>
      <w:tcPr>
        <w:tcBorders>
          <w:left w:val="nil"/>
          <w:right w:val="nil"/>
          <w:insideH w:val="nil"/>
          <w:insideV w:val="nil"/>
        </w:tcBorders>
        <w:shd w:val="clear" w:color="auto" w:fill="D6E6F4" w:themeFill="accent1" w:themeFillTint="3F"/>
      </w:tcPr>
    </w:tblStylePr>
  </w:style>
  <w:style w:type="paragraph" w:customStyle="1" w:styleId="Listaszerbekezds2">
    <w:name w:val="Listaszerű bekezdés 2"/>
    <w:basedOn w:val="Listaszerbekezds"/>
    <w:link w:val="Listaszerbekezds2Char"/>
    <w:uiPriority w:val="4"/>
    <w:qFormat/>
    <w:rsid w:val="00A15E30"/>
    <w:pPr>
      <w:numPr>
        <w:numId w:val="5"/>
      </w:numPr>
    </w:pPr>
  </w:style>
  <w:style w:type="paragraph" w:customStyle="1" w:styleId="Tblaszvegstlus">
    <w:name w:val="Tábla szöveg stílus"/>
    <w:basedOn w:val="Norml"/>
    <w:link w:val="TblaszvegstlusChar"/>
    <w:uiPriority w:val="8"/>
    <w:qFormat/>
    <w:rsid w:val="00A15E30"/>
  </w:style>
  <w:style w:type="character" w:customStyle="1" w:styleId="ListaszerbekezdsChar">
    <w:name w:val="Listaszerű bekezdés Char"/>
    <w:basedOn w:val="Bekezdsalapbettpusa"/>
    <w:link w:val="Listaszerbekezds"/>
    <w:uiPriority w:val="4"/>
    <w:rsid w:val="00A15E30"/>
    <w:rPr>
      <w:rFonts w:ascii="Calibri" w:eastAsiaTheme="minorHAnsi" w:hAnsi="Calibri" w:cstheme="minorBidi"/>
      <w:lang w:val="hu-HU" w:eastAsia="hu-HU"/>
    </w:rPr>
  </w:style>
  <w:style w:type="character" w:customStyle="1" w:styleId="Listaszerbekezds2Char">
    <w:name w:val="Listaszerű bekezdés 2 Char"/>
    <w:basedOn w:val="ListaszerbekezdsChar"/>
    <w:link w:val="Listaszerbekezds2"/>
    <w:uiPriority w:val="4"/>
    <w:rsid w:val="00A15E30"/>
    <w:rPr>
      <w:rFonts w:ascii="Calibri" w:eastAsiaTheme="minorHAnsi" w:hAnsi="Calibri" w:cstheme="minorBidi"/>
      <w:lang w:val="hu-HU" w:eastAsia="hu-HU"/>
    </w:rPr>
  </w:style>
  <w:style w:type="character" w:customStyle="1" w:styleId="TblaszvegstlusChar">
    <w:name w:val="Tábla szöveg stílus Char"/>
    <w:basedOn w:val="Bekezdsalapbettpusa"/>
    <w:link w:val="Tblaszvegstlus"/>
    <w:uiPriority w:val="8"/>
    <w:rsid w:val="00A15E30"/>
    <w:rPr>
      <w:rFonts w:ascii="Calibri" w:eastAsiaTheme="minorHAnsi" w:hAnsi="Calibri" w:cstheme="minorBidi"/>
      <w:lang w:val="hu-HU" w:eastAsia="hu-HU"/>
    </w:rPr>
  </w:style>
  <w:style w:type="character" w:styleId="Finomhivatkozs">
    <w:name w:val="Subtle Reference"/>
    <w:basedOn w:val="Bekezdsalapbettpusa"/>
    <w:uiPriority w:val="31"/>
    <w:rsid w:val="00A15E30"/>
    <w:rPr>
      <w:sz w:val="24"/>
      <w:szCs w:val="24"/>
      <w:u w:val="single"/>
    </w:rPr>
  </w:style>
  <w:style w:type="character" w:styleId="Ershivatkozs">
    <w:name w:val="Intense Reference"/>
    <w:basedOn w:val="Bekezdsalapbettpusa"/>
    <w:uiPriority w:val="32"/>
    <w:rsid w:val="00A15E30"/>
    <w:rPr>
      <w:b/>
      <w:sz w:val="24"/>
      <w:u w:val="single"/>
    </w:rPr>
  </w:style>
  <w:style w:type="paragraph" w:customStyle="1" w:styleId="Listaszerbekezds2szint">
    <w:name w:val="Listaszerű bekezdés 2. szint"/>
    <w:basedOn w:val="Listaszerbekezds"/>
    <w:link w:val="Listaszerbekezds2szintChar"/>
    <w:uiPriority w:val="4"/>
    <w:qFormat/>
    <w:rsid w:val="00A15E30"/>
    <w:pPr>
      <w:numPr>
        <w:numId w:val="8"/>
      </w:numPr>
    </w:pPr>
  </w:style>
  <w:style w:type="paragraph" w:customStyle="1" w:styleId="Listaszerbekezds3szint">
    <w:name w:val="Listaszerű bekezdés 3. szint"/>
    <w:basedOn w:val="Listaszerbekezds"/>
    <w:link w:val="Listaszerbekezds3szintChar"/>
    <w:uiPriority w:val="4"/>
    <w:qFormat/>
    <w:rsid w:val="00A15E30"/>
    <w:pPr>
      <w:numPr>
        <w:ilvl w:val="2"/>
        <w:numId w:val="28"/>
      </w:numPr>
    </w:pPr>
  </w:style>
  <w:style w:type="character" w:customStyle="1" w:styleId="Listaszerbekezds2szintChar">
    <w:name w:val="Listaszerű bekezdés 2. szint Char"/>
    <w:basedOn w:val="ListaszerbekezdsChar"/>
    <w:link w:val="Listaszerbekezds2szint"/>
    <w:uiPriority w:val="4"/>
    <w:rsid w:val="00A15E30"/>
    <w:rPr>
      <w:rFonts w:ascii="Calibri" w:eastAsiaTheme="minorHAnsi" w:hAnsi="Calibri" w:cstheme="minorBidi"/>
      <w:lang w:val="hu-HU" w:eastAsia="hu-HU"/>
    </w:rPr>
  </w:style>
  <w:style w:type="character" w:customStyle="1" w:styleId="Listaszerbekezds3szintChar">
    <w:name w:val="Listaszerű bekezdés 3. szint Char"/>
    <w:basedOn w:val="ListaszerbekezdsChar"/>
    <w:link w:val="Listaszerbekezds3szint"/>
    <w:uiPriority w:val="4"/>
    <w:rsid w:val="00A15E30"/>
    <w:rPr>
      <w:rFonts w:ascii="Calibri" w:eastAsiaTheme="minorHAnsi" w:hAnsi="Calibri" w:cstheme="minorBidi"/>
      <w:lang w:val="hu-HU" w:eastAsia="hu-HU"/>
    </w:rPr>
  </w:style>
  <w:style w:type="paragraph" w:styleId="Alcm">
    <w:name w:val="Subtitle"/>
    <w:basedOn w:val="Norml"/>
    <w:next w:val="Norml"/>
    <w:link w:val="AlcmChar"/>
    <w:uiPriority w:val="11"/>
    <w:rsid w:val="00A15E30"/>
    <w:pPr>
      <w:spacing w:after="60"/>
      <w:jc w:val="center"/>
      <w:outlineLvl w:val="1"/>
    </w:pPr>
    <w:rPr>
      <w:rFonts w:eastAsiaTheme="majorEastAsia" w:cstheme="majorBidi"/>
    </w:rPr>
  </w:style>
  <w:style w:type="character" w:customStyle="1" w:styleId="AlcmChar">
    <w:name w:val="Alcím Char"/>
    <w:basedOn w:val="Bekezdsalapbettpusa"/>
    <w:link w:val="Alcm"/>
    <w:uiPriority w:val="11"/>
    <w:rsid w:val="00A15E30"/>
    <w:rPr>
      <w:rFonts w:ascii="Calibri" w:eastAsiaTheme="majorEastAsia" w:hAnsi="Calibri" w:cstheme="majorBidi"/>
      <w:lang w:val="hu-HU" w:eastAsia="hu-HU"/>
    </w:rPr>
  </w:style>
  <w:style w:type="paragraph" w:customStyle="1" w:styleId="Listabetvel">
    <w:name w:val="Lista betűvel"/>
    <w:basedOn w:val="Listaszerbekezds"/>
    <w:link w:val="ListabetvelChar"/>
    <w:uiPriority w:val="4"/>
    <w:qFormat/>
    <w:rsid w:val="00A15E30"/>
    <w:pPr>
      <w:numPr>
        <w:numId w:val="7"/>
      </w:numPr>
    </w:pPr>
  </w:style>
  <w:style w:type="character" w:customStyle="1" w:styleId="ListabetvelChar">
    <w:name w:val="Lista betűvel Char"/>
    <w:basedOn w:val="ListaszerbekezdsChar"/>
    <w:link w:val="Listabetvel"/>
    <w:uiPriority w:val="4"/>
    <w:rsid w:val="00A15E30"/>
    <w:rPr>
      <w:rFonts w:ascii="Calibri" w:eastAsiaTheme="minorHAnsi" w:hAnsi="Calibri" w:cstheme="minorBidi"/>
      <w:lang w:val="hu-HU" w:eastAsia="hu-HU"/>
    </w:rPr>
  </w:style>
  <w:style w:type="paragraph" w:customStyle="1" w:styleId="Erskiemels1">
    <w:name w:val="Erős kiemelés1"/>
    <w:basedOn w:val="Norml"/>
    <w:link w:val="ErskiemelsChar"/>
    <w:uiPriority w:val="5"/>
    <w:qFormat/>
    <w:rsid w:val="00A15E30"/>
    <w:rPr>
      <w:b/>
      <w:i/>
    </w:rPr>
  </w:style>
  <w:style w:type="character" w:customStyle="1" w:styleId="ErskiemelsChar">
    <w:name w:val="Erős kiemelés Char"/>
    <w:basedOn w:val="Bekezdsalapbettpusa"/>
    <w:link w:val="Erskiemels1"/>
    <w:uiPriority w:val="5"/>
    <w:rsid w:val="00A15E30"/>
    <w:rPr>
      <w:rFonts w:ascii="Calibri" w:eastAsiaTheme="minorHAnsi" w:hAnsi="Calibri" w:cstheme="minorBidi"/>
      <w:b/>
      <w:i/>
      <w:lang w:val="hu-HU" w:eastAsia="hu-HU"/>
    </w:rPr>
  </w:style>
  <w:style w:type="paragraph" w:customStyle="1" w:styleId="Bold">
    <w:name w:val="Bold"/>
    <w:basedOn w:val="Norml"/>
    <w:link w:val="BoldChar"/>
    <w:uiPriority w:val="6"/>
    <w:qFormat/>
    <w:rsid w:val="00A15E30"/>
    <w:rPr>
      <w:b/>
    </w:rPr>
  </w:style>
  <w:style w:type="character" w:customStyle="1" w:styleId="BoldChar">
    <w:name w:val="Bold Char"/>
    <w:basedOn w:val="Bekezdsalapbettpusa"/>
    <w:link w:val="Bold"/>
    <w:uiPriority w:val="6"/>
    <w:rsid w:val="00A15E30"/>
    <w:rPr>
      <w:rFonts w:ascii="Calibri" w:eastAsiaTheme="minorHAnsi" w:hAnsi="Calibri" w:cstheme="minorBidi"/>
      <w:b/>
      <w:lang w:val="hu-HU" w:eastAsia="hu-HU"/>
    </w:rPr>
  </w:style>
  <w:style w:type="character" w:styleId="Mrltotthiperhivatkozs">
    <w:name w:val="FollowedHyperlink"/>
    <w:basedOn w:val="Bekezdsalapbettpusa"/>
    <w:uiPriority w:val="99"/>
    <w:semiHidden/>
    <w:unhideWhenUsed/>
    <w:rsid w:val="00A15E30"/>
    <w:rPr>
      <w:color w:val="954F72" w:themeColor="followedHyperlink"/>
      <w:u w:val="single"/>
    </w:rPr>
  </w:style>
  <w:style w:type="paragraph" w:styleId="Tartalomjegyzkcmsora">
    <w:name w:val="TOC Heading"/>
    <w:basedOn w:val="Cmsor1"/>
    <w:next w:val="Norml"/>
    <w:uiPriority w:val="39"/>
    <w:unhideWhenUsed/>
    <w:qFormat/>
    <w:rsid w:val="00A15E30"/>
    <w:pPr>
      <w:numPr>
        <w:numId w:val="0"/>
      </w:numPr>
      <w:spacing w:after="0"/>
      <w:outlineLvl w:val="9"/>
    </w:pPr>
    <w:rPr>
      <w:b w:val="0"/>
      <w:caps w:val="0"/>
      <w:szCs w:val="28"/>
    </w:rPr>
  </w:style>
  <w:style w:type="paragraph" w:styleId="TJ2">
    <w:name w:val="toc 2"/>
    <w:basedOn w:val="Norml"/>
    <w:next w:val="Norml"/>
    <w:autoRedefine/>
    <w:uiPriority w:val="39"/>
    <w:unhideWhenUsed/>
    <w:qFormat/>
    <w:locked/>
    <w:rsid w:val="00A15E30"/>
    <w:pPr>
      <w:spacing w:after="100"/>
      <w:ind w:left="220"/>
      <w:jc w:val="left"/>
    </w:pPr>
    <w:rPr>
      <w:rFonts w:eastAsiaTheme="minorEastAsia"/>
    </w:rPr>
  </w:style>
  <w:style w:type="paragraph" w:styleId="TJ1">
    <w:name w:val="toc 1"/>
    <w:basedOn w:val="Norml"/>
    <w:next w:val="Norml"/>
    <w:autoRedefine/>
    <w:uiPriority w:val="39"/>
    <w:unhideWhenUsed/>
    <w:qFormat/>
    <w:locked/>
    <w:rsid w:val="00A15E30"/>
    <w:pPr>
      <w:spacing w:after="100"/>
      <w:jc w:val="left"/>
    </w:pPr>
    <w:rPr>
      <w:rFonts w:eastAsiaTheme="minorEastAsia"/>
    </w:rPr>
  </w:style>
  <w:style w:type="paragraph" w:styleId="TJ3">
    <w:name w:val="toc 3"/>
    <w:basedOn w:val="Norml"/>
    <w:next w:val="Norml"/>
    <w:uiPriority w:val="39"/>
    <w:unhideWhenUsed/>
    <w:qFormat/>
    <w:locked/>
    <w:rsid w:val="00A15E30"/>
    <w:pPr>
      <w:spacing w:after="100"/>
      <w:ind w:left="400"/>
    </w:pPr>
  </w:style>
  <w:style w:type="paragraph" w:customStyle="1" w:styleId="StyleTOC2Left015">
    <w:name w:val="Style TOC 2 + Left:  0.15&quot;"/>
    <w:basedOn w:val="TJ2"/>
    <w:rsid w:val="00A15E30"/>
    <w:pPr>
      <w:ind w:left="216"/>
    </w:pPr>
    <w:rPr>
      <w:rFonts w:eastAsia="Times New Roman" w:cs="Times New Roman"/>
    </w:rPr>
  </w:style>
  <w:style w:type="paragraph" w:customStyle="1" w:styleId="StyleTOC3Left031">
    <w:name w:val="Style TOC 3 + Left:  0.31&quot;"/>
    <w:basedOn w:val="TJ3"/>
    <w:rsid w:val="00A15E30"/>
    <w:pPr>
      <w:ind w:left="446"/>
    </w:pPr>
    <w:rPr>
      <w:rFonts w:eastAsia="Times New Roman" w:cs="Times New Roman"/>
    </w:rPr>
  </w:style>
  <w:style w:type="numbering" w:customStyle="1" w:styleId="Hierarchikuslista">
    <w:name w:val="Hierarchikus lista"/>
    <w:uiPriority w:val="99"/>
    <w:rsid w:val="00A15E30"/>
    <w:pPr>
      <w:numPr>
        <w:numId w:val="2"/>
      </w:numPr>
    </w:pPr>
  </w:style>
  <w:style w:type="paragraph" w:customStyle="1" w:styleId="HierarchikusLista0">
    <w:name w:val="Hierarchikus Lista"/>
    <w:basedOn w:val="Listaszerbekezds"/>
    <w:link w:val="HierarchikusListaChar"/>
    <w:qFormat/>
    <w:rsid w:val="00A15E30"/>
    <w:pPr>
      <w:numPr>
        <w:numId w:val="0"/>
      </w:numPr>
    </w:pPr>
  </w:style>
  <w:style w:type="character" w:customStyle="1" w:styleId="HierarchikusListaChar">
    <w:name w:val="Hierarchikus Lista Char"/>
    <w:basedOn w:val="ListaszerbekezdsChar"/>
    <w:link w:val="HierarchikusLista0"/>
    <w:rsid w:val="00A15E30"/>
    <w:rPr>
      <w:rFonts w:ascii="Calibri" w:eastAsiaTheme="minorHAnsi" w:hAnsi="Calibri" w:cstheme="minorBidi"/>
      <w:lang w:val="hu-HU" w:eastAsia="hu-HU"/>
    </w:rPr>
  </w:style>
  <w:style w:type="character" w:styleId="Kiemels2">
    <w:name w:val="Strong"/>
    <w:basedOn w:val="Bekezdsalapbettpusa"/>
    <w:uiPriority w:val="22"/>
    <w:rsid w:val="00A15E30"/>
    <w:rPr>
      <w:b/>
      <w:bCs/>
    </w:rPr>
  </w:style>
  <w:style w:type="character" w:styleId="Kiemels">
    <w:name w:val="Emphasis"/>
    <w:basedOn w:val="Bekezdsalapbettpusa"/>
    <w:uiPriority w:val="6"/>
    <w:qFormat/>
    <w:rsid w:val="00A15E30"/>
    <w:rPr>
      <w:i/>
      <w:iCs/>
    </w:rPr>
  </w:style>
  <w:style w:type="paragraph" w:styleId="Nincstrkz">
    <w:name w:val="No Spacing"/>
    <w:basedOn w:val="Norml"/>
    <w:uiPriority w:val="1"/>
    <w:rsid w:val="00A15E30"/>
    <w:rPr>
      <w:szCs w:val="32"/>
    </w:rPr>
  </w:style>
  <w:style w:type="paragraph" w:styleId="Idzet">
    <w:name w:val="Quote"/>
    <w:basedOn w:val="Norml"/>
    <w:next w:val="Norml"/>
    <w:link w:val="IdzetChar"/>
    <w:uiPriority w:val="29"/>
    <w:rsid w:val="00A15E30"/>
    <w:rPr>
      <w:i/>
    </w:rPr>
  </w:style>
  <w:style w:type="character" w:customStyle="1" w:styleId="IdzetChar">
    <w:name w:val="Idézet Char"/>
    <w:basedOn w:val="Bekezdsalapbettpusa"/>
    <w:link w:val="Idzet"/>
    <w:uiPriority w:val="29"/>
    <w:rsid w:val="00A15E30"/>
    <w:rPr>
      <w:rFonts w:ascii="Calibri" w:eastAsiaTheme="minorHAnsi" w:hAnsi="Calibri" w:cstheme="minorBidi"/>
      <w:i/>
      <w:lang w:val="hu-HU" w:eastAsia="hu-HU"/>
    </w:rPr>
  </w:style>
  <w:style w:type="paragraph" w:styleId="Kiemeltidzet">
    <w:name w:val="Intense Quote"/>
    <w:basedOn w:val="Norml"/>
    <w:next w:val="Norml"/>
    <w:link w:val="KiemeltidzetChar"/>
    <w:uiPriority w:val="30"/>
    <w:rsid w:val="00A15E30"/>
    <w:pPr>
      <w:ind w:left="720" w:right="720"/>
    </w:pPr>
    <w:rPr>
      <w:b/>
      <w:i/>
    </w:rPr>
  </w:style>
  <w:style w:type="character" w:customStyle="1" w:styleId="KiemeltidzetChar">
    <w:name w:val="Kiemelt idézet Char"/>
    <w:basedOn w:val="Bekezdsalapbettpusa"/>
    <w:link w:val="Kiemeltidzet"/>
    <w:uiPriority w:val="30"/>
    <w:rsid w:val="00A15E30"/>
    <w:rPr>
      <w:rFonts w:ascii="Calibri" w:eastAsiaTheme="minorHAnsi" w:hAnsi="Calibri" w:cstheme="minorBidi"/>
      <w:b/>
      <w:i/>
      <w:lang w:val="hu-HU" w:eastAsia="hu-HU"/>
    </w:rPr>
  </w:style>
  <w:style w:type="character" w:styleId="Erskiemels">
    <w:name w:val="Intense Emphasis"/>
    <w:basedOn w:val="Bekezdsalapbettpusa"/>
    <w:uiPriority w:val="21"/>
    <w:rsid w:val="00A15E30"/>
    <w:rPr>
      <w:b/>
      <w:i/>
      <w:sz w:val="24"/>
      <w:szCs w:val="24"/>
      <w:u w:val="single"/>
    </w:rPr>
  </w:style>
  <w:style w:type="character" w:styleId="Knyvcme">
    <w:name w:val="Book Title"/>
    <w:basedOn w:val="Bekezdsalapbettpusa"/>
    <w:uiPriority w:val="33"/>
    <w:rsid w:val="00A15E30"/>
    <w:rPr>
      <w:rFonts w:ascii="Calibri" w:eastAsiaTheme="majorEastAsia" w:hAnsi="Calibri"/>
      <w:b/>
      <w:i/>
      <w:sz w:val="24"/>
      <w:szCs w:val="24"/>
    </w:rPr>
  </w:style>
  <w:style w:type="paragraph" w:customStyle="1" w:styleId="Szvegdobozstlus">
    <w:name w:val="Szövegdoboz stílus"/>
    <w:basedOn w:val="HierarchikusLista0"/>
    <w:qFormat/>
    <w:rsid w:val="00A15E30"/>
    <w:rPr>
      <w:b/>
      <w:i/>
      <w:color w:val="009EE0"/>
    </w:rPr>
  </w:style>
  <w:style w:type="table" w:customStyle="1" w:styleId="Rcsos">
    <w:name w:val="Rácsos"/>
    <w:basedOn w:val="Normltblzat"/>
    <w:uiPriority w:val="99"/>
    <w:rsid w:val="00A15E30"/>
    <w:rPr>
      <w:rFonts w:asciiTheme="majorHAnsi" w:eastAsiaTheme="minorHAnsi" w:hAnsiTheme="majorHAnsi" w:cstheme="minorBidi"/>
      <w:color w:val="4472C4" w:themeColor="accent5"/>
      <w:lang w:val="hu-HU" w:eastAsia="hu-HU"/>
    </w:rPr>
    <w:tblPr>
      <w:tblStyleRowBandSize w:val="1"/>
      <w:tblStyleColBandSize w:val="1"/>
      <w:tblBorders>
        <w:top w:val="single" w:sz="4" w:space="0" w:color="4472C4" w:themeColor="accent5"/>
        <w:left w:val="single" w:sz="4" w:space="0" w:color="4472C4" w:themeColor="accent5"/>
        <w:bottom w:val="single" w:sz="48" w:space="0" w:color="4472C4" w:themeColor="accent5"/>
        <w:right w:val="single" w:sz="4" w:space="0" w:color="4472C4" w:themeColor="accent5"/>
        <w:insideV w:val="single" w:sz="4" w:space="0" w:color="4472C4" w:themeColor="accent5"/>
      </w:tblBorders>
    </w:tblPr>
    <w:tcPr>
      <w:shd w:val="clear" w:color="auto" w:fill="auto"/>
      <w:tcMar>
        <w:top w:w="170" w:type="dxa"/>
      </w:tcMar>
      <w:vAlign w:val="center"/>
    </w:tcPr>
    <w:tblStylePr w:type="firstRow">
      <w:rPr>
        <w:rFonts w:asciiTheme="majorHAnsi" w:hAnsiTheme="majorHAnsi"/>
        <w:b w:val="0"/>
        <w:i w:val="0"/>
        <w:color w:val="4472C4" w:themeColor="accent5"/>
        <w:sz w:val="36"/>
      </w:rPr>
      <w:tblPr/>
      <w:tcPr>
        <w:tcBorders>
          <w:top w:val="single" w:sz="8" w:space="0" w:color="4472C4" w:themeColor="accent5"/>
          <w:left w:val="single" w:sz="8" w:space="0" w:color="4472C4" w:themeColor="accent5"/>
          <w:bottom w:val="single" w:sz="24" w:space="0" w:color="4472C4" w:themeColor="accent5"/>
          <w:right w:val="single" w:sz="8" w:space="0" w:color="4472C4" w:themeColor="accent5"/>
          <w:insideH w:val="nil"/>
          <w:insideV w:val="nil"/>
          <w:tl2br w:val="nil"/>
          <w:tr2bl w:val="nil"/>
        </w:tcBorders>
        <w:shd w:val="clear" w:color="auto" w:fill="E7E6E6" w:themeFill="background2"/>
      </w:tcPr>
    </w:tblStylePr>
    <w:tblStylePr w:type="band2Horz">
      <w:tblPr/>
      <w:tcPr>
        <w:shd w:val="clear" w:color="auto" w:fill="F0EFEF" w:themeFill="background2" w:themeFillTint="99"/>
      </w:tcPr>
    </w:tblStylePr>
  </w:style>
  <w:style w:type="paragraph" w:customStyle="1" w:styleId="Default">
    <w:name w:val="Default"/>
    <w:rsid w:val="002815B2"/>
    <w:pPr>
      <w:autoSpaceDE w:val="0"/>
      <w:autoSpaceDN w:val="0"/>
      <w:adjustRightInd w:val="0"/>
    </w:pPr>
    <w:rPr>
      <w:rFonts w:ascii="Calibri" w:hAnsi="Calibri" w:cs="Calibri"/>
      <w:color w:val="000000"/>
      <w:sz w:val="24"/>
      <w:szCs w:val="24"/>
      <w:lang w:val="en-GB" w:eastAsia="en-GB"/>
    </w:rPr>
  </w:style>
  <w:style w:type="paragraph" w:styleId="Szvegtrzs">
    <w:name w:val="Body Text"/>
    <w:basedOn w:val="Norml"/>
    <w:link w:val="SzvegtrzsChar"/>
    <w:rsid w:val="0094227A"/>
    <w:pPr>
      <w:tabs>
        <w:tab w:val="left" w:pos="567"/>
        <w:tab w:val="left" w:pos="8535"/>
      </w:tabs>
      <w:spacing w:after="0" w:line="240" w:lineRule="auto"/>
    </w:pPr>
    <w:rPr>
      <w:rFonts w:ascii="Arial" w:eastAsia="Times New Roman" w:hAnsi="Arial"/>
      <w:color w:val="000000"/>
    </w:rPr>
  </w:style>
  <w:style w:type="character" w:customStyle="1" w:styleId="SzvegtrzsChar">
    <w:name w:val="Szövegtörzs Char"/>
    <w:link w:val="Szvegtrzs"/>
    <w:rsid w:val="0094227A"/>
    <w:rPr>
      <w:rFonts w:ascii="Arial" w:eastAsia="Times New Roman" w:hAnsi="Arial" w:cs="Times New Roman"/>
      <w:color w:val="000000"/>
      <w:szCs w:val="20"/>
      <w:lang w:val="en-GB" w:eastAsia="en-GB"/>
    </w:rPr>
  </w:style>
  <w:style w:type="paragraph" w:customStyle="1" w:styleId="Erskiemels2">
    <w:name w:val="Erős kiemelés2"/>
    <w:basedOn w:val="Norml"/>
    <w:uiPriority w:val="5"/>
    <w:qFormat/>
    <w:rsid w:val="009A780C"/>
    <w:rPr>
      <w:b/>
      <w:i/>
    </w:rPr>
  </w:style>
  <w:style w:type="character" w:styleId="Jegyzethivatkozs">
    <w:name w:val="annotation reference"/>
    <w:uiPriority w:val="99"/>
    <w:semiHidden/>
    <w:unhideWhenUsed/>
    <w:rsid w:val="00110F7B"/>
    <w:rPr>
      <w:sz w:val="16"/>
      <w:szCs w:val="16"/>
      <w:lang w:val="en-GB" w:eastAsia="en-GB"/>
    </w:rPr>
  </w:style>
  <w:style w:type="paragraph" w:styleId="Jegyzetszveg">
    <w:name w:val="annotation text"/>
    <w:basedOn w:val="Norml"/>
    <w:link w:val="JegyzetszvegChar"/>
    <w:uiPriority w:val="99"/>
    <w:semiHidden/>
    <w:unhideWhenUsed/>
    <w:rsid w:val="00110F7B"/>
    <w:pPr>
      <w:spacing w:line="240" w:lineRule="auto"/>
    </w:pPr>
  </w:style>
  <w:style w:type="character" w:customStyle="1" w:styleId="JegyzetszvegChar">
    <w:name w:val="Jegyzetszöveg Char"/>
    <w:link w:val="Jegyzetszveg"/>
    <w:uiPriority w:val="99"/>
    <w:semiHidden/>
    <w:rsid w:val="00110F7B"/>
    <w:rPr>
      <w:rFonts w:ascii="Calibri" w:hAnsi="Calibri"/>
      <w:szCs w:val="20"/>
      <w:lang w:val="en-GB" w:eastAsia="en-GB"/>
    </w:rPr>
  </w:style>
  <w:style w:type="paragraph" w:styleId="Megjegyzstrgya">
    <w:name w:val="annotation subject"/>
    <w:basedOn w:val="Jegyzetszveg"/>
    <w:next w:val="Jegyzetszveg"/>
    <w:link w:val="MegjegyzstrgyaChar"/>
    <w:uiPriority w:val="99"/>
    <w:semiHidden/>
    <w:unhideWhenUsed/>
    <w:rsid w:val="00110F7B"/>
    <w:rPr>
      <w:b/>
      <w:bCs/>
    </w:rPr>
  </w:style>
  <w:style w:type="character" w:customStyle="1" w:styleId="MegjegyzstrgyaChar">
    <w:name w:val="Megjegyzés tárgya Char"/>
    <w:link w:val="Megjegyzstrgya"/>
    <w:uiPriority w:val="99"/>
    <w:semiHidden/>
    <w:rsid w:val="00110F7B"/>
    <w:rPr>
      <w:rFonts w:ascii="Calibri" w:hAnsi="Calibri"/>
      <w:b/>
      <w:bCs/>
      <w:szCs w:val="20"/>
      <w:lang w:val="en-GB" w:eastAsia="en-GB"/>
    </w:rPr>
  </w:style>
  <w:style w:type="paragraph" w:styleId="Vltozat">
    <w:name w:val="Revision"/>
    <w:hidden/>
    <w:uiPriority w:val="99"/>
    <w:semiHidden/>
    <w:rsid w:val="00110F7B"/>
    <w:rPr>
      <w:rFonts w:ascii="Calibri" w:hAnsi="Calibri"/>
      <w:szCs w:val="22"/>
      <w:lang w:val="en-GB" w:eastAsia="en-GB"/>
    </w:rPr>
  </w:style>
  <w:style w:type="paragraph" w:customStyle="1" w:styleId="Erskiemels3">
    <w:name w:val="Erős kiemelés3"/>
    <w:basedOn w:val="Norml"/>
    <w:uiPriority w:val="5"/>
    <w:qFormat/>
    <w:rsid w:val="000121D7"/>
    <w:rPr>
      <w:b/>
      <w:i/>
    </w:rPr>
  </w:style>
  <w:style w:type="paragraph" w:customStyle="1" w:styleId="Erskiemels4">
    <w:name w:val="Erős kiemelés4"/>
    <w:basedOn w:val="Norml"/>
    <w:uiPriority w:val="5"/>
    <w:qFormat/>
    <w:rsid w:val="00DE7111"/>
    <w:rPr>
      <w:b/>
      <w:i/>
    </w:rPr>
  </w:style>
  <w:style w:type="paragraph" w:customStyle="1" w:styleId="Erskiemels5">
    <w:name w:val="Erős kiemelés5"/>
    <w:basedOn w:val="Norml"/>
    <w:uiPriority w:val="5"/>
    <w:qFormat/>
    <w:rsid w:val="005F7339"/>
    <w:rPr>
      <w:b/>
      <w:i/>
    </w:rPr>
  </w:style>
  <w:style w:type="paragraph" w:customStyle="1" w:styleId="ENBoxtitle">
    <w:name w:val="EN_Box_title"/>
    <w:basedOn w:val="Norml"/>
    <w:next w:val="Norml"/>
    <w:uiPriority w:val="1"/>
    <w:qFormat/>
    <w:rsid w:val="00A15E30"/>
    <w:pPr>
      <w:keepNext/>
      <w:pBdr>
        <w:top w:val="single" w:sz="4" w:space="1" w:color="44546A" w:themeColor="text2"/>
        <w:left w:val="single" w:sz="4" w:space="4" w:color="44546A" w:themeColor="text2"/>
        <w:bottom w:val="single" w:sz="4" w:space="1" w:color="44546A" w:themeColor="text2"/>
        <w:right w:val="single" w:sz="4" w:space="4" w:color="44546A" w:themeColor="text2"/>
      </w:pBdr>
      <w:shd w:val="clear" w:color="auto" w:fill="8CDCFF"/>
      <w:spacing w:after="40"/>
    </w:pPr>
    <w:rPr>
      <w:b/>
      <w:bCs/>
      <w:szCs w:val="18"/>
    </w:rPr>
  </w:style>
  <w:style w:type="paragraph" w:customStyle="1" w:styleId="ENCaption1Col">
    <w:name w:val="EN_Caption_1Col"/>
    <w:basedOn w:val="Norml"/>
    <w:next w:val="Norml"/>
    <w:uiPriority w:val="1"/>
    <w:qFormat/>
    <w:rsid w:val="00A15E30"/>
    <w:pPr>
      <w:keepNext/>
      <w:spacing w:after="40"/>
      <w:jc w:val="center"/>
    </w:pPr>
    <w:rPr>
      <w:b/>
      <w:bCs/>
      <w:color w:val="808080"/>
      <w:szCs w:val="18"/>
    </w:rPr>
  </w:style>
  <w:style w:type="paragraph" w:customStyle="1" w:styleId="ENCaption2Col">
    <w:name w:val="EN_Caption_2Col"/>
    <w:basedOn w:val="Norml"/>
    <w:next w:val="Norml"/>
    <w:uiPriority w:val="1"/>
    <w:qFormat/>
    <w:rsid w:val="00A15E30"/>
    <w:pPr>
      <w:keepNext/>
      <w:spacing w:after="40"/>
      <w:jc w:val="left"/>
    </w:pPr>
    <w:rPr>
      <w:b/>
      <w:bCs/>
      <w:color w:val="808080"/>
      <w:szCs w:val="18"/>
    </w:rPr>
  </w:style>
  <w:style w:type="paragraph" w:customStyle="1" w:styleId="ENCaptionBox">
    <w:name w:val="EN_Caption_Box"/>
    <w:basedOn w:val="Norml"/>
    <w:next w:val="Norml"/>
    <w:uiPriority w:val="1"/>
    <w:qFormat/>
    <w:rsid w:val="00A15E30"/>
    <w:pPr>
      <w:keepNext/>
      <w:pBdr>
        <w:top w:val="single" w:sz="4" w:space="1" w:color="44546A" w:themeColor="text2"/>
        <w:left w:val="single" w:sz="4" w:space="4" w:color="44546A" w:themeColor="text2"/>
        <w:bottom w:val="single" w:sz="4" w:space="1" w:color="44546A" w:themeColor="text2"/>
        <w:right w:val="single" w:sz="4" w:space="4" w:color="44546A" w:themeColor="text2"/>
      </w:pBdr>
      <w:shd w:val="clear" w:color="auto" w:fill="C6EEFF"/>
      <w:spacing w:after="40"/>
      <w:jc w:val="center"/>
    </w:pPr>
    <w:rPr>
      <w:b/>
      <w:bCs/>
      <w:color w:val="808080"/>
      <w:szCs w:val="18"/>
    </w:rPr>
  </w:style>
  <w:style w:type="paragraph" w:customStyle="1" w:styleId="ENChapterTitle">
    <w:name w:val="EN_Chapter_Title"/>
    <w:basedOn w:val="Norml"/>
    <w:next w:val="Norml"/>
    <w:uiPriority w:val="1"/>
    <w:rsid w:val="00A15E30"/>
    <w:pPr>
      <w:keepNext/>
      <w:pageBreakBefore/>
      <w:numPr>
        <w:numId w:val="1"/>
      </w:numPr>
      <w:spacing w:before="480" w:after="210"/>
      <w:ind w:left="227" w:hanging="227"/>
      <w:jc w:val="left"/>
      <w:outlineLvl w:val="0"/>
    </w:pPr>
    <w:rPr>
      <w:rFonts w:eastAsiaTheme="majorEastAsia" w:cstheme="majorBidi"/>
      <w:bCs/>
      <w:color w:val="0C2148"/>
      <w:sz w:val="52"/>
      <w:szCs w:val="42"/>
    </w:rPr>
  </w:style>
  <w:style w:type="paragraph" w:customStyle="1" w:styleId="ENChapterWithoutNumbering">
    <w:name w:val="EN_Chapter_Without_Numbering"/>
    <w:basedOn w:val="Norml"/>
    <w:next w:val="Norml"/>
    <w:uiPriority w:val="1"/>
    <w:qFormat/>
    <w:rsid w:val="00A15E30"/>
    <w:pPr>
      <w:keepNext/>
      <w:pageBreakBefore/>
      <w:spacing w:before="480" w:after="210"/>
      <w:ind w:left="227" w:hanging="227"/>
    </w:pPr>
    <w:rPr>
      <w:caps/>
      <w:color w:val="44546A" w:themeColor="text2"/>
    </w:rPr>
  </w:style>
  <w:style w:type="paragraph" w:customStyle="1" w:styleId="ENFootnote">
    <w:name w:val="EN_Footnote"/>
    <w:basedOn w:val="Norml"/>
    <w:uiPriority w:val="1"/>
    <w:qFormat/>
    <w:rsid w:val="00A15E30"/>
    <w:rPr>
      <w:rFonts w:eastAsiaTheme="minorEastAsia"/>
      <w:color w:val="808080"/>
      <w:sz w:val="18"/>
    </w:rPr>
  </w:style>
  <w:style w:type="paragraph" w:customStyle="1" w:styleId="ENNormal">
    <w:name w:val="EN_Normal"/>
    <w:basedOn w:val="Norml"/>
    <w:uiPriority w:val="1"/>
    <w:qFormat/>
    <w:rsid w:val="00A15E30"/>
  </w:style>
  <w:style w:type="paragraph" w:customStyle="1" w:styleId="ENNormalBox">
    <w:name w:val="EN_Normal_Box"/>
    <w:basedOn w:val="Norml"/>
    <w:uiPriority w:val="1"/>
    <w:qFormat/>
    <w:rsid w:val="00A15E30"/>
    <w:pPr>
      <w:pBdr>
        <w:top w:val="single" w:sz="4" w:space="1" w:color="44546A" w:themeColor="text2"/>
        <w:left w:val="single" w:sz="4" w:space="4" w:color="44546A" w:themeColor="text2"/>
        <w:bottom w:val="single" w:sz="4" w:space="1" w:color="44546A" w:themeColor="text2"/>
        <w:right w:val="single" w:sz="4" w:space="4" w:color="44546A" w:themeColor="text2"/>
      </w:pBdr>
      <w:shd w:val="clear" w:color="auto" w:fill="C6EEFF"/>
    </w:pPr>
  </w:style>
  <w:style w:type="paragraph" w:customStyle="1" w:styleId="ENNote1Col">
    <w:name w:val="EN_Note_1Col"/>
    <w:basedOn w:val="Norml"/>
    <w:next w:val="ENNormal"/>
    <w:uiPriority w:val="1"/>
    <w:qFormat/>
    <w:rsid w:val="00A15E30"/>
    <w:pPr>
      <w:keepLines/>
      <w:jc w:val="center"/>
    </w:pPr>
    <w:rPr>
      <w:color w:val="808080"/>
      <w:sz w:val="18"/>
    </w:rPr>
  </w:style>
  <w:style w:type="paragraph" w:customStyle="1" w:styleId="ENNote2Col">
    <w:name w:val="EN_Note_2Col"/>
    <w:basedOn w:val="Norml"/>
    <w:next w:val="ENNormal"/>
    <w:uiPriority w:val="1"/>
    <w:qFormat/>
    <w:rsid w:val="00A15E30"/>
    <w:pPr>
      <w:keepLines/>
    </w:pPr>
    <w:rPr>
      <w:color w:val="808080"/>
      <w:sz w:val="18"/>
    </w:rPr>
  </w:style>
  <w:style w:type="paragraph" w:customStyle="1" w:styleId="ENNoteBox">
    <w:name w:val="EN_Note_Box"/>
    <w:basedOn w:val="Norml"/>
    <w:next w:val="ENNormalBox"/>
    <w:uiPriority w:val="1"/>
    <w:qFormat/>
    <w:rsid w:val="00A15E30"/>
    <w:pPr>
      <w:keepLines/>
      <w:pBdr>
        <w:top w:val="single" w:sz="4" w:space="1" w:color="44546A" w:themeColor="text2"/>
        <w:left w:val="single" w:sz="4" w:space="4" w:color="44546A" w:themeColor="text2"/>
        <w:bottom w:val="single" w:sz="4" w:space="1" w:color="44546A" w:themeColor="text2"/>
        <w:right w:val="single" w:sz="4" w:space="4" w:color="44546A" w:themeColor="text2"/>
      </w:pBdr>
      <w:shd w:val="clear" w:color="auto" w:fill="C6EEFF"/>
      <w:jc w:val="center"/>
    </w:pPr>
    <w:rPr>
      <w:color w:val="808080"/>
      <w:sz w:val="18"/>
    </w:rPr>
  </w:style>
  <w:style w:type="paragraph" w:customStyle="1" w:styleId="ENSectionTitle">
    <w:name w:val="EN_Section_Title"/>
    <w:basedOn w:val="Norml"/>
    <w:next w:val="ENNormal"/>
    <w:uiPriority w:val="1"/>
    <w:rsid w:val="00A15E30"/>
    <w:pPr>
      <w:keepNext/>
      <w:numPr>
        <w:ilvl w:val="1"/>
        <w:numId w:val="1"/>
      </w:numPr>
      <w:spacing w:before="210" w:after="75"/>
      <w:jc w:val="left"/>
      <w:outlineLvl w:val="1"/>
    </w:pPr>
    <w:rPr>
      <w:b/>
      <w:color w:val="44546A" w:themeColor="text2"/>
      <w:szCs w:val="38"/>
    </w:rPr>
  </w:style>
  <w:style w:type="paragraph" w:customStyle="1" w:styleId="ENSubsectionTitle">
    <w:name w:val="EN_Subsection_Title"/>
    <w:basedOn w:val="Norml"/>
    <w:next w:val="ENNormal"/>
    <w:uiPriority w:val="1"/>
    <w:rsid w:val="00A15E30"/>
    <w:pPr>
      <w:keepNext/>
      <w:numPr>
        <w:ilvl w:val="2"/>
        <w:numId w:val="1"/>
      </w:numPr>
      <w:spacing w:before="75" w:after="75"/>
      <w:ind w:left="595" w:hanging="595"/>
      <w:jc w:val="left"/>
      <w:outlineLvl w:val="2"/>
    </w:pPr>
    <w:rPr>
      <w:bCs/>
      <w:color w:val="44546A" w:themeColor="text2"/>
      <w:szCs w:val="34"/>
    </w:rPr>
  </w:style>
  <w:style w:type="paragraph" w:customStyle="1" w:styleId="HUBoxTitle">
    <w:name w:val="HU_Box_Title"/>
    <w:basedOn w:val="Kpalrs"/>
    <w:next w:val="Norml"/>
    <w:uiPriority w:val="1"/>
    <w:qFormat/>
    <w:rsid w:val="00A15E30"/>
    <w:pPr>
      <w:keepNext/>
      <w:pBdr>
        <w:top w:val="single" w:sz="4" w:space="1" w:color="44546A" w:themeColor="text2"/>
        <w:left w:val="single" w:sz="4" w:space="4" w:color="44546A" w:themeColor="text2"/>
        <w:bottom w:val="single" w:sz="4" w:space="1" w:color="44546A" w:themeColor="text2"/>
        <w:right w:val="single" w:sz="4" w:space="4" w:color="44546A" w:themeColor="text2"/>
      </w:pBdr>
      <w:shd w:val="clear" w:color="auto" w:fill="8CDCFF"/>
      <w:spacing w:after="40"/>
      <w:jc w:val="both"/>
    </w:pPr>
    <w:rPr>
      <w:color w:val="auto"/>
      <w:sz w:val="20"/>
    </w:rPr>
  </w:style>
  <w:style w:type="paragraph" w:customStyle="1" w:styleId="HUCaption1Col">
    <w:name w:val="HU_Caption_1Col"/>
    <w:basedOn w:val="Kpalrs"/>
    <w:next w:val="Norml"/>
    <w:uiPriority w:val="1"/>
    <w:qFormat/>
    <w:rsid w:val="00A15E30"/>
    <w:pPr>
      <w:keepNext/>
      <w:spacing w:after="40"/>
      <w:jc w:val="center"/>
    </w:pPr>
    <w:rPr>
      <w:sz w:val="20"/>
    </w:rPr>
  </w:style>
  <w:style w:type="paragraph" w:customStyle="1" w:styleId="HUCaption2Col">
    <w:name w:val="HU_Caption_2Col"/>
    <w:basedOn w:val="Kpalrs"/>
    <w:next w:val="Norml"/>
    <w:uiPriority w:val="1"/>
    <w:qFormat/>
    <w:rsid w:val="00A15E30"/>
    <w:pPr>
      <w:keepNext/>
      <w:spacing w:after="40"/>
    </w:pPr>
    <w:rPr>
      <w:sz w:val="20"/>
    </w:rPr>
  </w:style>
  <w:style w:type="paragraph" w:customStyle="1" w:styleId="HUCaptionBox">
    <w:name w:val="HU_Caption_Box"/>
    <w:basedOn w:val="Kpalrs"/>
    <w:next w:val="Norml"/>
    <w:uiPriority w:val="1"/>
    <w:qFormat/>
    <w:rsid w:val="00A15E30"/>
    <w:pPr>
      <w:keepNext/>
      <w:pBdr>
        <w:top w:val="single" w:sz="4" w:space="1" w:color="44546A" w:themeColor="text2"/>
        <w:left w:val="single" w:sz="4" w:space="4" w:color="44546A" w:themeColor="text2"/>
        <w:bottom w:val="single" w:sz="4" w:space="1" w:color="44546A" w:themeColor="text2"/>
        <w:right w:val="single" w:sz="4" w:space="4" w:color="44546A" w:themeColor="text2"/>
      </w:pBdr>
      <w:shd w:val="clear" w:color="auto" w:fill="C6EEFF"/>
      <w:spacing w:after="40"/>
      <w:jc w:val="center"/>
    </w:pPr>
    <w:rPr>
      <w:sz w:val="20"/>
    </w:rPr>
  </w:style>
  <w:style w:type="paragraph" w:customStyle="1" w:styleId="HUChapterTitle">
    <w:name w:val="HU_Chapter_Title"/>
    <w:basedOn w:val="Cmsor1"/>
    <w:next w:val="Norml"/>
    <w:link w:val="HUChapterTitleChar"/>
    <w:autoRedefine/>
    <w:uiPriority w:val="1"/>
    <w:rsid w:val="00A15E30"/>
    <w:pPr>
      <w:keepLines w:val="0"/>
      <w:pageBreakBefore/>
      <w:ind w:left="227" w:hanging="227"/>
    </w:pPr>
    <w:rPr>
      <w:color w:val="0C2148"/>
    </w:rPr>
  </w:style>
  <w:style w:type="character" w:customStyle="1" w:styleId="HUChapterTitleChar">
    <w:name w:val="HU_Chapter_Title Char"/>
    <w:basedOn w:val="Cmsor1Char"/>
    <w:link w:val="HUChapterTitle"/>
    <w:uiPriority w:val="1"/>
    <w:rsid w:val="00A15E30"/>
    <w:rPr>
      <w:rFonts w:ascii="Calibri" w:eastAsiaTheme="majorEastAsia" w:hAnsi="Calibri" w:cstheme="majorBidi"/>
      <w:b/>
      <w:bCs/>
      <w:caps/>
      <w:color w:val="0C2148"/>
      <w:sz w:val="24"/>
      <w:szCs w:val="42"/>
      <w:lang w:val="hu-HU" w:eastAsia="hu-HU"/>
    </w:rPr>
  </w:style>
  <w:style w:type="paragraph" w:customStyle="1" w:styleId="HUChapterWithoutNumbering">
    <w:name w:val="HU_Chapter_Without_Numbering"/>
    <w:basedOn w:val="Norml"/>
    <w:next w:val="Norml"/>
    <w:link w:val="HUChapterWithoutNumberingChar"/>
    <w:uiPriority w:val="1"/>
    <w:qFormat/>
    <w:rsid w:val="00A15E30"/>
    <w:pPr>
      <w:keepNext/>
      <w:pageBreakBefore/>
      <w:spacing w:before="480" w:after="210"/>
      <w:ind w:left="227" w:hanging="227"/>
    </w:pPr>
    <w:rPr>
      <w:caps/>
      <w:color w:val="44546A" w:themeColor="text2"/>
    </w:rPr>
  </w:style>
  <w:style w:type="character" w:customStyle="1" w:styleId="HUChapterWithoutNumberingChar">
    <w:name w:val="HU_Chapter_Without_Numbering Char"/>
    <w:basedOn w:val="Bekezdsalapbettpusa"/>
    <w:link w:val="HUChapterWithoutNumbering"/>
    <w:uiPriority w:val="1"/>
    <w:rsid w:val="00A15E30"/>
    <w:rPr>
      <w:rFonts w:ascii="Calibri" w:eastAsiaTheme="minorHAnsi" w:hAnsi="Calibri" w:cstheme="minorBidi"/>
      <w:caps/>
      <w:color w:val="44546A" w:themeColor="text2"/>
      <w:lang w:val="hu-HU" w:eastAsia="hu-HU"/>
    </w:rPr>
  </w:style>
  <w:style w:type="paragraph" w:customStyle="1" w:styleId="HUFootnote">
    <w:name w:val="HU_Footnote"/>
    <w:basedOn w:val="Lbjegyzetszveg"/>
    <w:uiPriority w:val="1"/>
    <w:qFormat/>
    <w:rsid w:val="00A15E30"/>
    <w:rPr>
      <w:color w:val="808080"/>
      <w:sz w:val="18"/>
    </w:rPr>
  </w:style>
  <w:style w:type="paragraph" w:customStyle="1" w:styleId="HUNormalBox">
    <w:name w:val="HU_Normal_Box"/>
    <w:basedOn w:val="Norml"/>
    <w:uiPriority w:val="1"/>
    <w:qFormat/>
    <w:rsid w:val="00A15E30"/>
    <w:pPr>
      <w:pBdr>
        <w:top w:val="single" w:sz="4" w:space="1" w:color="44546A" w:themeColor="text2"/>
        <w:left w:val="single" w:sz="4" w:space="4" w:color="44546A" w:themeColor="text2"/>
        <w:bottom w:val="single" w:sz="4" w:space="1" w:color="44546A" w:themeColor="text2"/>
        <w:right w:val="single" w:sz="4" w:space="4" w:color="44546A" w:themeColor="text2"/>
      </w:pBdr>
      <w:shd w:val="clear" w:color="auto" w:fill="C6EEFF"/>
    </w:pPr>
  </w:style>
  <w:style w:type="paragraph" w:customStyle="1" w:styleId="HUNote1Col">
    <w:name w:val="HU_Note_1Col"/>
    <w:basedOn w:val="Norml"/>
    <w:next w:val="Norml"/>
    <w:uiPriority w:val="1"/>
    <w:qFormat/>
    <w:rsid w:val="00A15E30"/>
    <w:pPr>
      <w:keepLines/>
      <w:jc w:val="center"/>
    </w:pPr>
    <w:rPr>
      <w:color w:val="808080"/>
      <w:sz w:val="18"/>
    </w:rPr>
  </w:style>
  <w:style w:type="paragraph" w:customStyle="1" w:styleId="HUNote2Col">
    <w:name w:val="HU_Note_2Col"/>
    <w:basedOn w:val="Norml"/>
    <w:next w:val="Norml"/>
    <w:uiPriority w:val="1"/>
    <w:qFormat/>
    <w:rsid w:val="00A15E30"/>
    <w:pPr>
      <w:keepLines/>
    </w:pPr>
    <w:rPr>
      <w:color w:val="808080"/>
      <w:sz w:val="18"/>
    </w:rPr>
  </w:style>
  <w:style w:type="paragraph" w:customStyle="1" w:styleId="HUNoteBox">
    <w:name w:val="HU_Note_Box"/>
    <w:basedOn w:val="Norml"/>
    <w:next w:val="HUNormalBox"/>
    <w:link w:val="HUNoteBoxChar"/>
    <w:uiPriority w:val="1"/>
    <w:qFormat/>
    <w:rsid w:val="00A15E30"/>
    <w:pPr>
      <w:keepLines/>
      <w:pBdr>
        <w:top w:val="single" w:sz="4" w:space="1" w:color="44546A" w:themeColor="text2"/>
        <w:left w:val="single" w:sz="4" w:space="4" w:color="44546A" w:themeColor="text2"/>
        <w:bottom w:val="single" w:sz="4" w:space="1" w:color="44546A" w:themeColor="text2"/>
        <w:right w:val="single" w:sz="4" w:space="4" w:color="44546A" w:themeColor="text2"/>
      </w:pBdr>
      <w:shd w:val="clear" w:color="auto" w:fill="C6EEFF"/>
      <w:jc w:val="center"/>
    </w:pPr>
    <w:rPr>
      <w:color w:val="808080"/>
      <w:sz w:val="18"/>
    </w:rPr>
  </w:style>
  <w:style w:type="character" w:customStyle="1" w:styleId="HUNoteBoxChar">
    <w:name w:val="HU_Note_Box Char"/>
    <w:basedOn w:val="Bekezdsalapbettpusa"/>
    <w:link w:val="HUNoteBox"/>
    <w:uiPriority w:val="1"/>
    <w:rsid w:val="00A15E30"/>
    <w:rPr>
      <w:rFonts w:ascii="Calibri" w:eastAsiaTheme="minorHAnsi" w:hAnsi="Calibri" w:cstheme="minorBidi"/>
      <w:color w:val="808080"/>
      <w:sz w:val="18"/>
      <w:shd w:val="clear" w:color="auto" w:fill="C6EEFF"/>
      <w:lang w:val="hu-HU" w:eastAsia="hu-HU"/>
    </w:rPr>
  </w:style>
  <w:style w:type="paragraph" w:customStyle="1" w:styleId="HUSectionTitle">
    <w:name w:val="HU_Section_Title"/>
    <w:basedOn w:val="Cmsor2"/>
    <w:next w:val="Norml"/>
    <w:link w:val="HUSectionTitleChar"/>
    <w:uiPriority w:val="1"/>
    <w:rsid w:val="00A15E30"/>
    <w:pPr>
      <w:keepNext/>
    </w:pPr>
  </w:style>
  <w:style w:type="character" w:customStyle="1" w:styleId="HUSectionTitleChar">
    <w:name w:val="HU_Section_Title Char"/>
    <w:basedOn w:val="Cmsor2Char"/>
    <w:link w:val="HUSectionTitle"/>
    <w:uiPriority w:val="1"/>
    <w:rsid w:val="00A15E30"/>
    <w:rPr>
      <w:rFonts w:ascii="Calibri" w:eastAsiaTheme="minorHAnsi" w:hAnsi="Calibri" w:cstheme="minorBidi"/>
      <w:b/>
      <w:color w:val="44546A" w:themeColor="text2"/>
      <w:sz w:val="24"/>
      <w:szCs w:val="38"/>
      <w:lang w:val="hu-HU" w:eastAsia="hu-HU"/>
    </w:rPr>
  </w:style>
  <w:style w:type="paragraph" w:customStyle="1" w:styleId="HUSubsectionTitle">
    <w:name w:val="HU_Subsection_Title"/>
    <w:basedOn w:val="Cmsor3"/>
    <w:next w:val="Norml"/>
    <w:link w:val="HUSubsectionTitleChar"/>
    <w:uiPriority w:val="1"/>
    <w:rsid w:val="00A15E30"/>
    <w:pPr>
      <w:keepNext/>
      <w:ind w:left="595" w:hanging="595"/>
    </w:pPr>
  </w:style>
  <w:style w:type="character" w:customStyle="1" w:styleId="HUSubsectionTitleChar">
    <w:name w:val="HU_Subsection_Title Char"/>
    <w:basedOn w:val="Cmsor3Char"/>
    <w:link w:val="HUSubsectionTitle"/>
    <w:uiPriority w:val="1"/>
    <w:rsid w:val="00A15E30"/>
    <w:rPr>
      <w:rFonts w:ascii="Calibri" w:eastAsiaTheme="minorHAnsi" w:hAnsi="Calibri" w:cstheme="minorBidi"/>
      <w:bCs/>
      <w:color w:val="44546A" w:themeColor="text2"/>
      <w:szCs w:val="34"/>
      <w:lang w:val="hu-HU" w:eastAsia="hu-HU"/>
    </w:rPr>
  </w:style>
  <w:style w:type="paragraph" w:customStyle="1" w:styleId="Heading1Kiadvny">
    <w:name w:val="Heading 1 Kiadvány"/>
    <w:basedOn w:val="Cmsor1"/>
    <w:qFormat/>
    <w:rsid w:val="00A15E30"/>
    <w:rPr>
      <w:b w:val="0"/>
      <w:caps w:val="0"/>
      <w:sz w:val="5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b:Source>
    <b:Tag>Ica10</b:Tag>
    <b:SourceType>Book</b:SourceType>
    <b:Guid>{901B386E-7343-4E01-91D7-1329F9989597}</b:Guid>
    <b:Author>
      <b:Author>
        <b:NameList>
          <b:Person>
            <b:Last>Ica</b:Last>
            <b:First>Kukor</b:First>
          </b:Person>
        </b:NameList>
      </b:Author>
    </b:Author>
    <b:Title>A nagy könyv</b:Title>
    <b:Year>2010</b:Year>
    <b:City>Gonolnád</b:City>
    <b:Publisher>Kiadó_Név</b:Publisher>
    <b:RefOrder>1</b:RefOrder>
  </b:Source>
</b:Sources>
</file>

<file path=customXml/itemProps1.xml><?xml version="1.0" encoding="utf-8"?>
<ds:datastoreItem xmlns:ds="http://schemas.openxmlformats.org/officeDocument/2006/customXml" ds:itemID="{86E65EF6-66B4-4920-A10F-82B8A2ED83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4</Pages>
  <Words>1827</Words>
  <Characters>12608</Characters>
  <Application>Microsoft Office Word</Application>
  <DocSecurity>0</DocSecurity>
  <Lines>105</Lines>
  <Paragraphs>28</Paragraphs>
  <ScaleCrop>false</ScaleCrop>
  <HeadingPairs>
    <vt:vector size="4" baseType="variant">
      <vt:variant>
        <vt:lpstr>Title</vt:lpstr>
      </vt:variant>
      <vt:variant>
        <vt:i4>1</vt:i4>
      </vt:variant>
      <vt:variant>
        <vt:lpstr>Cím</vt:lpstr>
      </vt:variant>
      <vt:variant>
        <vt:i4>1</vt:i4>
      </vt:variant>
    </vt:vector>
  </HeadingPairs>
  <TitlesOfParts>
    <vt:vector size="2" baseType="lpstr">
      <vt:lpstr/>
      <vt:lpstr/>
    </vt:vector>
  </TitlesOfParts>
  <Company/>
  <LinksUpToDate>false</LinksUpToDate>
  <CharactersWithSpaces>14407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Tornai Miklós Attila</dc:creator>
  <cp:keywords/>
  <dc:description/>
  <cp:lastModifiedBy>Juhász Katalin</cp:lastModifiedBy>
  <cp:revision>4</cp:revision>
  <cp:lastPrinted>1900-12-31T23:00:00Z</cp:lastPrinted>
  <dcterms:created xsi:type="dcterms:W3CDTF">2019-01-15T15:14:00Z</dcterms:created>
  <dcterms:modified xsi:type="dcterms:W3CDTF">2019-01-22T12:45:00Z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b0d11092-50c9-4e74-84b5-b1af078dc3d0_Enabled">
    <vt:lpwstr>True</vt:lpwstr>
  </property>
  <property fmtid="{D5CDD505-2E9C-101B-9397-08002B2CF9AE}" pid="3" name="MSIP_Label_b0d11092-50c9-4e74-84b5-b1af078dc3d0_SiteId">
    <vt:lpwstr>97c01ef8-0264-4eef-9c08-fb4a9ba1c0db</vt:lpwstr>
  </property>
  <property fmtid="{D5CDD505-2E9C-101B-9397-08002B2CF9AE}" pid="4" name="MSIP_Label_b0d11092-50c9-4e74-84b5-b1af078dc3d0_Ref">
    <vt:lpwstr>https://api.informationprotection.azure.com/api/97c01ef8-0264-4eef-9c08-fb4a9ba1c0db</vt:lpwstr>
  </property>
  <property fmtid="{D5CDD505-2E9C-101B-9397-08002B2CF9AE}" pid="5" name="MSIP_Label_b0d11092-50c9-4e74-84b5-b1af078dc3d0_Owner">
    <vt:lpwstr>juhaszk@mnb.hu</vt:lpwstr>
  </property>
  <property fmtid="{D5CDD505-2E9C-101B-9397-08002B2CF9AE}" pid="6" name="MSIP_Label_b0d11092-50c9-4e74-84b5-b1af078dc3d0_SetDate">
    <vt:lpwstr>2019-01-22T13:45:11.2137725+01:00</vt:lpwstr>
  </property>
  <property fmtid="{D5CDD505-2E9C-101B-9397-08002B2CF9AE}" pid="7" name="MSIP_Label_b0d11092-50c9-4e74-84b5-b1af078dc3d0_Name">
    <vt:lpwstr>Protected</vt:lpwstr>
  </property>
  <property fmtid="{D5CDD505-2E9C-101B-9397-08002B2CF9AE}" pid="8" name="MSIP_Label_b0d11092-50c9-4e74-84b5-b1af078dc3d0_Application">
    <vt:lpwstr>Microsoft Azure Information Protection</vt:lpwstr>
  </property>
  <property fmtid="{D5CDD505-2E9C-101B-9397-08002B2CF9AE}" pid="9" name="MSIP_Label_b0d11092-50c9-4e74-84b5-b1af078dc3d0_Extended_MSFT_Method">
    <vt:lpwstr>Automatic</vt:lpwstr>
  </property>
  <property fmtid="{D5CDD505-2E9C-101B-9397-08002B2CF9AE}" pid="10" name="Sensitivity">
    <vt:lpwstr>Protected</vt:lpwstr>
  </property>
</Properties>
</file>