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A4ED1" w14:textId="77777777" w:rsidR="0030170B" w:rsidRPr="0098589B" w:rsidRDefault="0030170B" w:rsidP="0030170B">
      <w:pPr>
        <w:spacing w:after="0" w:line="240" w:lineRule="auto"/>
        <w:rPr>
          <w:rFonts w:ascii="Arial" w:eastAsia="Calibri" w:hAnsi="Arial" w:cs="Arial"/>
          <w:b/>
          <w:lang w:val="en-GB"/>
        </w:rPr>
      </w:pPr>
      <w:r w:rsidRPr="0098589B">
        <w:rPr>
          <w:rFonts w:ascii="Arial" w:eastAsia="Calibri" w:hAnsi="Arial" w:cs="Arial"/>
          <w:b/>
          <w:bCs/>
          <w:lang w:val="en-GB"/>
        </w:rPr>
        <w:t>MNB identification code: P67</w:t>
      </w:r>
    </w:p>
    <w:p w14:paraId="163E6D89" w14:textId="77777777" w:rsidR="0030170B" w:rsidRPr="0098589B" w:rsidRDefault="0030170B" w:rsidP="0030170B">
      <w:pPr>
        <w:spacing w:after="0" w:line="240" w:lineRule="auto"/>
        <w:rPr>
          <w:rFonts w:ascii="Arial" w:eastAsia="Calibri" w:hAnsi="Arial" w:cs="Arial"/>
          <w:b/>
          <w:lang w:val="en-GB"/>
        </w:rPr>
      </w:pPr>
    </w:p>
    <w:p w14:paraId="73FCF0CA" w14:textId="20524A33" w:rsidR="0030170B" w:rsidRPr="0098589B" w:rsidRDefault="0030170B" w:rsidP="0030170B">
      <w:pPr>
        <w:spacing w:after="0" w:line="240" w:lineRule="auto"/>
        <w:jc w:val="center"/>
        <w:rPr>
          <w:rFonts w:ascii="Arial" w:eastAsia="Calibri" w:hAnsi="Arial" w:cs="Arial"/>
          <w:b/>
          <w:lang w:val="en-GB"/>
        </w:rPr>
      </w:pPr>
      <w:r w:rsidRPr="0098589B">
        <w:rPr>
          <w:rFonts w:ascii="Arial" w:eastAsia="Calibri" w:hAnsi="Arial" w:cs="Arial"/>
          <w:b/>
          <w:bCs/>
          <w:lang w:val="en-GB"/>
        </w:rPr>
        <w:t xml:space="preserve">Completion </w:t>
      </w:r>
      <w:r w:rsidR="00DA31D2">
        <w:rPr>
          <w:rFonts w:ascii="Arial" w:eastAsia="Calibri" w:hAnsi="Arial" w:cs="Arial"/>
          <w:b/>
          <w:bCs/>
          <w:lang w:val="en-GB"/>
        </w:rPr>
        <w:t>instructions</w:t>
      </w:r>
      <w:bookmarkStart w:id="0" w:name="_GoBack"/>
      <w:bookmarkEnd w:id="0"/>
    </w:p>
    <w:p w14:paraId="49AE7549" w14:textId="10DC5A39" w:rsidR="0030170B" w:rsidRPr="0098589B" w:rsidRDefault="009C7B9C" w:rsidP="0030170B">
      <w:pPr>
        <w:spacing w:after="0" w:line="240" w:lineRule="auto"/>
        <w:jc w:val="center"/>
        <w:rPr>
          <w:rFonts w:ascii="Arial" w:eastAsia="Calibri" w:hAnsi="Arial" w:cs="Arial"/>
          <w:b/>
          <w:lang w:val="en-GB"/>
        </w:rPr>
      </w:pPr>
      <w:r>
        <w:rPr>
          <w:rFonts w:ascii="Arial" w:eastAsia="Calibri" w:hAnsi="Arial" w:cs="Arial"/>
          <w:b/>
          <w:bCs/>
          <w:lang w:val="en-GB"/>
        </w:rPr>
        <w:t>Establishing t</w:t>
      </w:r>
      <w:r w:rsidR="0030170B" w:rsidRPr="0098589B">
        <w:rPr>
          <w:rFonts w:ascii="Arial" w:eastAsia="Calibri" w:hAnsi="Arial" w:cs="Arial"/>
          <w:b/>
          <w:bCs/>
          <w:lang w:val="en-GB"/>
        </w:rPr>
        <w:t>he substantial importance</w:t>
      </w:r>
    </w:p>
    <w:p w14:paraId="44D64DC2" w14:textId="77777777" w:rsidR="0030170B" w:rsidRPr="0098589B" w:rsidRDefault="0030170B" w:rsidP="0030170B">
      <w:pPr>
        <w:spacing w:after="0" w:line="240" w:lineRule="auto"/>
        <w:jc w:val="center"/>
        <w:rPr>
          <w:rFonts w:ascii="Arial" w:eastAsia="Calibri" w:hAnsi="Arial" w:cs="Arial"/>
          <w:b/>
          <w:lang w:val="en-GB"/>
        </w:rPr>
      </w:pPr>
    </w:p>
    <w:p w14:paraId="6C71D5F4" w14:textId="77777777" w:rsidR="0030170B" w:rsidRPr="0098589B" w:rsidRDefault="0030170B" w:rsidP="0030170B">
      <w:pPr>
        <w:pStyle w:val="Listaszerbekezds"/>
        <w:keepNext/>
        <w:numPr>
          <w:ilvl w:val="2"/>
          <w:numId w:val="20"/>
        </w:numPr>
        <w:tabs>
          <w:tab w:val="left" w:pos="426"/>
        </w:tabs>
        <w:spacing w:before="240" w:after="240" w:line="240" w:lineRule="auto"/>
        <w:ind w:left="0" w:firstLine="0"/>
        <w:outlineLvl w:val="2"/>
        <w:rPr>
          <w:rFonts w:ascii="Arial" w:eastAsia="Calibri" w:hAnsi="Arial" w:cs="Arial"/>
          <w:b/>
          <w:bCs/>
          <w:lang w:val="en-GB"/>
        </w:rPr>
      </w:pPr>
      <w:r w:rsidRPr="0098589B">
        <w:rPr>
          <w:rFonts w:ascii="Arial" w:hAnsi="Arial" w:cs="Arial"/>
          <w:b/>
          <w:bCs/>
          <w:lang w:val="en-GB"/>
        </w:rPr>
        <w:t>General instructions</w:t>
      </w:r>
    </w:p>
    <w:p w14:paraId="6629E09C" w14:textId="77777777" w:rsidR="0030170B" w:rsidRPr="0098589B" w:rsidRDefault="0030170B" w:rsidP="0030170B">
      <w:pPr>
        <w:numPr>
          <w:ilvl w:val="0"/>
          <w:numId w:val="19"/>
        </w:numPr>
        <w:spacing w:after="0"/>
        <w:ind w:left="426" w:hanging="426"/>
        <w:contextualSpacing/>
        <w:rPr>
          <w:rFonts w:ascii="Arial" w:eastAsia="Calibri" w:hAnsi="Arial" w:cs="Arial"/>
          <w:b/>
          <w:lang w:val="en-GB"/>
        </w:rPr>
      </w:pPr>
      <w:r w:rsidRPr="0098589B">
        <w:rPr>
          <w:rFonts w:ascii="Arial" w:hAnsi="Arial" w:cs="Arial"/>
          <w:lang w:val="en-GB"/>
        </w:rPr>
        <w:t>The terminology used in the tables and the completion instructions follow the definitions in Regulation (EU) No 909/2014 of the European Parliament and of the Council of 23 July 2014 on improving securities settlement in the European Union and on central securities depositories and amending Directives 98/26/EC and 2014/65/EU and Regulation (EU) No 236/2012 and Commission Delegated Regulation (EU) 2017/389 of 11 November 2016 supplementing Regulation (EU) No 909/2014 of the European Parliament and of the Council as regards the parameters for the calculation of cash penalties for settlement fails and the operations of CSDs in host Member States.</w:t>
      </w:r>
    </w:p>
    <w:p w14:paraId="6F9A9AF5" w14:textId="77777777" w:rsidR="0030170B" w:rsidRPr="0098589B" w:rsidRDefault="0030170B" w:rsidP="0030170B">
      <w:pPr>
        <w:spacing w:after="0"/>
        <w:ind w:left="426"/>
        <w:contextualSpacing/>
        <w:rPr>
          <w:rFonts w:ascii="Arial" w:eastAsia="Calibri" w:hAnsi="Arial" w:cs="Arial"/>
          <w:b/>
          <w:lang w:val="en-GB"/>
        </w:rPr>
      </w:pPr>
    </w:p>
    <w:p w14:paraId="3B6F6DA1" w14:textId="77777777" w:rsidR="002E677B" w:rsidRPr="0098589B" w:rsidRDefault="0030170B" w:rsidP="0030170B">
      <w:pPr>
        <w:numPr>
          <w:ilvl w:val="0"/>
          <w:numId w:val="19"/>
        </w:numPr>
        <w:spacing w:after="0"/>
        <w:ind w:left="426" w:hanging="426"/>
        <w:contextualSpacing/>
        <w:rPr>
          <w:rFonts w:ascii="Arial" w:eastAsia="Calibri" w:hAnsi="Arial" w:cs="Arial"/>
          <w:b/>
          <w:lang w:val="en-GB"/>
        </w:rPr>
      </w:pPr>
      <w:r w:rsidRPr="0098589B">
        <w:rPr>
          <w:rFonts w:ascii="Arial" w:eastAsia="Calibri" w:hAnsi="Arial" w:cs="Arial"/>
          <w:lang w:val="en-GB"/>
        </w:rPr>
        <w:t>Values shall be stated in EUR in the data supply. The exchange rates are set by the central securities depository as follows: the exchange rates applied shall be the exchange rates valid as of the last day of the reporting year. Conversions shall use the exchange rate from the European Central Bank, if available.</w:t>
      </w:r>
    </w:p>
    <w:p w14:paraId="06AE1014" w14:textId="613EA5E7" w:rsidR="0030170B" w:rsidRPr="0098589B" w:rsidRDefault="0030170B" w:rsidP="0030170B">
      <w:pPr>
        <w:pStyle w:val="Listaszerbekezds"/>
        <w:numPr>
          <w:ilvl w:val="0"/>
          <w:numId w:val="0"/>
        </w:numPr>
        <w:spacing w:after="0"/>
        <w:ind w:left="720"/>
        <w:rPr>
          <w:rFonts w:ascii="Arial" w:eastAsia="Calibri" w:hAnsi="Arial" w:cs="Arial"/>
          <w:b/>
          <w:lang w:val="en-GB"/>
        </w:rPr>
      </w:pPr>
    </w:p>
    <w:p w14:paraId="5EAB7960" w14:textId="77777777" w:rsidR="0030170B" w:rsidRPr="0098589B" w:rsidRDefault="0030170B" w:rsidP="0030170B">
      <w:pPr>
        <w:numPr>
          <w:ilvl w:val="0"/>
          <w:numId w:val="19"/>
        </w:numPr>
        <w:spacing w:after="0"/>
        <w:ind w:left="426" w:hanging="426"/>
        <w:contextualSpacing/>
        <w:rPr>
          <w:rFonts w:ascii="Arial" w:eastAsia="Calibri" w:hAnsi="Arial" w:cs="Arial"/>
          <w:lang w:val="en-GB"/>
        </w:rPr>
      </w:pPr>
      <w:r w:rsidRPr="0098589B">
        <w:rPr>
          <w:rFonts w:ascii="Arial" w:hAnsi="Arial" w:cs="Arial"/>
          <w:lang w:val="en-GB"/>
        </w:rPr>
        <w:t>Taking into consideration the criteria stated in Article 5 (1) (a) and (b) of Commission Delegated Regulation (EU) 2017/389, the central securities depository shall report the data in Tables 01 and 02 as follows:</w:t>
      </w:r>
    </w:p>
    <w:p w14:paraId="4F783492" w14:textId="77777777" w:rsidR="002E677B" w:rsidRPr="0098589B" w:rsidRDefault="0030170B" w:rsidP="0030170B">
      <w:pPr>
        <w:pStyle w:val="Listaszerbekezds"/>
        <w:numPr>
          <w:ilvl w:val="0"/>
          <w:numId w:val="22"/>
        </w:numPr>
        <w:spacing w:after="0"/>
        <w:ind w:left="851"/>
        <w:rPr>
          <w:rFonts w:ascii="Arial" w:eastAsia="Calibri" w:hAnsi="Arial" w:cs="Arial"/>
          <w:lang w:val="en-GB"/>
        </w:rPr>
      </w:pPr>
      <w:r w:rsidRPr="0098589B">
        <w:rPr>
          <w:rFonts w:ascii="Arial" w:eastAsia="Calibri" w:hAnsi="Arial" w:cs="Arial"/>
          <w:lang w:val="en-GB"/>
        </w:rPr>
        <w:t xml:space="preserve"> the data supply shall contain the data of securities valid as of 31 December of the reporting year, excluding cancelled securities,</w:t>
      </w:r>
    </w:p>
    <w:p w14:paraId="43E0AD3B" w14:textId="77777777" w:rsidR="002E677B" w:rsidRPr="0098589B" w:rsidRDefault="0030170B" w:rsidP="0030170B">
      <w:pPr>
        <w:pStyle w:val="Listaszerbekezds"/>
        <w:numPr>
          <w:ilvl w:val="0"/>
          <w:numId w:val="22"/>
        </w:numPr>
        <w:spacing w:after="0"/>
        <w:ind w:left="851"/>
        <w:rPr>
          <w:rFonts w:ascii="Arial" w:eastAsia="Calibri" w:hAnsi="Arial" w:cs="Arial"/>
          <w:lang w:val="en-GB"/>
        </w:rPr>
      </w:pPr>
      <w:r w:rsidRPr="0098589B">
        <w:rPr>
          <w:rFonts w:ascii="Arial" w:hAnsi="Arial" w:cs="Arial"/>
          <w:lang w:val="en-GB"/>
        </w:rPr>
        <w:t>for each ISIN code, the market values applied as of 31 December of the reporting year and identified in accordance with Article 7 of Commission Delegated Regulation (EU) 2017/389 shall be used.</w:t>
      </w:r>
    </w:p>
    <w:p w14:paraId="3C020FF7" w14:textId="0C416587" w:rsidR="0030170B" w:rsidRPr="0098589B" w:rsidRDefault="0030170B" w:rsidP="0030170B">
      <w:pPr>
        <w:ind w:left="720"/>
        <w:contextualSpacing/>
        <w:rPr>
          <w:rFonts w:ascii="Arial" w:eastAsia="Calibri" w:hAnsi="Arial" w:cs="Arial"/>
          <w:lang w:val="en-GB"/>
        </w:rPr>
      </w:pPr>
    </w:p>
    <w:p w14:paraId="362B54B1" w14:textId="77777777" w:rsidR="0030170B" w:rsidRPr="0098589B" w:rsidRDefault="0030170B" w:rsidP="0030170B">
      <w:pPr>
        <w:pStyle w:val="Listaszerbekezds"/>
        <w:numPr>
          <w:ilvl w:val="0"/>
          <w:numId w:val="19"/>
        </w:numPr>
        <w:spacing w:after="0"/>
        <w:ind w:left="426" w:hanging="426"/>
        <w:rPr>
          <w:rFonts w:ascii="Arial" w:eastAsia="Calibri" w:hAnsi="Arial" w:cs="Arial"/>
          <w:lang w:val="en-GB"/>
        </w:rPr>
      </w:pPr>
      <w:r w:rsidRPr="0098589B">
        <w:rPr>
          <w:rFonts w:ascii="Arial" w:hAnsi="Arial" w:cs="Arial"/>
          <w:lang w:val="en-GB"/>
        </w:rPr>
        <w:t>Taking into consideration the criteria stated in Article 6 (1) (a) and (b) of Commission Delegated Regulation (EU) 2017/389, the central securities depository shall report the data in Tables 03 and 04 as follows:</w:t>
      </w:r>
    </w:p>
    <w:p w14:paraId="385C964E" w14:textId="77777777" w:rsidR="002E677B" w:rsidRPr="0098589B" w:rsidRDefault="0030170B" w:rsidP="0030170B">
      <w:pPr>
        <w:pStyle w:val="Listaszerbekezds"/>
        <w:numPr>
          <w:ilvl w:val="1"/>
          <w:numId w:val="21"/>
        </w:numPr>
        <w:spacing w:after="0"/>
        <w:ind w:left="851"/>
        <w:rPr>
          <w:rFonts w:ascii="Arial" w:eastAsia="Calibri" w:hAnsi="Arial" w:cs="Arial"/>
          <w:lang w:val="en-GB"/>
        </w:rPr>
      </w:pPr>
      <w:r w:rsidRPr="0098589B">
        <w:rPr>
          <w:rFonts w:ascii="Arial" w:eastAsia="Calibri" w:hAnsi="Arial" w:cs="Arial"/>
          <w:lang w:val="en-GB"/>
        </w:rPr>
        <w:t>the data shall contain the values of the settlement instructions executed by the central securities depository, as follows:</w:t>
      </w:r>
    </w:p>
    <w:p w14:paraId="0061597F" w14:textId="6887AF4A" w:rsidR="0030170B" w:rsidRPr="0098589B" w:rsidRDefault="0030170B" w:rsidP="0030170B">
      <w:pPr>
        <w:autoSpaceDE w:val="0"/>
        <w:autoSpaceDN w:val="0"/>
        <w:adjustRightInd w:val="0"/>
        <w:spacing w:after="120"/>
        <w:ind w:left="1418" w:hanging="284"/>
        <w:rPr>
          <w:rFonts w:ascii="Arial" w:eastAsia="Calibri" w:hAnsi="Arial" w:cs="Arial"/>
          <w:lang w:val="en-GB"/>
        </w:rPr>
      </w:pPr>
      <w:r w:rsidRPr="0098589B">
        <w:rPr>
          <w:rFonts w:ascii="Arial" w:eastAsia="Calibri" w:hAnsi="Arial" w:cs="Arial"/>
          <w:lang w:val="en-GB"/>
        </w:rPr>
        <w:t>aa) the data shall contain the absolute values of the settlements executed by the central securities depository in respect of the reporting year;</w:t>
      </w:r>
    </w:p>
    <w:p w14:paraId="31B3199B" w14:textId="5BC4D13C" w:rsidR="0030170B" w:rsidRPr="0098589B" w:rsidRDefault="0030170B" w:rsidP="0030170B">
      <w:pPr>
        <w:autoSpaceDE w:val="0"/>
        <w:autoSpaceDN w:val="0"/>
        <w:adjustRightInd w:val="0"/>
        <w:spacing w:after="120"/>
        <w:ind w:left="1418" w:hanging="284"/>
        <w:rPr>
          <w:rFonts w:ascii="Arial" w:eastAsia="Calibri" w:hAnsi="Arial" w:cs="Arial"/>
          <w:lang w:val="en-GB"/>
        </w:rPr>
      </w:pPr>
      <w:r w:rsidRPr="0098589B">
        <w:rPr>
          <w:rFonts w:ascii="Arial" w:eastAsia="Calibri" w:hAnsi="Arial" w:cs="Arial"/>
          <w:lang w:val="en-GB"/>
        </w:rPr>
        <w:t xml:space="preserve">ab) all categories of settlement instructions </w:t>
      </w:r>
      <w:r w:rsidR="009C7B9C">
        <w:rPr>
          <w:rFonts w:ascii="Arial" w:eastAsia="Calibri" w:hAnsi="Arial" w:cs="Arial"/>
          <w:lang w:val="en-GB"/>
        </w:rPr>
        <w:t xml:space="preserve">settled </w:t>
      </w:r>
      <w:r w:rsidRPr="0098589B">
        <w:rPr>
          <w:rFonts w:ascii="Arial" w:eastAsia="Calibri" w:hAnsi="Arial" w:cs="Arial"/>
          <w:lang w:val="en-GB"/>
        </w:rPr>
        <w:t>by the central securities depository shall be stated, regardless whether they apply to transactions executed at a trading venue or to over-the-counter ones;</w:t>
      </w:r>
    </w:p>
    <w:p w14:paraId="3EEA1931" w14:textId="2E83C9E2" w:rsidR="0030170B" w:rsidRPr="009C7B9C" w:rsidRDefault="0030170B" w:rsidP="0030170B">
      <w:pPr>
        <w:autoSpaceDE w:val="0"/>
        <w:autoSpaceDN w:val="0"/>
        <w:adjustRightInd w:val="0"/>
        <w:spacing w:after="120"/>
        <w:ind w:left="1418" w:hanging="284"/>
        <w:rPr>
          <w:rFonts w:ascii="Arial" w:eastAsia="Calibri" w:hAnsi="Arial" w:cs="Arial"/>
          <w:lang w:val="en-GB"/>
        </w:rPr>
      </w:pPr>
      <w:r w:rsidRPr="0098589B">
        <w:rPr>
          <w:rFonts w:ascii="Arial" w:eastAsia="Calibri" w:hAnsi="Arial" w:cs="Arial"/>
          <w:lang w:val="en-GB"/>
        </w:rPr>
        <w:t xml:space="preserve">ac) </w:t>
      </w:r>
      <w:r w:rsidR="009C7B9C" w:rsidRPr="009C7B9C">
        <w:rPr>
          <w:rFonts w:ascii="Arial" w:eastAsia="Calibri" w:hAnsi="Arial" w:cs="Arial"/>
          <w:lang w:val="en-GB"/>
        </w:rPr>
        <w:t xml:space="preserve">For operations composed of several transactions, such as securities repurchase or lending agreements, both legs shall be reported once settled </w:t>
      </w:r>
    </w:p>
    <w:p w14:paraId="264D0880" w14:textId="77777777" w:rsidR="002E677B" w:rsidRPr="00782A84" w:rsidRDefault="0030170B" w:rsidP="0030170B">
      <w:pPr>
        <w:autoSpaceDE w:val="0"/>
        <w:autoSpaceDN w:val="0"/>
        <w:adjustRightInd w:val="0"/>
        <w:spacing w:after="120"/>
        <w:ind w:left="1418" w:hanging="284"/>
        <w:rPr>
          <w:rFonts w:ascii="Arial" w:eastAsia="Calibri" w:hAnsi="Arial" w:cs="Arial"/>
          <w:lang w:val="en-GB"/>
        </w:rPr>
      </w:pPr>
      <w:r w:rsidRPr="0098589B">
        <w:rPr>
          <w:rFonts w:ascii="Arial" w:eastAsia="Calibri" w:hAnsi="Arial" w:cs="Arial"/>
          <w:lang w:val="en-GB"/>
        </w:rPr>
        <w:t xml:space="preserve">ad) in the case of settlements between central securities depositories, the central securities depository [issuer central securities depository (issuer CSD) or investor central securities depository (investor CSD)] shall </w:t>
      </w:r>
      <w:r w:rsidRPr="00782A84">
        <w:rPr>
          <w:rFonts w:ascii="Arial" w:eastAsia="Calibri" w:hAnsi="Arial" w:cs="Arial"/>
          <w:lang w:val="en-GB"/>
        </w:rPr>
        <w:t>report both sides of the transaction, i.e. it shall report the two settlement instructions;</w:t>
      </w:r>
    </w:p>
    <w:p w14:paraId="6F195BC4" w14:textId="77777777" w:rsidR="002E677B" w:rsidRPr="0098589B" w:rsidRDefault="0030170B" w:rsidP="0030170B">
      <w:pPr>
        <w:autoSpaceDE w:val="0"/>
        <w:autoSpaceDN w:val="0"/>
        <w:adjustRightInd w:val="0"/>
        <w:spacing w:after="120"/>
        <w:ind w:left="1418" w:hanging="284"/>
        <w:rPr>
          <w:rFonts w:ascii="Arial" w:eastAsia="Calibri" w:hAnsi="Arial" w:cs="Arial"/>
          <w:lang w:val="en-GB"/>
        </w:rPr>
      </w:pPr>
      <w:r w:rsidRPr="00782A84">
        <w:rPr>
          <w:rFonts w:ascii="Arial" w:eastAsia="Calibri" w:hAnsi="Arial" w:cs="Arial"/>
          <w:lang w:val="en-GB"/>
        </w:rPr>
        <w:t>ae) if more than one central securities depositories are involved in the settlement of a transaction through a standard, customised or indirect link, then only the central securities depository settling the two sides of the transaction (issuer central securities depository or investor central securities depository) shall supply data, and this central securities depository shall report both settlement instructions received, while the investor central securities depository ‘settling’ only one side of the transaction shall not supply data</w:t>
      </w:r>
      <w:r w:rsidRPr="0098589B">
        <w:rPr>
          <w:rFonts w:ascii="Arial" w:eastAsia="Calibri" w:hAnsi="Arial" w:cs="Arial"/>
          <w:lang w:val="en-GB"/>
        </w:rPr>
        <w:t>;</w:t>
      </w:r>
    </w:p>
    <w:p w14:paraId="09BFF40F" w14:textId="31D91B5C" w:rsidR="002E677B" w:rsidRPr="0098589B" w:rsidRDefault="0030170B" w:rsidP="0030170B">
      <w:pPr>
        <w:autoSpaceDE w:val="0"/>
        <w:autoSpaceDN w:val="0"/>
        <w:adjustRightInd w:val="0"/>
        <w:spacing w:after="120"/>
        <w:ind w:left="1418" w:hanging="284"/>
        <w:rPr>
          <w:rFonts w:ascii="Arial" w:eastAsia="Calibri" w:hAnsi="Arial" w:cs="Arial"/>
          <w:lang w:val="en-GB"/>
        </w:rPr>
      </w:pPr>
      <w:r w:rsidRPr="0098589B">
        <w:rPr>
          <w:rFonts w:ascii="Arial" w:eastAsia="Calibri" w:hAnsi="Arial" w:cs="Arial"/>
          <w:lang w:val="en-GB"/>
        </w:rPr>
        <w:lastRenderedPageBreak/>
        <w:t xml:space="preserve">af) in the case of central securities depositories that use a </w:t>
      </w:r>
      <w:r w:rsidR="009C7B9C">
        <w:rPr>
          <w:rFonts w:ascii="Arial" w:eastAsia="Calibri" w:hAnsi="Arial" w:cs="Arial"/>
          <w:lang w:val="en-GB"/>
        </w:rPr>
        <w:t xml:space="preserve">common </w:t>
      </w:r>
      <w:r w:rsidRPr="0098589B">
        <w:rPr>
          <w:rFonts w:ascii="Arial" w:eastAsia="Calibri" w:hAnsi="Arial" w:cs="Arial"/>
          <w:lang w:val="en-GB"/>
        </w:rPr>
        <w:t>settlement infrastructure or in the case of settlements via interoperable links, each central securities depository shall report the one settlement instruction it received regarding the particular transaction.</w:t>
      </w:r>
    </w:p>
    <w:p w14:paraId="469377EF" w14:textId="77777777" w:rsidR="002E677B" w:rsidRPr="0098589B" w:rsidRDefault="0030170B" w:rsidP="0030170B">
      <w:pPr>
        <w:pStyle w:val="Listaszerbekezds"/>
        <w:numPr>
          <w:ilvl w:val="1"/>
          <w:numId w:val="21"/>
        </w:numPr>
        <w:autoSpaceDE w:val="0"/>
        <w:autoSpaceDN w:val="0"/>
        <w:adjustRightInd w:val="0"/>
        <w:spacing w:after="120"/>
        <w:ind w:left="851"/>
        <w:rPr>
          <w:rFonts w:ascii="Arial" w:eastAsia="Calibri" w:hAnsi="Arial" w:cs="Arial"/>
          <w:lang w:val="en-GB"/>
        </w:rPr>
      </w:pPr>
      <w:r w:rsidRPr="0098589B">
        <w:rPr>
          <w:rFonts w:ascii="Arial" w:eastAsia="Calibri" w:hAnsi="Arial" w:cs="Arial"/>
          <w:lang w:val="en-GB"/>
        </w:rPr>
        <w:t>settlement instructions may concern the following types of transactions:</w:t>
      </w:r>
    </w:p>
    <w:p w14:paraId="2BBFEE26" w14:textId="77777777" w:rsidR="002E677B" w:rsidRPr="0098589B" w:rsidRDefault="0030170B" w:rsidP="0030170B">
      <w:pPr>
        <w:autoSpaceDE w:val="0"/>
        <w:autoSpaceDN w:val="0"/>
        <w:adjustRightInd w:val="0"/>
        <w:spacing w:after="120"/>
        <w:ind w:left="1418" w:hanging="284"/>
        <w:rPr>
          <w:rFonts w:ascii="Arial" w:eastAsia="Calibri" w:hAnsi="Arial" w:cs="Arial"/>
          <w:lang w:val="en-GB"/>
        </w:rPr>
      </w:pPr>
      <w:r w:rsidRPr="0098589B">
        <w:rPr>
          <w:rFonts w:ascii="Arial" w:eastAsia="Calibri" w:hAnsi="Arial" w:cs="Arial"/>
          <w:lang w:val="en-GB"/>
        </w:rPr>
        <w:t>ba) sale or purchase of securities (including the sale or purchase of securities on the primary market);</w:t>
      </w:r>
    </w:p>
    <w:p w14:paraId="14C64B83" w14:textId="77777777" w:rsidR="002E677B" w:rsidRPr="0098589B" w:rsidRDefault="0030170B" w:rsidP="0030170B">
      <w:pPr>
        <w:autoSpaceDE w:val="0"/>
        <w:autoSpaceDN w:val="0"/>
        <w:adjustRightInd w:val="0"/>
        <w:spacing w:after="120"/>
        <w:ind w:left="1418" w:hanging="284"/>
        <w:rPr>
          <w:rFonts w:ascii="Arial" w:eastAsia="Calibri" w:hAnsi="Arial" w:cs="Arial"/>
          <w:lang w:val="en-GB"/>
        </w:rPr>
      </w:pPr>
      <w:r w:rsidRPr="0098589B">
        <w:rPr>
          <w:rFonts w:ascii="Arial" w:hAnsi="Arial" w:cs="Arial"/>
          <w:lang w:val="en-GB"/>
        </w:rPr>
        <w:t>bb) collateral management operations [including triparty collateral management operations or auto-collaterisation operations];</w:t>
      </w:r>
    </w:p>
    <w:p w14:paraId="76FF2484" w14:textId="77777777" w:rsidR="002E677B" w:rsidRPr="0098589B" w:rsidRDefault="0030170B" w:rsidP="0030170B">
      <w:pPr>
        <w:autoSpaceDE w:val="0"/>
        <w:autoSpaceDN w:val="0"/>
        <w:adjustRightInd w:val="0"/>
        <w:spacing w:after="120"/>
        <w:ind w:left="1418" w:hanging="284"/>
        <w:rPr>
          <w:rFonts w:ascii="Arial" w:eastAsia="Calibri" w:hAnsi="Arial" w:cs="Arial"/>
          <w:lang w:val="en-GB"/>
        </w:rPr>
      </w:pPr>
      <w:r w:rsidRPr="0098589B">
        <w:rPr>
          <w:rFonts w:ascii="Arial" w:hAnsi="Arial" w:cs="Arial"/>
          <w:lang w:val="en-GB"/>
        </w:rPr>
        <w:t>bc) securities lending/borrowing operations;</w:t>
      </w:r>
    </w:p>
    <w:p w14:paraId="1FCEA198" w14:textId="77777777" w:rsidR="002E677B" w:rsidRPr="0098589B" w:rsidRDefault="0030170B" w:rsidP="0030170B">
      <w:pPr>
        <w:autoSpaceDE w:val="0"/>
        <w:autoSpaceDN w:val="0"/>
        <w:adjustRightInd w:val="0"/>
        <w:spacing w:after="120"/>
        <w:ind w:left="1418" w:hanging="284"/>
        <w:rPr>
          <w:rFonts w:ascii="Arial" w:eastAsia="Calibri" w:hAnsi="Arial" w:cs="Arial"/>
          <w:lang w:val="en-GB"/>
        </w:rPr>
      </w:pPr>
      <w:r w:rsidRPr="0098589B">
        <w:rPr>
          <w:rFonts w:ascii="Arial" w:eastAsia="Calibri" w:hAnsi="Arial" w:cs="Arial"/>
          <w:lang w:val="en-GB"/>
        </w:rPr>
        <w:t>bd) repo transactions;</w:t>
      </w:r>
    </w:p>
    <w:p w14:paraId="3C327F93" w14:textId="1DBAE4F1" w:rsidR="002E677B" w:rsidRPr="0098589B" w:rsidRDefault="0030170B" w:rsidP="0030170B">
      <w:pPr>
        <w:autoSpaceDE w:val="0"/>
        <w:autoSpaceDN w:val="0"/>
        <w:adjustRightInd w:val="0"/>
        <w:spacing w:after="120"/>
        <w:ind w:left="1418" w:hanging="284"/>
        <w:rPr>
          <w:rFonts w:ascii="Arial" w:eastAsia="Calibri" w:hAnsi="Arial" w:cs="Arial"/>
          <w:lang w:val="en-GB"/>
        </w:rPr>
      </w:pPr>
      <w:r w:rsidRPr="0098589B">
        <w:rPr>
          <w:rFonts w:ascii="Arial" w:eastAsia="Calibri" w:hAnsi="Arial" w:cs="Arial"/>
          <w:lang w:val="en-GB"/>
        </w:rPr>
        <w:t>be) other (</w:t>
      </w:r>
      <w:r w:rsidR="009C7B9C" w:rsidRPr="003B6F5D">
        <w:rPr>
          <w:rFonts w:ascii="Arial" w:eastAsia="Calibri" w:hAnsi="Arial" w:cs="Arial"/>
          <w:lang w:val="en-GB"/>
        </w:rPr>
        <w:t>including corporate actions on</w:t>
      </w:r>
      <w:r w:rsidR="009C7B9C" w:rsidRPr="009C7B9C">
        <w:rPr>
          <w:rFonts w:ascii="Arial" w:eastAsia="Calibri" w:hAnsi="Arial" w:cs="Arial"/>
        </w:rPr>
        <w:t xml:space="preserve"> flows</w:t>
      </w:r>
      <w:r w:rsidRPr="0098589B">
        <w:rPr>
          <w:rFonts w:ascii="Arial" w:eastAsia="Calibri" w:hAnsi="Arial" w:cs="Arial"/>
          <w:lang w:val="en-GB"/>
        </w:rPr>
        <w:t>, i.e. market claims and transformations).</w:t>
      </w:r>
    </w:p>
    <w:p w14:paraId="4A090843" w14:textId="77777777" w:rsidR="002E677B" w:rsidRPr="0098589B" w:rsidRDefault="0030170B" w:rsidP="0030170B">
      <w:pPr>
        <w:pStyle w:val="Listaszerbekezds"/>
        <w:numPr>
          <w:ilvl w:val="1"/>
          <w:numId w:val="21"/>
        </w:numPr>
        <w:autoSpaceDE w:val="0"/>
        <w:autoSpaceDN w:val="0"/>
        <w:adjustRightInd w:val="0"/>
        <w:spacing w:after="120"/>
        <w:ind w:left="851"/>
        <w:rPr>
          <w:rFonts w:ascii="Arial" w:eastAsia="Calibri" w:hAnsi="Arial" w:cs="Arial"/>
          <w:lang w:val="en-GB"/>
        </w:rPr>
      </w:pPr>
      <w:r w:rsidRPr="0098589B">
        <w:rPr>
          <w:rFonts w:ascii="Arial" w:eastAsia="Calibri" w:hAnsi="Arial" w:cs="Arial"/>
          <w:lang w:val="en-GB"/>
        </w:rPr>
        <w:t>the following transaction types need not be reported in the data supply:</w:t>
      </w:r>
    </w:p>
    <w:p w14:paraId="3A350ADD" w14:textId="5D9BF7E2" w:rsidR="002E677B" w:rsidRPr="0098589B" w:rsidRDefault="0030170B" w:rsidP="0030170B">
      <w:pPr>
        <w:autoSpaceDE w:val="0"/>
        <w:autoSpaceDN w:val="0"/>
        <w:adjustRightInd w:val="0"/>
        <w:spacing w:after="120"/>
        <w:ind w:left="1418" w:hanging="284"/>
        <w:rPr>
          <w:rFonts w:ascii="Arial" w:eastAsia="Calibri" w:hAnsi="Arial" w:cs="Arial"/>
          <w:lang w:val="en-GB"/>
        </w:rPr>
      </w:pPr>
      <w:r w:rsidRPr="0098589B">
        <w:rPr>
          <w:rFonts w:ascii="Arial" w:eastAsia="Calibri" w:hAnsi="Arial" w:cs="Arial"/>
          <w:lang w:val="en-GB"/>
        </w:rPr>
        <w:t xml:space="preserve">ca) corporate </w:t>
      </w:r>
      <w:r w:rsidR="003B6F5D">
        <w:rPr>
          <w:rFonts w:ascii="Arial" w:eastAsia="Calibri" w:hAnsi="Arial" w:cs="Arial"/>
          <w:lang w:val="en-GB"/>
        </w:rPr>
        <w:t>actions</w:t>
      </w:r>
      <w:r w:rsidRPr="0098589B">
        <w:rPr>
          <w:rFonts w:ascii="Arial" w:eastAsia="Calibri" w:hAnsi="Arial" w:cs="Arial"/>
          <w:lang w:val="en-GB"/>
        </w:rPr>
        <w:t xml:space="preserve"> </w:t>
      </w:r>
      <w:r w:rsidR="003B6F5D">
        <w:rPr>
          <w:rFonts w:ascii="Arial" w:eastAsia="Calibri" w:hAnsi="Arial" w:cs="Arial"/>
          <w:lang w:val="en-GB"/>
        </w:rPr>
        <w:t>on stock</w:t>
      </w:r>
      <w:r w:rsidRPr="0098589B">
        <w:rPr>
          <w:rFonts w:ascii="Arial" w:eastAsia="Calibri" w:hAnsi="Arial" w:cs="Arial"/>
          <w:lang w:val="en-GB"/>
        </w:rPr>
        <w:t xml:space="preserve">, </w:t>
      </w:r>
      <w:r w:rsidR="003B6F5D">
        <w:rPr>
          <w:rFonts w:ascii="Arial" w:eastAsia="Calibri" w:hAnsi="Arial" w:cs="Arial"/>
          <w:lang w:val="en-GB"/>
        </w:rPr>
        <w:t>such as cash distribution</w:t>
      </w:r>
      <w:r w:rsidRPr="0098589B">
        <w:rPr>
          <w:rFonts w:ascii="Arial" w:eastAsia="Calibri" w:hAnsi="Arial" w:cs="Arial"/>
          <w:lang w:val="en-GB"/>
        </w:rPr>
        <w:t xml:space="preserve"> (e.g. cash dividends, interest payment</w:t>
      </w:r>
      <w:r w:rsidR="003B6F5D" w:rsidRPr="0098589B">
        <w:rPr>
          <w:rFonts w:ascii="Arial" w:eastAsia="Calibri" w:hAnsi="Arial" w:cs="Arial"/>
          <w:lang w:val="en-GB"/>
        </w:rPr>
        <w:t>), securities</w:t>
      </w:r>
      <w:r w:rsidRPr="0098589B">
        <w:rPr>
          <w:rFonts w:ascii="Arial" w:eastAsia="Calibri" w:hAnsi="Arial" w:cs="Arial"/>
          <w:lang w:val="en-GB"/>
        </w:rPr>
        <w:t xml:space="preserve"> </w:t>
      </w:r>
      <w:r w:rsidR="003B6F5D">
        <w:rPr>
          <w:rFonts w:ascii="Arial" w:eastAsia="Calibri" w:hAnsi="Arial" w:cs="Arial"/>
          <w:lang w:val="en-GB"/>
        </w:rPr>
        <w:t xml:space="preserve">distribution </w:t>
      </w:r>
      <w:r w:rsidRPr="0098589B">
        <w:rPr>
          <w:rFonts w:ascii="Arial" w:eastAsia="Calibri" w:hAnsi="Arial" w:cs="Arial"/>
          <w:lang w:val="en-GB"/>
        </w:rPr>
        <w:t>(e.g. capital dividends, bonuses), reorganisations (e.g. conversion, stock split, redemption, tender offers);</w:t>
      </w:r>
    </w:p>
    <w:p w14:paraId="6301F253" w14:textId="77777777" w:rsidR="002E677B" w:rsidRPr="0098589B" w:rsidRDefault="0030170B" w:rsidP="0030170B">
      <w:pPr>
        <w:autoSpaceDE w:val="0"/>
        <w:autoSpaceDN w:val="0"/>
        <w:adjustRightInd w:val="0"/>
        <w:spacing w:after="120"/>
        <w:ind w:left="1418" w:hanging="284"/>
        <w:rPr>
          <w:rFonts w:ascii="Arial" w:eastAsia="Calibri" w:hAnsi="Arial" w:cs="Arial"/>
          <w:lang w:val="en-GB"/>
        </w:rPr>
      </w:pPr>
      <w:r w:rsidRPr="0098589B">
        <w:rPr>
          <w:rFonts w:ascii="Arial" w:eastAsia="Calibri" w:hAnsi="Arial" w:cs="Arial"/>
          <w:lang w:val="en-GB"/>
        </w:rPr>
        <w:t>cb) primary market operations, referring to the process of initial creation of securities;</w:t>
      </w:r>
    </w:p>
    <w:p w14:paraId="2EFD5BE9" w14:textId="727A9372" w:rsidR="002E677B" w:rsidRPr="003B6F5D" w:rsidRDefault="0030170B" w:rsidP="0030170B">
      <w:pPr>
        <w:autoSpaceDE w:val="0"/>
        <w:autoSpaceDN w:val="0"/>
        <w:adjustRightInd w:val="0"/>
        <w:spacing w:after="120"/>
        <w:ind w:left="1418" w:hanging="284"/>
        <w:rPr>
          <w:rFonts w:ascii="Arial" w:eastAsia="Calibri" w:hAnsi="Arial" w:cs="Arial"/>
          <w:lang w:val="en-GB"/>
        </w:rPr>
      </w:pPr>
      <w:r w:rsidRPr="003B6F5D">
        <w:rPr>
          <w:rFonts w:ascii="Arial" w:eastAsia="Calibri" w:hAnsi="Arial" w:cs="Arial"/>
          <w:lang w:val="en-GB"/>
        </w:rPr>
        <w:t xml:space="preserve">cd) </w:t>
      </w:r>
      <w:r w:rsidR="003B6F5D" w:rsidRPr="003B6F5D">
        <w:rPr>
          <w:rFonts w:ascii="Arial" w:eastAsia="Calibri" w:hAnsi="Arial" w:cs="Arial"/>
          <w:lang w:val="en-GB"/>
        </w:rPr>
        <w:t>creation and redemption of fund units, meaning the technical creation and redemption of fund units, unless such creation and redemption of fund units is done through transfer orders in a securities settlement system operated by a central securities depository;</w:t>
      </w:r>
    </w:p>
    <w:p w14:paraId="6F746B0B" w14:textId="77777777" w:rsidR="002E677B" w:rsidRPr="003B6F5D" w:rsidRDefault="0030170B" w:rsidP="0030170B">
      <w:pPr>
        <w:autoSpaceDE w:val="0"/>
        <w:autoSpaceDN w:val="0"/>
        <w:adjustRightInd w:val="0"/>
        <w:spacing w:after="120"/>
        <w:ind w:left="1418" w:hanging="284"/>
        <w:rPr>
          <w:rFonts w:ascii="Arial" w:eastAsia="Calibri" w:hAnsi="Arial" w:cs="Arial"/>
          <w:lang w:val="en-GB"/>
        </w:rPr>
      </w:pPr>
      <w:r w:rsidRPr="003B6F5D">
        <w:rPr>
          <w:rFonts w:ascii="Arial" w:eastAsia="Calibri" w:hAnsi="Arial" w:cs="Arial"/>
          <w:lang w:val="en-GB"/>
        </w:rPr>
        <w:t>ce) realignment operations.</w:t>
      </w:r>
    </w:p>
    <w:p w14:paraId="04D308EF" w14:textId="77777777" w:rsidR="002E677B" w:rsidRPr="0098589B" w:rsidRDefault="0030170B" w:rsidP="0030170B">
      <w:pPr>
        <w:pStyle w:val="Listaszerbekezds"/>
        <w:numPr>
          <w:ilvl w:val="1"/>
          <w:numId w:val="21"/>
        </w:numPr>
        <w:autoSpaceDE w:val="0"/>
        <w:autoSpaceDN w:val="0"/>
        <w:adjustRightInd w:val="0"/>
        <w:spacing w:after="120"/>
        <w:ind w:left="993"/>
        <w:rPr>
          <w:rFonts w:ascii="Arial" w:eastAsia="Calibri" w:hAnsi="Arial" w:cs="Arial"/>
          <w:lang w:val="en-GB"/>
        </w:rPr>
      </w:pPr>
      <w:r w:rsidRPr="0098589B">
        <w:rPr>
          <w:rFonts w:ascii="Arial" w:hAnsi="Arial" w:cs="Arial"/>
          <w:lang w:val="en-GB"/>
        </w:rPr>
        <w:t>for free-of-payment (FOP) settlement instructions referred to in Article 6 (2) (b) of Commission Delegated Regulation (EU) 2017/389, market value shall be determined based on the values of the individual settlement instructions as of their date of execution.</w:t>
      </w:r>
    </w:p>
    <w:p w14:paraId="3F05DC23" w14:textId="65D3AE4F" w:rsidR="0030170B" w:rsidRPr="0098589B" w:rsidRDefault="0030170B" w:rsidP="0030170B">
      <w:pPr>
        <w:pStyle w:val="Listaszerbekezds"/>
        <w:numPr>
          <w:ilvl w:val="0"/>
          <w:numId w:val="0"/>
        </w:numPr>
        <w:autoSpaceDE w:val="0"/>
        <w:autoSpaceDN w:val="0"/>
        <w:adjustRightInd w:val="0"/>
        <w:spacing w:after="120"/>
        <w:ind w:left="993"/>
        <w:rPr>
          <w:rFonts w:ascii="Arial" w:eastAsia="Calibri" w:hAnsi="Arial" w:cs="Arial"/>
          <w:lang w:val="en-GB"/>
        </w:rPr>
      </w:pPr>
    </w:p>
    <w:p w14:paraId="17F9595E" w14:textId="77777777" w:rsidR="002E677B" w:rsidRPr="0098589B" w:rsidRDefault="0030170B" w:rsidP="0030170B">
      <w:pPr>
        <w:pStyle w:val="Listaszerbekezds"/>
        <w:numPr>
          <w:ilvl w:val="0"/>
          <w:numId w:val="19"/>
        </w:numPr>
        <w:autoSpaceDE w:val="0"/>
        <w:autoSpaceDN w:val="0"/>
        <w:adjustRightInd w:val="0"/>
        <w:spacing w:after="120"/>
        <w:rPr>
          <w:rFonts w:ascii="Arial" w:eastAsia="Calibri" w:hAnsi="Arial" w:cs="Arial"/>
          <w:lang w:val="en-GB"/>
        </w:rPr>
      </w:pPr>
      <w:r w:rsidRPr="0098589B">
        <w:rPr>
          <w:rFonts w:ascii="Arial" w:hAnsi="Arial" w:cs="Arial"/>
          <w:lang w:val="en-GB"/>
        </w:rPr>
        <w:t>In Table 01, the issuer’s home Member State shall be considered for the criteria in Article 5 (1) (a) of Commission Delegated Regulation (EU) 2017/389.</w:t>
      </w:r>
    </w:p>
    <w:p w14:paraId="6BA2329E" w14:textId="77777777" w:rsidR="002E677B" w:rsidRPr="0098589B" w:rsidRDefault="0030170B" w:rsidP="0030170B">
      <w:pPr>
        <w:numPr>
          <w:ilvl w:val="0"/>
          <w:numId w:val="19"/>
        </w:numPr>
        <w:autoSpaceDE w:val="0"/>
        <w:autoSpaceDN w:val="0"/>
        <w:adjustRightInd w:val="0"/>
        <w:spacing w:after="120"/>
        <w:ind w:left="426" w:hanging="426"/>
        <w:rPr>
          <w:rFonts w:ascii="Arial" w:eastAsia="Calibri" w:hAnsi="Arial" w:cs="Arial"/>
          <w:lang w:val="en-GB"/>
        </w:rPr>
      </w:pPr>
      <w:r w:rsidRPr="0098589B">
        <w:rPr>
          <w:rFonts w:ascii="Arial" w:hAnsi="Arial" w:cs="Arial"/>
          <w:lang w:val="en-GB"/>
        </w:rPr>
        <w:t>In Tables 02 and 04, taking into account the criteria in Article 5 (1) (b) and Article 6 (1) (b) of Commission Delegated Regulation (EU) 2017/389, the home Member State of the parent undertaking shall be taken into account the regarding participants and other holders of securities accounts that are branches.</w:t>
      </w:r>
    </w:p>
    <w:p w14:paraId="16835425" w14:textId="77777777" w:rsidR="002E677B" w:rsidRPr="0098589B" w:rsidRDefault="0030170B" w:rsidP="0030170B">
      <w:pPr>
        <w:numPr>
          <w:ilvl w:val="0"/>
          <w:numId w:val="19"/>
        </w:numPr>
        <w:spacing w:after="120"/>
        <w:ind w:left="426" w:hanging="426"/>
        <w:rPr>
          <w:rFonts w:ascii="Arial" w:eastAsia="Calibri" w:hAnsi="Arial" w:cs="Arial"/>
          <w:b/>
          <w:lang w:val="en-GB"/>
        </w:rPr>
      </w:pPr>
      <w:r w:rsidRPr="0098589B">
        <w:rPr>
          <w:rFonts w:ascii="Arial" w:hAnsi="Arial" w:cs="Arial"/>
          <w:lang w:val="en-GB"/>
        </w:rPr>
        <w:t>The central securities depository shall also report the services provided in respect of the home Member State (for example, within the meaning of the criterion in Article 5 (1) (a) of Commission Delegated Regulation (EU) 2017/389, the data supplied by the central securities depository shall include the securities issued by the issuers of the home Member State of the central securities depository and not only the securities issued by the issuers of the host Member States).</w:t>
      </w:r>
    </w:p>
    <w:p w14:paraId="08ECBFED" w14:textId="73BC367D" w:rsidR="0030170B" w:rsidRPr="0098589B" w:rsidRDefault="0030170B" w:rsidP="0030170B">
      <w:pPr>
        <w:spacing w:after="120"/>
        <w:ind w:left="426"/>
        <w:rPr>
          <w:rFonts w:ascii="Arial" w:eastAsia="Calibri" w:hAnsi="Arial" w:cs="Arial"/>
          <w:b/>
          <w:lang w:val="en-GB"/>
        </w:rPr>
      </w:pPr>
    </w:p>
    <w:p w14:paraId="7D8B9A1F" w14:textId="77777777" w:rsidR="0030170B" w:rsidRPr="0098589B" w:rsidRDefault="0030170B" w:rsidP="00992D4C">
      <w:pPr>
        <w:keepNext/>
        <w:spacing w:after="0" w:line="240" w:lineRule="auto"/>
        <w:rPr>
          <w:rFonts w:ascii="Arial" w:eastAsia="Calibri" w:hAnsi="Arial" w:cs="Arial"/>
          <w:b/>
          <w:lang w:val="en-GB"/>
        </w:rPr>
      </w:pPr>
      <w:r w:rsidRPr="0098589B">
        <w:rPr>
          <w:rFonts w:ascii="Arial" w:hAnsi="Arial" w:cs="Arial"/>
          <w:b/>
          <w:bCs/>
          <w:lang w:val="en-GB"/>
        </w:rPr>
        <w:t>II.</w:t>
      </w:r>
      <w:r w:rsidRPr="0098589B">
        <w:rPr>
          <w:rFonts w:ascii="Arial" w:hAnsi="Arial" w:cs="Arial"/>
          <w:lang w:val="en-GB"/>
        </w:rPr>
        <w:tab/>
      </w:r>
      <w:r w:rsidRPr="0098589B">
        <w:rPr>
          <w:rFonts w:ascii="Arial" w:hAnsi="Arial" w:cs="Arial"/>
          <w:b/>
          <w:bCs/>
          <w:lang w:val="en-GB"/>
        </w:rPr>
        <w:t>Detailed instructions for specific columns in the tables</w:t>
      </w:r>
    </w:p>
    <w:p w14:paraId="6FA48BD9" w14:textId="77777777" w:rsidR="0030170B" w:rsidRPr="0098589B" w:rsidRDefault="0030170B" w:rsidP="00992D4C">
      <w:pPr>
        <w:keepNext/>
        <w:spacing w:after="0"/>
        <w:rPr>
          <w:rFonts w:ascii="Arial" w:eastAsia="Calibri" w:hAnsi="Arial" w:cs="Arial"/>
          <w:lang w:val="en-GB"/>
        </w:rPr>
      </w:pPr>
    </w:p>
    <w:p w14:paraId="1695F5F3" w14:textId="77777777" w:rsidR="0030170B" w:rsidRPr="0098589B" w:rsidRDefault="0030170B" w:rsidP="0030170B">
      <w:pPr>
        <w:rPr>
          <w:rFonts w:ascii="Arial" w:eastAsia="Calibri" w:hAnsi="Arial" w:cs="Arial"/>
          <w:b/>
          <w:lang w:val="en-GB"/>
        </w:rPr>
      </w:pPr>
      <w:r w:rsidRPr="0098589B">
        <w:rPr>
          <w:rFonts w:ascii="Arial" w:eastAsia="Calibri" w:hAnsi="Arial" w:cs="Arial"/>
          <w:b/>
          <w:bCs/>
          <w:lang w:val="en-GB"/>
        </w:rPr>
        <w:t>Table 01: substantial importance as per Article 5 (1) (a) of Commission Delegated Regulation (EU) 2017/389</w:t>
      </w:r>
    </w:p>
    <w:p w14:paraId="12093755" w14:textId="77777777" w:rsidR="0030170B" w:rsidRPr="0098589B" w:rsidRDefault="0030170B" w:rsidP="0030170B">
      <w:pPr>
        <w:contextualSpacing/>
        <w:rPr>
          <w:rFonts w:ascii="Arial" w:eastAsia="Calibri" w:hAnsi="Arial" w:cs="Arial"/>
          <w:lang w:val="en-GB"/>
        </w:rPr>
      </w:pPr>
      <w:r w:rsidRPr="0098589B">
        <w:rPr>
          <w:rFonts w:ascii="Arial" w:eastAsia="Calibri" w:hAnsi="Arial" w:cs="Arial"/>
          <w:lang w:val="en-GB"/>
        </w:rPr>
        <w:t>Columns 3 to 30 shall contain (in a breakdown by host Member State) the total market value of financial instruments issued by issuers of the host Member State where the central securities depository is responsible for their initial recording and centralised account management. For host Member States for whose issuers the central securities depository has not provided such services, the relevant column shall be left blank.</w:t>
      </w:r>
    </w:p>
    <w:p w14:paraId="069C795F" w14:textId="77777777" w:rsidR="0030170B" w:rsidRPr="0098589B" w:rsidRDefault="0030170B" w:rsidP="0030170B">
      <w:pPr>
        <w:spacing w:before="240"/>
        <w:rPr>
          <w:rFonts w:ascii="Arial" w:eastAsia="Calibri" w:hAnsi="Arial" w:cs="Arial"/>
          <w:b/>
          <w:lang w:val="en-GB"/>
        </w:rPr>
      </w:pPr>
      <w:r w:rsidRPr="0098589B">
        <w:rPr>
          <w:rFonts w:ascii="Arial" w:eastAsia="Calibri" w:hAnsi="Arial" w:cs="Arial"/>
          <w:b/>
          <w:bCs/>
          <w:lang w:val="en-GB"/>
        </w:rPr>
        <w:t>Table 02: substantial importance as per Article 5 (1) (b) of Commission Delegated Regulation (EU) 2017/389</w:t>
      </w:r>
    </w:p>
    <w:p w14:paraId="3BE8DB8C" w14:textId="77777777" w:rsidR="0030170B" w:rsidRPr="0098589B" w:rsidRDefault="0030170B" w:rsidP="0030170B">
      <w:pPr>
        <w:spacing w:after="120"/>
        <w:rPr>
          <w:rFonts w:ascii="Arial" w:eastAsia="Calibri" w:hAnsi="Arial" w:cs="Arial"/>
          <w:lang w:val="en-GB"/>
        </w:rPr>
      </w:pPr>
      <w:r w:rsidRPr="0098589B">
        <w:rPr>
          <w:rFonts w:ascii="Arial" w:eastAsia="Calibri" w:hAnsi="Arial" w:cs="Arial"/>
          <w:lang w:val="en-GB"/>
        </w:rPr>
        <w:lastRenderedPageBreak/>
        <w:t>Columns 3 to 30 shall contain (in a breakdown by host Member State) the total market value of the financial instruments whose central management on securities accounts is performed by the central securities depository for participants and other holders of securities accounts in the host Member State. Where the central securities depository has not provided such services for participants and other holders of securities accounts of a particular host Member State, the relevant column shall be left blank.</w:t>
      </w:r>
    </w:p>
    <w:p w14:paraId="6F3B5FE0" w14:textId="77777777" w:rsidR="0030170B" w:rsidRPr="0098589B" w:rsidRDefault="0030170B" w:rsidP="0030170B">
      <w:pPr>
        <w:spacing w:before="240"/>
        <w:rPr>
          <w:rFonts w:ascii="Arial" w:eastAsia="Calibri" w:hAnsi="Arial" w:cs="Arial"/>
          <w:b/>
          <w:lang w:val="en-GB"/>
        </w:rPr>
      </w:pPr>
      <w:r w:rsidRPr="0098589B">
        <w:rPr>
          <w:rFonts w:ascii="Arial" w:eastAsia="Calibri" w:hAnsi="Arial" w:cs="Arial"/>
          <w:b/>
          <w:bCs/>
          <w:lang w:val="en-GB"/>
        </w:rPr>
        <w:t>Table 03: substantial importance as per Article 6 (1) (a) of Commission Delegated Regulation (EU) 2017/389</w:t>
      </w:r>
    </w:p>
    <w:p w14:paraId="53DA024B" w14:textId="77777777" w:rsidR="0030170B" w:rsidRPr="0098589B" w:rsidRDefault="0030170B" w:rsidP="0030170B">
      <w:pPr>
        <w:spacing w:after="120"/>
        <w:rPr>
          <w:rFonts w:ascii="Arial" w:eastAsia="Calibri" w:hAnsi="Arial" w:cs="Arial"/>
          <w:lang w:val="en-GB"/>
        </w:rPr>
      </w:pPr>
      <w:r w:rsidRPr="0098589B">
        <w:rPr>
          <w:rFonts w:ascii="Arial" w:eastAsia="Calibri" w:hAnsi="Arial" w:cs="Arial"/>
          <w:lang w:val="en-GB"/>
        </w:rPr>
        <w:t>Columns 3 to 30 shall contain (in a breakdown by host Member State) the annual value of settlement instructions for transactions in financial instruments issued by issuers of the host Member State and settled by the central securities depository. Values shall be stated in EUR. For host Member States for whose issuers the central securities depository has not provided such services, the relevant column shall be left blank.</w:t>
      </w:r>
    </w:p>
    <w:p w14:paraId="6D96E311" w14:textId="77777777" w:rsidR="0030170B" w:rsidRPr="0098589B" w:rsidRDefault="0030170B" w:rsidP="0030170B">
      <w:pPr>
        <w:spacing w:before="240"/>
        <w:rPr>
          <w:rFonts w:ascii="Arial" w:eastAsia="Calibri" w:hAnsi="Arial" w:cs="Arial"/>
          <w:b/>
          <w:lang w:val="en-GB"/>
        </w:rPr>
      </w:pPr>
      <w:r w:rsidRPr="0098589B">
        <w:rPr>
          <w:rFonts w:ascii="Arial" w:eastAsia="Calibri" w:hAnsi="Arial" w:cs="Arial"/>
          <w:b/>
          <w:bCs/>
          <w:lang w:val="en-GB"/>
        </w:rPr>
        <w:t>Table 04: substantial importance as per Article 6 (1) (b) of Commission Delegated Regulation (EU) 2017/389</w:t>
      </w:r>
    </w:p>
    <w:p w14:paraId="5091EBA0" w14:textId="77777777" w:rsidR="0030170B" w:rsidRPr="0098589B" w:rsidRDefault="0030170B" w:rsidP="0030170B">
      <w:pPr>
        <w:spacing w:after="120"/>
        <w:rPr>
          <w:rFonts w:ascii="Arial" w:eastAsia="Calibri" w:hAnsi="Arial" w:cs="Arial"/>
          <w:lang w:val="en-GB"/>
        </w:rPr>
      </w:pPr>
      <w:r w:rsidRPr="0098589B">
        <w:rPr>
          <w:rFonts w:ascii="Arial" w:eastAsia="Calibri" w:hAnsi="Arial" w:cs="Arial"/>
          <w:lang w:val="en-GB"/>
        </w:rPr>
        <w:t>Columns 3 to 30 shall contain (in a breakdown by host Member State), the annual value of settlement instructions executed by the central securities depository for participants and other holders of securities accounts of the host Member State. Values shall be stated in EUR. Where the central securities depository has not provided such services to participants and other holders of securities accounts of a particular host Member State, the relevant column shall be left blank.</w:t>
      </w:r>
    </w:p>
    <w:p w14:paraId="09093B0F" w14:textId="77777777" w:rsidR="0030170B" w:rsidRPr="0098589B" w:rsidRDefault="0030170B" w:rsidP="0030170B">
      <w:pPr>
        <w:spacing w:before="240"/>
        <w:rPr>
          <w:rFonts w:ascii="Arial" w:eastAsia="Calibri" w:hAnsi="Arial" w:cs="Arial"/>
          <w:b/>
          <w:lang w:val="en-GB"/>
        </w:rPr>
      </w:pPr>
      <w:r w:rsidRPr="0098589B">
        <w:rPr>
          <w:rFonts w:ascii="Arial" w:eastAsia="Calibri" w:hAnsi="Arial" w:cs="Arial"/>
          <w:b/>
          <w:bCs/>
          <w:lang w:val="en-GB"/>
        </w:rPr>
        <w:t>Table 05: substantial importance as per Article 6 (1) (c) of Commission Delegated Regulation (EU) 2017/389</w:t>
      </w:r>
    </w:p>
    <w:p w14:paraId="422B716F" w14:textId="77777777" w:rsidR="0030170B" w:rsidRPr="0098589B" w:rsidRDefault="0030170B" w:rsidP="0030170B">
      <w:pPr>
        <w:spacing w:after="120"/>
        <w:rPr>
          <w:rFonts w:ascii="Arial" w:eastAsia="Calibri" w:hAnsi="Arial" w:cs="Arial"/>
          <w:lang w:val="en-GB"/>
        </w:rPr>
      </w:pPr>
      <w:r w:rsidRPr="0098589B">
        <w:rPr>
          <w:rFonts w:ascii="Arial" w:eastAsia="Calibri" w:hAnsi="Arial" w:cs="Arial"/>
          <w:lang w:val="en-GB"/>
        </w:rPr>
        <w:t>Column 3 shall contain the Member State under whose law the central securities depository operates the securities settlement system.</w:t>
      </w:r>
    </w:p>
    <w:p w14:paraId="57A54762" w14:textId="77777777" w:rsidR="00B944EB" w:rsidRPr="0098589B" w:rsidRDefault="00B944EB" w:rsidP="00B944EB">
      <w:pPr>
        <w:rPr>
          <w:rFonts w:ascii="Arial" w:hAnsi="Arial" w:cs="Arial"/>
          <w:lang w:val="en-GB"/>
        </w:rPr>
      </w:pPr>
    </w:p>
    <w:sectPr w:rsidR="00B944EB" w:rsidRPr="0098589B"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BA78B7" w14:textId="77777777" w:rsidR="00CB7A17" w:rsidRDefault="00CB7A17">
      <w:r>
        <w:separator/>
      </w:r>
    </w:p>
  </w:endnote>
  <w:endnote w:type="continuationSeparator" w:id="0">
    <w:p w14:paraId="77DCFB74" w14:textId="77777777" w:rsidR="00CB7A17" w:rsidRDefault="00CB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E7764" w14:textId="3D88C225" w:rsidR="009E3A57" w:rsidRPr="00AC6950" w:rsidRDefault="009E3A57" w:rsidP="00AC6950">
    <w:pPr>
      <w:tabs>
        <w:tab w:val="left" w:pos="8460"/>
      </w:tabs>
      <w:rPr>
        <w:sz w:val="18"/>
        <w:szCs w:val="18"/>
      </w:rPr>
    </w:pPr>
    <w:r>
      <w:rPr>
        <w:lang w:val="e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F1359" w14:textId="77777777" w:rsidR="00CB7A17" w:rsidRDefault="00CB7A17">
      <w:r>
        <w:separator/>
      </w:r>
    </w:p>
  </w:footnote>
  <w:footnote w:type="continuationSeparator" w:id="0">
    <w:p w14:paraId="6DDF5070" w14:textId="77777777" w:rsidR="00CB7A17" w:rsidRDefault="00CB7A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06C90"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83628"/>
    <w:multiLevelType w:val="hybridMultilevel"/>
    <w:tmpl w:val="C02279EC"/>
    <w:lvl w:ilvl="0" w:tplc="0809000F">
      <w:start w:val="1"/>
      <w:numFmt w:val="decimal"/>
      <w:lvlText w:val="%1."/>
      <w:lvlJc w:val="left"/>
      <w:pPr>
        <w:ind w:left="720" w:hanging="360"/>
      </w:pPr>
    </w:lvl>
    <w:lvl w:ilvl="1" w:tplc="040E0017">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7"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D9045D8"/>
    <w:multiLevelType w:val="hybridMultilevel"/>
    <w:tmpl w:val="845079FA"/>
    <w:lvl w:ilvl="0" w:tplc="0809000F">
      <w:start w:val="1"/>
      <w:numFmt w:val="decimal"/>
      <w:lvlText w:val="%1."/>
      <w:lvlJc w:val="left"/>
      <w:pPr>
        <w:ind w:left="720" w:hanging="360"/>
      </w:pPr>
    </w:lvl>
    <w:lvl w:ilvl="1" w:tplc="040E0017">
      <w:start w:val="1"/>
      <w:numFmt w:val="lowerLetter"/>
      <w:lvlText w:val="%2)"/>
      <w:lvlJc w:val="left"/>
      <w:pPr>
        <w:ind w:left="1440" w:hanging="360"/>
      </w:pPr>
    </w:lvl>
    <w:lvl w:ilvl="2" w:tplc="E5EE9A50">
      <w:start w:val="1"/>
      <w:numFmt w:val="upperRoman"/>
      <w:lvlText w:val="%3."/>
      <w:lvlJc w:val="left"/>
      <w:pPr>
        <w:ind w:left="2700" w:hanging="720"/>
      </w:pPr>
      <w:rPr>
        <w:rFonts w:eastAsia="Times New Roman" w:cs="Aria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BF02C2"/>
    <w:multiLevelType w:val="multilevel"/>
    <w:tmpl w:val="C8064A20"/>
    <w:lvl w:ilvl="0">
      <w:start w:val="1"/>
      <w:numFmt w:val="decimal"/>
      <w:lvlText w:val="%1."/>
      <w:lvlJc w:val="left"/>
      <w:pPr>
        <w:ind w:left="360" w:hanging="360"/>
      </w:pPr>
      <w:rPr>
        <w:b w:val="0"/>
      </w:rPr>
    </w:lvl>
    <w:lvl w:ilvl="1">
      <w:start w:val="1"/>
      <w:numFmt w:val="lowerRoman"/>
      <w:lvlText w:val="%2."/>
      <w:lvlJc w:val="righ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7B5E26EE"/>
    <w:multiLevelType w:val="hybridMultilevel"/>
    <w:tmpl w:val="C944CD14"/>
    <w:lvl w:ilvl="0" w:tplc="7DDAA56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5"/>
  </w:num>
  <w:num w:numId="2">
    <w:abstractNumId w:val="3"/>
  </w:num>
  <w:num w:numId="3">
    <w:abstractNumId w:val="6"/>
  </w:num>
  <w:num w:numId="4">
    <w:abstractNumId w:val="1"/>
  </w:num>
  <w:num w:numId="5">
    <w:abstractNumId w:val="2"/>
  </w:num>
  <w:num w:numId="6">
    <w:abstractNumId w:val="8"/>
  </w:num>
  <w:num w:numId="7">
    <w:abstractNumId w:val="4"/>
  </w:num>
  <w:num w:numId="8">
    <w:abstractNumId w:val="12"/>
  </w:num>
  <w:num w:numId="9">
    <w:abstractNumId w:val="8"/>
    <w:lvlOverride w:ilvl="0">
      <w:startOverride w:val="1"/>
    </w:lvlOverride>
  </w:num>
  <w:num w:numId="10">
    <w:abstractNumId w:val="13"/>
  </w:num>
  <w:num w:numId="11">
    <w:abstractNumId w:val="9"/>
  </w:num>
  <w:num w:numId="12">
    <w:abstractNumId w:val="7"/>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1"/>
  </w:num>
  <w:num w:numId="20">
    <w:abstractNumId w:val="10"/>
  </w:num>
  <w:num w:numId="21">
    <w:abstractNumId w:val="0"/>
  </w:num>
  <w:num w:numId="2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944"/>
    <w:rsid w:val="0000273C"/>
    <w:rsid w:val="00017B1B"/>
    <w:rsid w:val="0002498B"/>
    <w:rsid w:val="000250E6"/>
    <w:rsid w:val="00027695"/>
    <w:rsid w:val="00027B62"/>
    <w:rsid w:val="00033357"/>
    <w:rsid w:val="00035697"/>
    <w:rsid w:val="0005577F"/>
    <w:rsid w:val="00060148"/>
    <w:rsid w:val="00063216"/>
    <w:rsid w:val="0006374F"/>
    <w:rsid w:val="00064546"/>
    <w:rsid w:val="000674BE"/>
    <w:rsid w:val="00067BE2"/>
    <w:rsid w:val="00067C0C"/>
    <w:rsid w:val="000714EC"/>
    <w:rsid w:val="0008131E"/>
    <w:rsid w:val="00081934"/>
    <w:rsid w:val="000831EC"/>
    <w:rsid w:val="00087E97"/>
    <w:rsid w:val="000904C4"/>
    <w:rsid w:val="000A3A63"/>
    <w:rsid w:val="000A6BBA"/>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654"/>
    <w:rsid w:val="0010447E"/>
    <w:rsid w:val="0010496C"/>
    <w:rsid w:val="0010576B"/>
    <w:rsid w:val="00110868"/>
    <w:rsid w:val="00113C88"/>
    <w:rsid w:val="001255A4"/>
    <w:rsid w:val="00132260"/>
    <w:rsid w:val="00133A51"/>
    <w:rsid w:val="001356A6"/>
    <w:rsid w:val="001357D0"/>
    <w:rsid w:val="00136260"/>
    <w:rsid w:val="001421CC"/>
    <w:rsid w:val="00143691"/>
    <w:rsid w:val="00150045"/>
    <w:rsid w:val="00152DBF"/>
    <w:rsid w:val="00166F6C"/>
    <w:rsid w:val="001747F6"/>
    <w:rsid w:val="0018359E"/>
    <w:rsid w:val="0018619A"/>
    <w:rsid w:val="001870A7"/>
    <w:rsid w:val="00197350"/>
    <w:rsid w:val="001A2BAA"/>
    <w:rsid w:val="001B3486"/>
    <w:rsid w:val="001C0FAA"/>
    <w:rsid w:val="001C24F1"/>
    <w:rsid w:val="001C466F"/>
    <w:rsid w:val="001C5C33"/>
    <w:rsid w:val="001D4211"/>
    <w:rsid w:val="001D5999"/>
    <w:rsid w:val="001D59FD"/>
    <w:rsid w:val="001D60A8"/>
    <w:rsid w:val="001D7401"/>
    <w:rsid w:val="001E34FF"/>
    <w:rsid w:val="001E4231"/>
    <w:rsid w:val="001E621D"/>
    <w:rsid w:val="001F0E5D"/>
    <w:rsid w:val="001F1610"/>
    <w:rsid w:val="002012AD"/>
    <w:rsid w:val="00206642"/>
    <w:rsid w:val="00214230"/>
    <w:rsid w:val="0021484C"/>
    <w:rsid w:val="0022056B"/>
    <w:rsid w:val="0022764E"/>
    <w:rsid w:val="00240C97"/>
    <w:rsid w:val="0024525F"/>
    <w:rsid w:val="002522F1"/>
    <w:rsid w:val="002602F5"/>
    <w:rsid w:val="002611AE"/>
    <w:rsid w:val="0026180A"/>
    <w:rsid w:val="00270724"/>
    <w:rsid w:val="00271371"/>
    <w:rsid w:val="00273052"/>
    <w:rsid w:val="0027402D"/>
    <w:rsid w:val="002751D4"/>
    <w:rsid w:val="002866DE"/>
    <w:rsid w:val="00287D15"/>
    <w:rsid w:val="00290D47"/>
    <w:rsid w:val="00292177"/>
    <w:rsid w:val="002A3B0E"/>
    <w:rsid w:val="002B3674"/>
    <w:rsid w:val="002B4D45"/>
    <w:rsid w:val="002B6B78"/>
    <w:rsid w:val="002B6D25"/>
    <w:rsid w:val="002B78E0"/>
    <w:rsid w:val="002C728F"/>
    <w:rsid w:val="002C7AB8"/>
    <w:rsid w:val="002C7D4D"/>
    <w:rsid w:val="002C7DD0"/>
    <w:rsid w:val="002D5E55"/>
    <w:rsid w:val="002E677B"/>
    <w:rsid w:val="002F34ED"/>
    <w:rsid w:val="002F602F"/>
    <w:rsid w:val="00300EE3"/>
    <w:rsid w:val="0030170B"/>
    <w:rsid w:val="00302136"/>
    <w:rsid w:val="00313246"/>
    <w:rsid w:val="003231ED"/>
    <w:rsid w:val="00327A74"/>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B6F5D"/>
    <w:rsid w:val="003C5699"/>
    <w:rsid w:val="003D04DD"/>
    <w:rsid w:val="003D52BC"/>
    <w:rsid w:val="003F128A"/>
    <w:rsid w:val="0041484F"/>
    <w:rsid w:val="00423D50"/>
    <w:rsid w:val="0043276D"/>
    <w:rsid w:val="004330EA"/>
    <w:rsid w:val="00434DC6"/>
    <w:rsid w:val="004413FF"/>
    <w:rsid w:val="00442ABF"/>
    <w:rsid w:val="004451FE"/>
    <w:rsid w:val="00453087"/>
    <w:rsid w:val="00455A38"/>
    <w:rsid w:val="00465939"/>
    <w:rsid w:val="0047029F"/>
    <w:rsid w:val="004729CE"/>
    <w:rsid w:val="00474131"/>
    <w:rsid w:val="0048183A"/>
    <w:rsid w:val="00491483"/>
    <w:rsid w:val="004919C2"/>
    <w:rsid w:val="004924CA"/>
    <w:rsid w:val="00494C89"/>
    <w:rsid w:val="004A58E3"/>
    <w:rsid w:val="004A5F09"/>
    <w:rsid w:val="004B1A68"/>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546E"/>
    <w:rsid w:val="0052584F"/>
    <w:rsid w:val="005312FD"/>
    <w:rsid w:val="00544934"/>
    <w:rsid w:val="00557A68"/>
    <w:rsid w:val="00561175"/>
    <w:rsid w:val="005648EE"/>
    <w:rsid w:val="00571C3C"/>
    <w:rsid w:val="005763C5"/>
    <w:rsid w:val="00581D24"/>
    <w:rsid w:val="0058459E"/>
    <w:rsid w:val="00586D4D"/>
    <w:rsid w:val="005A011E"/>
    <w:rsid w:val="005A3531"/>
    <w:rsid w:val="005A3DDE"/>
    <w:rsid w:val="005A788E"/>
    <w:rsid w:val="005B0A26"/>
    <w:rsid w:val="005C3F73"/>
    <w:rsid w:val="005C498A"/>
    <w:rsid w:val="005C5BB7"/>
    <w:rsid w:val="005D1A2C"/>
    <w:rsid w:val="005F3818"/>
    <w:rsid w:val="005F3E3D"/>
    <w:rsid w:val="00602F0C"/>
    <w:rsid w:val="00603723"/>
    <w:rsid w:val="00610E45"/>
    <w:rsid w:val="00627BFA"/>
    <w:rsid w:val="00642A07"/>
    <w:rsid w:val="00643529"/>
    <w:rsid w:val="00643CB4"/>
    <w:rsid w:val="00644BE4"/>
    <w:rsid w:val="0067570F"/>
    <w:rsid w:val="00681108"/>
    <w:rsid w:val="00690C97"/>
    <w:rsid w:val="0069441B"/>
    <w:rsid w:val="006A54BA"/>
    <w:rsid w:val="006A66EB"/>
    <w:rsid w:val="006B0392"/>
    <w:rsid w:val="006B2726"/>
    <w:rsid w:val="006B4271"/>
    <w:rsid w:val="006B556F"/>
    <w:rsid w:val="006B6D00"/>
    <w:rsid w:val="006C2C3D"/>
    <w:rsid w:val="006C4871"/>
    <w:rsid w:val="006C700F"/>
    <w:rsid w:val="006D0881"/>
    <w:rsid w:val="006D3867"/>
    <w:rsid w:val="006E2D52"/>
    <w:rsid w:val="006E45F8"/>
    <w:rsid w:val="006E5F78"/>
    <w:rsid w:val="006F0376"/>
    <w:rsid w:val="006F39C8"/>
    <w:rsid w:val="006F5D02"/>
    <w:rsid w:val="006F6144"/>
    <w:rsid w:val="00702E90"/>
    <w:rsid w:val="00703E97"/>
    <w:rsid w:val="0070653D"/>
    <w:rsid w:val="00707C38"/>
    <w:rsid w:val="007236B8"/>
    <w:rsid w:val="0072398E"/>
    <w:rsid w:val="00732D87"/>
    <w:rsid w:val="00737660"/>
    <w:rsid w:val="007376E0"/>
    <w:rsid w:val="00744A1F"/>
    <w:rsid w:val="00746D82"/>
    <w:rsid w:val="007474DD"/>
    <w:rsid w:val="00754A11"/>
    <w:rsid w:val="00767D3F"/>
    <w:rsid w:val="00774306"/>
    <w:rsid w:val="00782A84"/>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60131"/>
    <w:rsid w:val="00860860"/>
    <w:rsid w:val="00864147"/>
    <w:rsid w:val="00864468"/>
    <w:rsid w:val="00866547"/>
    <w:rsid w:val="00866E71"/>
    <w:rsid w:val="008935BD"/>
    <w:rsid w:val="008936DF"/>
    <w:rsid w:val="008A1C40"/>
    <w:rsid w:val="008B61E3"/>
    <w:rsid w:val="008C474C"/>
    <w:rsid w:val="008C56D8"/>
    <w:rsid w:val="008D6221"/>
    <w:rsid w:val="008E26F2"/>
    <w:rsid w:val="008E3579"/>
    <w:rsid w:val="00903AC3"/>
    <w:rsid w:val="009228DF"/>
    <w:rsid w:val="00925712"/>
    <w:rsid w:val="00926EA9"/>
    <w:rsid w:val="00930F98"/>
    <w:rsid w:val="00933E50"/>
    <w:rsid w:val="00934193"/>
    <w:rsid w:val="00934F6E"/>
    <w:rsid w:val="00937A0B"/>
    <w:rsid w:val="0094233D"/>
    <w:rsid w:val="00950ACA"/>
    <w:rsid w:val="00957F22"/>
    <w:rsid w:val="00961F15"/>
    <w:rsid w:val="0096282F"/>
    <w:rsid w:val="00962FE4"/>
    <w:rsid w:val="009665AC"/>
    <w:rsid w:val="0098589B"/>
    <w:rsid w:val="00990B18"/>
    <w:rsid w:val="00992D4C"/>
    <w:rsid w:val="009A4F0C"/>
    <w:rsid w:val="009B2208"/>
    <w:rsid w:val="009B7F1B"/>
    <w:rsid w:val="009C09A6"/>
    <w:rsid w:val="009C6632"/>
    <w:rsid w:val="009C7B9C"/>
    <w:rsid w:val="009D0800"/>
    <w:rsid w:val="009D1272"/>
    <w:rsid w:val="009D2629"/>
    <w:rsid w:val="009D3B3D"/>
    <w:rsid w:val="009D4156"/>
    <w:rsid w:val="009E3A57"/>
    <w:rsid w:val="009E7AC9"/>
    <w:rsid w:val="009F413A"/>
    <w:rsid w:val="00A00F2A"/>
    <w:rsid w:val="00A03212"/>
    <w:rsid w:val="00A16867"/>
    <w:rsid w:val="00A17909"/>
    <w:rsid w:val="00A2173F"/>
    <w:rsid w:val="00A244C7"/>
    <w:rsid w:val="00A26654"/>
    <w:rsid w:val="00A26ED3"/>
    <w:rsid w:val="00A3105B"/>
    <w:rsid w:val="00A34F95"/>
    <w:rsid w:val="00A44C60"/>
    <w:rsid w:val="00A5096A"/>
    <w:rsid w:val="00A56BCD"/>
    <w:rsid w:val="00A57D44"/>
    <w:rsid w:val="00A60012"/>
    <w:rsid w:val="00A77604"/>
    <w:rsid w:val="00A800A3"/>
    <w:rsid w:val="00A8495F"/>
    <w:rsid w:val="00A917E0"/>
    <w:rsid w:val="00A94C01"/>
    <w:rsid w:val="00AA7D28"/>
    <w:rsid w:val="00AB3E83"/>
    <w:rsid w:val="00AB5B26"/>
    <w:rsid w:val="00AB7DBF"/>
    <w:rsid w:val="00AC6950"/>
    <w:rsid w:val="00AE3CD1"/>
    <w:rsid w:val="00AE41D5"/>
    <w:rsid w:val="00AE4D73"/>
    <w:rsid w:val="00AF1C92"/>
    <w:rsid w:val="00AF7B9B"/>
    <w:rsid w:val="00B06F8B"/>
    <w:rsid w:val="00B15880"/>
    <w:rsid w:val="00B1673D"/>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3AF0"/>
    <w:rsid w:val="00C01E8F"/>
    <w:rsid w:val="00C0501F"/>
    <w:rsid w:val="00C06F2F"/>
    <w:rsid w:val="00C07885"/>
    <w:rsid w:val="00C136F8"/>
    <w:rsid w:val="00C146F6"/>
    <w:rsid w:val="00C1563C"/>
    <w:rsid w:val="00C17469"/>
    <w:rsid w:val="00C20799"/>
    <w:rsid w:val="00C22FB8"/>
    <w:rsid w:val="00C31F64"/>
    <w:rsid w:val="00C43AC5"/>
    <w:rsid w:val="00C522BD"/>
    <w:rsid w:val="00C63F2A"/>
    <w:rsid w:val="00C64F11"/>
    <w:rsid w:val="00C72FB8"/>
    <w:rsid w:val="00C907C0"/>
    <w:rsid w:val="00C93837"/>
    <w:rsid w:val="00C962E5"/>
    <w:rsid w:val="00CA398B"/>
    <w:rsid w:val="00CB7A17"/>
    <w:rsid w:val="00CC4CB1"/>
    <w:rsid w:val="00CD36BC"/>
    <w:rsid w:val="00CD6E8D"/>
    <w:rsid w:val="00CD724F"/>
    <w:rsid w:val="00CE188C"/>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46B0"/>
    <w:rsid w:val="00D964EE"/>
    <w:rsid w:val="00DA2679"/>
    <w:rsid w:val="00DA3039"/>
    <w:rsid w:val="00DA31D2"/>
    <w:rsid w:val="00DA6B88"/>
    <w:rsid w:val="00DA73B6"/>
    <w:rsid w:val="00DB127D"/>
    <w:rsid w:val="00DD62AD"/>
    <w:rsid w:val="00DD7153"/>
    <w:rsid w:val="00DF4F58"/>
    <w:rsid w:val="00E11F2F"/>
    <w:rsid w:val="00E13A3A"/>
    <w:rsid w:val="00E14CD2"/>
    <w:rsid w:val="00E301AE"/>
    <w:rsid w:val="00E315BC"/>
    <w:rsid w:val="00E33610"/>
    <w:rsid w:val="00E35139"/>
    <w:rsid w:val="00E44555"/>
    <w:rsid w:val="00E4526A"/>
    <w:rsid w:val="00E50608"/>
    <w:rsid w:val="00E5165B"/>
    <w:rsid w:val="00E52ABA"/>
    <w:rsid w:val="00E5314F"/>
    <w:rsid w:val="00E653E3"/>
    <w:rsid w:val="00E66AEE"/>
    <w:rsid w:val="00E70FF5"/>
    <w:rsid w:val="00E736A7"/>
    <w:rsid w:val="00E87C26"/>
    <w:rsid w:val="00EA2361"/>
    <w:rsid w:val="00EB11D4"/>
    <w:rsid w:val="00EB2886"/>
    <w:rsid w:val="00EB398E"/>
    <w:rsid w:val="00EC4096"/>
    <w:rsid w:val="00EC429C"/>
    <w:rsid w:val="00EC6A51"/>
    <w:rsid w:val="00ED0199"/>
    <w:rsid w:val="00ED05AC"/>
    <w:rsid w:val="00ED10E2"/>
    <w:rsid w:val="00EE4050"/>
    <w:rsid w:val="00EE4149"/>
    <w:rsid w:val="00F04867"/>
    <w:rsid w:val="00F04E3E"/>
    <w:rsid w:val="00F10771"/>
    <w:rsid w:val="00F205E5"/>
    <w:rsid w:val="00F20944"/>
    <w:rsid w:val="00F512A3"/>
    <w:rsid w:val="00F51AB4"/>
    <w:rsid w:val="00F523A8"/>
    <w:rsid w:val="00F54723"/>
    <w:rsid w:val="00F57359"/>
    <w:rsid w:val="00F57AF5"/>
    <w:rsid w:val="00F60A86"/>
    <w:rsid w:val="00F62B87"/>
    <w:rsid w:val="00F65208"/>
    <w:rsid w:val="00F67BE6"/>
    <w:rsid w:val="00F702E1"/>
    <w:rsid w:val="00F748BE"/>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B90D6FE"/>
  <w15:chartTrackingRefBased/>
  <w15:docId w15:val="{25E30332-DABB-43A2-AF63-211A74B42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DA31D2"/>
    <w:pPr>
      <w:spacing w:after="150" w:line="276" w:lineRule="auto"/>
      <w:jc w:val="both"/>
    </w:pPr>
  </w:style>
  <w:style w:type="paragraph" w:styleId="Cmsor1">
    <w:name w:val="heading 1"/>
    <w:basedOn w:val="Norml"/>
    <w:next w:val="Norml"/>
    <w:link w:val="Cmsor1Char"/>
    <w:qFormat/>
    <w:rsid w:val="00DA31D2"/>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DA31D2"/>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DA31D2"/>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DA31D2"/>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DA31D2"/>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DA31D2"/>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DA31D2"/>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DA31D2"/>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DA31D2"/>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DA31D2"/>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DA31D2"/>
  </w:style>
  <w:style w:type="table" w:customStyle="1" w:styleId="tblzat-mtrix">
    <w:name w:val="táblázat - mátrix"/>
    <w:basedOn w:val="Normltblzat"/>
    <w:uiPriority w:val="2"/>
    <w:qFormat/>
    <w:rsid w:val="00DA31D2"/>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DA31D2"/>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DA31D2"/>
    <w:pPr>
      <w:numPr>
        <w:numId w:val="9"/>
      </w:numPr>
      <w:contextualSpacing/>
    </w:pPr>
  </w:style>
  <w:style w:type="character" w:styleId="Hiperhivatkozs">
    <w:name w:val="Hyperlink"/>
    <w:basedOn w:val="Vgjegyzet-hivatkozs"/>
    <w:uiPriority w:val="99"/>
    <w:rsid w:val="00DA31D2"/>
    <w:rPr>
      <w:rFonts w:ascii="Calibri" w:hAnsi="Calibri"/>
      <w:color w:val="0000FF"/>
      <w:sz w:val="20"/>
      <w:u w:val="single"/>
      <w:vertAlign w:val="superscript"/>
    </w:rPr>
  </w:style>
  <w:style w:type="table" w:customStyle="1" w:styleId="tblzat-oldallces">
    <w:name w:val="táblázat - oldalléces"/>
    <w:basedOn w:val="Normltblzat"/>
    <w:uiPriority w:val="3"/>
    <w:qFormat/>
    <w:rsid w:val="00DA31D2"/>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DA31D2"/>
    <w:rPr>
      <w:vertAlign w:val="superscript"/>
    </w:rPr>
  </w:style>
  <w:style w:type="paragraph" w:styleId="Buborkszveg">
    <w:name w:val="Balloon Text"/>
    <w:basedOn w:val="Norml"/>
    <w:link w:val="BuborkszvegChar"/>
    <w:uiPriority w:val="99"/>
    <w:semiHidden/>
    <w:unhideWhenUsed/>
    <w:rsid w:val="00DA31D2"/>
    <w:rPr>
      <w:rFonts w:ascii="Tahoma" w:hAnsi="Tahoma" w:cs="Tahoma"/>
      <w:sz w:val="16"/>
      <w:szCs w:val="16"/>
    </w:rPr>
  </w:style>
  <w:style w:type="paragraph" w:customStyle="1" w:styleId="Magyarzszveg">
    <w:name w:val="Magyarázó szöveg"/>
    <w:basedOn w:val="Norml"/>
    <w:next w:val="Norml"/>
    <w:uiPriority w:val="7"/>
    <w:rsid w:val="00DA31D2"/>
    <w:rPr>
      <w:color w:val="F6A800" w:themeColor="accent5"/>
      <w:sz w:val="18"/>
    </w:rPr>
  </w:style>
  <w:style w:type="character" w:customStyle="1" w:styleId="BuborkszvegChar">
    <w:name w:val="Buborékszöveg Char"/>
    <w:basedOn w:val="Bekezdsalapbettpusa"/>
    <w:link w:val="Buborkszveg"/>
    <w:uiPriority w:val="99"/>
    <w:semiHidden/>
    <w:rsid w:val="00DA31D2"/>
    <w:rPr>
      <w:rFonts w:ascii="Tahoma" w:hAnsi="Tahoma" w:cs="Tahoma"/>
      <w:sz w:val="16"/>
      <w:szCs w:val="16"/>
    </w:rPr>
  </w:style>
  <w:style w:type="paragraph" w:styleId="lfej">
    <w:name w:val="header"/>
    <w:basedOn w:val="Norml"/>
    <w:link w:val="lfejChar"/>
    <w:uiPriority w:val="99"/>
    <w:unhideWhenUsed/>
    <w:rsid w:val="00DA31D2"/>
    <w:pPr>
      <w:tabs>
        <w:tab w:val="center" w:pos="4536"/>
        <w:tab w:val="right" w:pos="9072"/>
      </w:tabs>
    </w:pPr>
  </w:style>
  <w:style w:type="character" w:customStyle="1" w:styleId="lfejChar">
    <w:name w:val="Élőfej Char"/>
    <w:basedOn w:val="Bekezdsalapbettpusa"/>
    <w:link w:val="lfej"/>
    <w:uiPriority w:val="99"/>
    <w:rsid w:val="00DA31D2"/>
  </w:style>
  <w:style w:type="paragraph" w:styleId="llb">
    <w:name w:val="footer"/>
    <w:basedOn w:val="Norml"/>
    <w:link w:val="llbChar"/>
    <w:uiPriority w:val="99"/>
    <w:unhideWhenUsed/>
    <w:rsid w:val="00DA31D2"/>
    <w:pPr>
      <w:tabs>
        <w:tab w:val="center" w:pos="4536"/>
        <w:tab w:val="right" w:pos="9072"/>
      </w:tabs>
    </w:pPr>
  </w:style>
  <w:style w:type="character" w:customStyle="1" w:styleId="llbChar">
    <w:name w:val="Élőláb Char"/>
    <w:basedOn w:val="Bekezdsalapbettpusa"/>
    <w:link w:val="llb"/>
    <w:uiPriority w:val="99"/>
    <w:rsid w:val="00DA31D2"/>
  </w:style>
  <w:style w:type="paragraph" w:customStyle="1" w:styleId="Szmozs">
    <w:name w:val="Számozás"/>
    <w:basedOn w:val="Norml"/>
    <w:uiPriority w:val="4"/>
    <w:qFormat/>
    <w:rsid w:val="00DA31D2"/>
    <w:pPr>
      <w:numPr>
        <w:numId w:val="4"/>
      </w:numPr>
      <w:spacing w:before="120"/>
      <w:contextualSpacing/>
    </w:pPr>
  </w:style>
  <w:style w:type="table" w:styleId="Rcsostblzat">
    <w:name w:val="Table Grid"/>
    <w:aliases w:val="Szegély nélküli"/>
    <w:basedOn w:val="Normltblzat"/>
    <w:uiPriority w:val="59"/>
    <w:rsid w:val="00DA31D2"/>
    <w:pPr>
      <w:contextualSpacing/>
    </w:pPr>
    <w:tblPr/>
    <w:tcPr>
      <w:vAlign w:val="center"/>
    </w:tcPr>
  </w:style>
  <w:style w:type="character" w:customStyle="1" w:styleId="Cmsor4Char">
    <w:name w:val="Címsor 4 Char"/>
    <w:basedOn w:val="Bekezdsalapbettpusa"/>
    <w:link w:val="Cmsor4"/>
    <w:rsid w:val="00DA31D2"/>
    <w:rPr>
      <w:iCs/>
      <w:color w:val="0C2148" w:themeColor="text2"/>
      <w:szCs w:val="30"/>
    </w:rPr>
  </w:style>
  <w:style w:type="character" w:customStyle="1" w:styleId="Cmsor5Char">
    <w:name w:val="Címsor 5 Char"/>
    <w:basedOn w:val="Bekezdsalapbettpusa"/>
    <w:link w:val="Cmsor5"/>
    <w:rsid w:val="00DA31D2"/>
    <w:rPr>
      <w:color w:val="0C2148" w:themeColor="text2"/>
      <w:szCs w:val="26"/>
    </w:rPr>
  </w:style>
  <w:style w:type="character" w:customStyle="1" w:styleId="Cmsor6Char">
    <w:name w:val="Címsor 6 Char"/>
    <w:basedOn w:val="Bekezdsalapbettpusa"/>
    <w:link w:val="Cmsor6"/>
    <w:rsid w:val="00DA31D2"/>
    <w:rPr>
      <w:color w:val="0C2148" w:themeColor="text2"/>
    </w:rPr>
  </w:style>
  <w:style w:type="character" w:customStyle="1" w:styleId="Cmsor1Char">
    <w:name w:val="Címsor 1 Char"/>
    <w:basedOn w:val="Bekezdsalapbettpusa"/>
    <w:link w:val="Cmsor1"/>
    <w:rsid w:val="00DA31D2"/>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DA31D2"/>
    <w:rPr>
      <w:b/>
      <w:color w:val="0C2148" w:themeColor="text2"/>
      <w:sz w:val="24"/>
      <w:szCs w:val="38"/>
    </w:rPr>
  </w:style>
  <w:style w:type="character" w:customStyle="1" w:styleId="Cmsor3Char">
    <w:name w:val="Címsor 3 Char"/>
    <w:basedOn w:val="Bekezdsalapbettpusa"/>
    <w:link w:val="Cmsor3"/>
    <w:rsid w:val="00DA31D2"/>
    <w:rPr>
      <w:bCs/>
      <w:color w:val="0C2148" w:themeColor="text2"/>
      <w:szCs w:val="34"/>
    </w:rPr>
  </w:style>
  <w:style w:type="paragraph" w:styleId="Cm">
    <w:name w:val="Title"/>
    <w:basedOn w:val="Norml"/>
    <w:next w:val="Norml"/>
    <w:link w:val="CmChar"/>
    <w:uiPriority w:val="3"/>
    <w:qFormat/>
    <w:rsid w:val="00DA31D2"/>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DA31D2"/>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DA31D2"/>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DA31D2"/>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DA31D2"/>
    <w:rPr>
      <w:rFonts w:eastAsiaTheme="majorEastAsia" w:cstheme="majorBidi"/>
      <w:i/>
      <w:iCs/>
      <w:color w:val="404040" w:themeColor="text1" w:themeTint="BF"/>
    </w:rPr>
  </w:style>
  <w:style w:type="numbering" w:customStyle="1" w:styleId="Style1">
    <w:name w:val="Style1"/>
    <w:uiPriority w:val="99"/>
    <w:rsid w:val="00DA31D2"/>
    <w:pPr>
      <w:numPr>
        <w:numId w:val="1"/>
      </w:numPr>
    </w:pPr>
  </w:style>
  <w:style w:type="paragraph" w:styleId="TJ7">
    <w:name w:val="toc 7"/>
    <w:basedOn w:val="Norml"/>
    <w:next w:val="Norml"/>
    <w:autoRedefine/>
    <w:uiPriority w:val="99"/>
    <w:semiHidden/>
    <w:locked/>
    <w:rsid w:val="00DA31D2"/>
    <w:pPr>
      <w:spacing w:after="100"/>
      <w:ind w:left="1200"/>
    </w:pPr>
    <w:rPr>
      <w:color w:val="385623" w:themeColor="accent6" w:themeShade="80"/>
    </w:rPr>
  </w:style>
  <w:style w:type="paragraph" w:styleId="TJ8">
    <w:name w:val="toc 8"/>
    <w:basedOn w:val="Norml"/>
    <w:next w:val="Norml"/>
    <w:autoRedefine/>
    <w:uiPriority w:val="99"/>
    <w:semiHidden/>
    <w:locked/>
    <w:rsid w:val="00DA31D2"/>
    <w:pPr>
      <w:spacing w:after="100"/>
      <w:ind w:left="1400"/>
    </w:pPr>
    <w:rPr>
      <w:color w:val="385623" w:themeColor="accent6" w:themeShade="80"/>
    </w:rPr>
  </w:style>
  <w:style w:type="paragraph" w:styleId="TJ9">
    <w:name w:val="toc 9"/>
    <w:basedOn w:val="Norml"/>
    <w:next w:val="Norml"/>
    <w:autoRedefine/>
    <w:uiPriority w:val="99"/>
    <w:semiHidden/>
    <w:locked/>
    <w:rsid w:val="00DA31D2"/>
    <w:pPr>
      <w:spacing w:after="100"/>
      <w:ind w:left="1600"/>
    </w:pPr>
    <w:rPr>
      <w:color w:val="385623" w:themeColor="accent6" w:themeShade="80"/>
    </w:rPr>
  </w:style>
  <w:style w:type="table" w:customStyle="1" w:styleId="Calendar2">
    <w:name w:val="Calendar 2"/>
    <w:basedOn w:val="Normltblzat"/>
    <w:uiPriority w:val="99"/>
    <w:qFormat/>
    <w:rsid w:val="00DA31D2"/>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DA31D2"/>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DA31D2"/>
    <w:rPr>
      <w:rFonts w:eastAsiaTheme="minorEastAsia"/>
      <w:color w:val="0C2148" w:themeColor="text2"/>
      <w:sz w:val="16"/>
    </w:rPr>
  </w:style>
  <w:style w:type="character" w:styleId="Finomkiemels">
    <w:name w:val="Subtle Emphasis"/>
    <w:basedOn w:val="Bekezdsalapbettpusa"/>
    <w:uiPriority w:val="19"/>
    <w:qFormat/>
    <w:rsid w:val="00DA31D2"/>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DA31D2"/>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DA31D2"/>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DA31D2"/>
    <w:rPr>
      <w:color w:val="385623" w:themeColor="accent6" w:themeShade="80"/>
    </w:rPr>
  </w:style>
  <w:style w:type="character" w:customStyle="1" w:styleId="VgjegyzetszvegeChar">
    <w:name w:val="Végjegyzet szövege Char"/>
    <w:basedOn w:val="Bekezdsalapbettpusa"/>
    <w:link w:val="Vgjegyzetszvege"/>
    <w:uiPriority w:val="99"/>
    <w:semiHidden/>
    <w:rsid w:val="00DA31D2"/>
    <w:rPr>
      <w:color w:val="385623" w:themeColor="accent6" w:themeShade="80"/>
    </w:rPr>
  </w:style>
  <w:style w:type="table" w:customStyle="1" w:styleId="Vilgosrnykols1jellszn1">
    <w:name w:val="Világos árnyékolás – 1. jelölőszín1"/>
    <w:basedOn w:val="Normltblzat"/>
    <w:uiPriority w:val="60"/>
    <w:rsid w:val="00DA31D2"/>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DA31D2"/>
    <w:pPr>
      <w:numPr>
        <w:numId w:val="5"/>
      </w:numPr>
    </w:pPr>
  </w:style>
  <w:style w:type="paragraph" w:customStyle="1" w:styleId="Tblaszvegstlus">
    <w:name w:val="Tábla szöveg stílus"/>
    <w:basedOn w:val="Norml"/>
    <w:link w:val="TblaszvegstlusChar"/>
    <w:uiPriority w:val="8"/>
    <w:qFormat/>
    <w:rsid w:val="00DA31D2"/>
  </w:style>
  <w:style w:type="character" w:customStyle="1" w:styleId="ListaszerbekezdsChar">
    <w:name w:val="Listaszerű bekezdés Char"/>
    <w:basedOn w:val="Bekezdsalapbettpusa"/>
    <w:link w:val="Listaszerbekezds"/>
    <w:uiPriority w:val="4"/>
    <w:rsid w:val="00DA31D2"/>
  </w:style>
  <w:style w:type="character" w:customStyle="1" w:styleId="Listaszerbekezds2Char">
    <w:name w:val="Listaszerű bekezdés 2 Char"/>
    <w:basedOn w:val="ListaszerbekezdsChar"/>
    <w:link w:val="Listaszerbekezds2"/>
    <w:uiPriority w:val="4"/>
    <w:rsid w:val="00DA31D2"/>
  </w:style>
  <w:style w:type="character" w:customStyle="1" w:styleId="TblaszvegstlusChar">
    <w:name w:val="Tábla szöveg stílus Char"/>
    <w:basedOn w:val="Bekezdsalapbettpusa"/>
    <w:link w:val="Tblaszvegstlus"/>
    <w:uiPriority w:val="8"/>
    <w:rsid w:val="00DA31D2"/>
  </w:style>
  <w:style w:type="character" w:styleId="Finomhivatkozs">
    <w:name w:val="Subtle Reference"/>
    <w:basedOn w:val="Bekezdsalapbettpusa"/>
    <w:uiPriority w:val="31"/>
    <w:rsid w:val="00DA31D2"/>
    <w:rPr>
      <w:sz w:val="24"/>
      <w:szCs w:val="24"/>
      <w:u w:val="single"/>
    </w:rPr>
  </w:style>
  <w:style w:type="character" w:styleId="Ershivatkozs">
    <w:name w:val="Intense Reference"/>
    <w:basedOn w:val="Bekezdsalapbettpusa"/>
    <w:uiPriority w:val="32"/>
    <w:rsid w:val="00DA31D2"/>
    <w:rPr>
      <w:b/>
      <w:sz w:val="24"/>
      <w:u w:val="single"/>
    </w:rPr>
  </w:style>
  <w:style w:type="paragraph" w:customStyle="1" w:styleId="Listaszerbekezds2szint">
    <w:name w:val="Listaszerű bekezdés 2. szint"/>
    <w:basedOn w:val="Listaszerbekezds"/>
    <w:link w:val="Listaszerbekezds2szintChar"/>
    <w:uiPriority w:val="4"/>
    <w:qFormat/>
    <w:rsid w:val="00DA31D2"/>
    <w:pPr>
      <w:numPr>
        <w:numId w:val="8"/>
      </w:numPr>
    </w:pPr>
  </w:style>
  <w:style w:type="paragraph" w:customStyle="1" w:styleId="Listaszerbekezds3szint">
    <w:name w:val="Listaszerű bekezdés 3. szint"/>
    <w:basedOn w:val="Listaszerbekezds"/>
    <w:link w:val="Listaszerbekezds3szintChar"/>
    <w:uiPriority w:val="4"/>
    <w:qFormat/>
    <w:rsid w:val="00DA31D2"/>
    <w:pPr>
      <w:numPr>
        <w:ilvl w:val="2"/>
        <w:numId w:val="10"/>
      </w:numPr>
    </w:pPr>
  </w:style>
  <w:style w:type="character" w:customStyle="1" w:styleId="Listaszerbekezds2szintChar">
    <w:name w:val="Listaszerű bekezdés 2. szint Char"/>
    <w:basedOn w:val="ListaszerbekezdsChar"/>
    <w:link w:val="Listaszerbekezds2szint"/>
    <w:uiPriority w:val="4"/>
    <w:rsid w:val="00DA31D2"/>
  </w:style>
  <w:style w:type="character" w:customStyle="1" w:styleId="Listaszerbekezds3szintChar">
    <w:name w:val="Listaszerű bekezdés 3. szint Char"/>
    <w:basedOn w:val="ListaszerbekezdsChar"/>
    <w:link w:val="Listaszerbekezds3szint"/>
    <w:uiPriority w:val="4"/>
    <w:rsid w:val="00DA31D2"/>
  </w:style>
  <w:style w:type="paragraph" w:styleId="Alcm">
    <w:name w:val="Subtitle"/>
    <w:basedOn w:val="Norml"/>
    <w:next w:val="Norml"/>
    <w:link w:val="AlcmChar"/>
    <w:uiPriority w:val="11"/>
    <w:rsid w:val="00DA31D2"/>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DA31D2"/>
    <w:rPr>
      <w:rFonts w:eastAsiaTheme="majorEastAsia" w:cstheme="majorBidi"/>
    </w:rPr>
  </w:style>
  <w:style w:type="paragraph" w:customStyle="1" w:styleId="Listabetvel">
    <w:name w:val="Lista betűvel"/>
    <w:basedOn w:val="Listaszerbekezds"/>
    <w:link w:val="ListabetvelChar"/>
    <w:uiPriority w:val="4"/>
    <w:qFormat/>
    <w:rsid w:val="00DA31D2"/>
    <w:pPr>
      <w:numPr>
        <w:numId w:val="7"/>
      </w:numPr>
    </w:pPr>
  </w:style>
  <w:style w:type="character" w:customStyle="1" w:styleId="ListabetvelChar">
    <w:name w:val="Lista betűvel Char"/>
    <w:basedOn w:val="ListaszerbekezdsChar"/>
    <w:link w:val="Listabetvel"/>
    <w:uiPriority w:val="4"/>
    <w:rsid w:val="00DA31D2"/>
  </w:style>
  <w:style w:type="paragraph" w:customStyle="1" w:styleId="Erskiemels1">
    <w:name w:val="Erős kiemelés1"/>
    <w:basedOn w:val="Norml"/>
    <w:link w:val="ErskiemelsChar"/>
    <w:uiPriority w:val="5"/>
    <w:qFormat/>
    <w:rsid w:val="00DA31D2"/>
    <w:rPr>
      <w:b/>
      <w:i/>
    </w:rPr>
  </w:style>
  <w:style w:type="character" w:customStyle="1" w:styleId="ErskiemelsChar">
    <w:name w:val="Erős kiemelés Char"/>
    <w:basedOn w:val="Bekezdsalapbettpusa"/>
    <w:link w:val="Erskiemels1"/>
    <w:uiPriority w:val="5"/>
    <w:rsid w:val="00DA31D2"/>
    <w:rPr>
      <w:b/>
      <w:i/>
    </w:rPr>
  </w:style>
  <w:style w:type="paragraph" w:customStyle="1" w:styleId="Bold">
    <w:name w:val="Bold"/>
    <w:basedOn w:val="Norml"/>
    <w:link w:val="BoldChar"/>
    <w:uiPriority w:val="6"/>
    <w:qFormat/>
    <w:rsid w:val="00DA31D2"/>
    <w:rPr>
      <w:b/>
    </w:rPr>
  </w:style>
  <w:style w:type="character" w:customStyle="1" w:styleId="BoldChar">
    <w:name w:val="Bold Char"/>
    <w:basedOn w:val="Bekezdsalapbettpusa"/>
    <w:link w:val="Bold"/>
    <w:uiPriority w:val="6"/>
    <w:rsid w:val="00DA31D2"/>
    <w:rPr>
      <w:b/>
    </w:rPr>
  </w:style>
  <w:style w:type="character" w:styleId="Mrltotthiperhivatkozs">
    <w:name w:val="FollowedHyperlink"/>
    <w:basedOn w:val="Bekezdsalapbettpusa"/>
    <w:uiPriority w:val="99"/>
    <w:semiHidden/>
    <w:unhideWhenUsed/>
    <w:rsid w:val="00DA31D2"/>
    <w:rPr>
      <w:color w:val="954F72" w:themeColor="followedHyperlink"/>
      <w:u w:val="single"/>
    </w:rPr>
  </w:style>
  <w:style w:type="paragraph" w:styleId="Tartalomjegyzkcmsora">
    <w:name w:val="TOC Heading"/>
    <w:basedOn w:val="Cmsor1"/>
    <w:next w:val="Norml"/>
    <w:uiPriority w:val="39"/>
    <w:unhideWhenUsed/>
    <w:qFormat/>
    <w:rsid w:val="00DA31D2"/>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DA31D2"/>
    <w:pPr>
      <w:spacing w:after="100"/>
      <w:ind w:left="220"/>
      <w:jc w:val="left"/>
    </w:pPr>
    <w:rPr>
      <w:rFonts w:eastAsiaTheme="minorEastAsia"/>
    </w:rPr>
  </w:style>
  <w:style w:type="paragraph" w:styleId="TJ1">
    <w:name w:val="toc 1"/>
    <w:basedOn w:val="Norml"/>
    <w:next w:val="Norml"/>
    <w:autoRedefine/>
    <w:uiPriority w:val="39"/>
    <w:unhideWhenUsed/>
    <w:qFormat/>
    <w:locked/>
    <w:rsid w:val="00DA31D2"/>
    <w:pPr>
      <w:spacing w:after="100"/>
      <w:jc w:val="left"/>
    </w:pPr>
    <w:rPr>
      <w:rFonts w:eastAsiaTheme="minorEastAsia"/>
    </w:rPr>
  </w:style>
  <w:style w:type="paragraph" w:styleId="TJ3">
    <w:name w:val="toc 3"/>
    <w:basedOn w:val="Norml"/>
    <w:next w:val="Norml"/>
    <w:uiPriority w:val="39"/>
    <w:unhideWhenUsed/>
    <w:qFormat/>
    <w:locked/>
    <w:rsid w:val="00DA31D2"/>
    <w:pPr>
      <w:spacing w:after="100"/>
      <w:ind w:left="400"/>
    </w:pPr>
  </w:style>
  <w:style w:type="paragraph" w:customStyle="1" w:styleId="StyleTOC2Left015">
    <w:name w:val="Style TOC 2 + Left:  0.15&quot;"/>
    <w:basedOn w:val="TJ2"/>
    <w:rsid w:val="00DA31D2"/>
    <w:pPr>
      <w:ind w:left="216"/>
    </w:pPr>
    <w:rPr>
      <w:rFonts w:eastAsia="Times New Roman" w:cs="Times New Roman"/>
    </w:rPr>
  </w:style>
  <w:style w:type="paragraph" w:customStyle="1" w:styleId="StyleTOC3Left031">
    <w:name w:val="Style TOC 3 + Left:  0.31&quot;"/>
    <w:basedOn w:val="TJ3"/>
    <w:rsid w:val="00DA31D2"/>
    <w:pPr>
      <w:ind w:left="446"/>
    </w:pPr>
    <w:rPr>
      <w:rFonts w:eastAsia="Times New Roman" w:cs="Times New Roman"/>
    </w:rPr>
  </w:style>
  <w:style w:type="numbering" w:customStyle="1" w:styleId="Hierarchikuslista">
    <w:name w:val="Hierarchikus lista"/>
    <w:uiPriority w:val="99"/>
    <w:rsid w:val="00DA31D2"/>
    <w:pPr>
      <w:numPr>
        <w:numId w:val="2"/>
      </w:numPr>
    </w:pPr>
  </w:style>
  <w:style w:type="paragraph" w:customStyle="1" w:styleId="HierarchikusLista0">
    <w:name w:val="Hierarchikus Lista"/>
    <w:basedOn w:val="Listaszerbekezds"/>
    <w:link w:val="HierarchikusListaChar"/>
    <w:qFormat/>
    <w:rsid w:val="00DA31D2"/>
    <w:pPr>
      <w:numPr>
        <w:numId w:val="0"/>
      </w:numPr>
    </w:pPr>
  </w:style>
  <w:style w:type="character" w:customStyle="1" w:styleId="HierarchikusListaChar">
    <w:name w:val="Hierarchikus Lista Char"/>
    <w:basedOn w:val="ListaszerbekezdsChar"/>
    <w:link w:val="HierarchikusLista0"/>
    <w:rsid w:val="00DA31D2"/>
  </w:style>
  <w:style w:type="character" w:styleId="Kiemels2">
    <w:name w:val="Strong"/>
    <w:basedOn w:val="Bekezdsalapbettpusa"/>
    <w:uiPriority w:val="22"/>
    <w:rsid w:val="00DA31D2"/>
    <w:rPr>
      <w:b/>
      <w:bCs/>
    </w:rPr>
  </w:style>
  <w:style w:type="character" w:styleId="Kiemels">
    <w:name w:val="Emphasis"/>
    <w:basedOn w:val="Bekezdsalapbettpusa"/>
    <w:uiPriority w:val="6"/>
    <w:qFormat/>
    <w:rsid w:val="00DA31D2"/>
    <w:rPr>
      <w:i/>
      <w:iCs/>
    </w:rPr>
  </w:style>
  <w:style w:type="paragraph" w:styleId="Nincstrkz">
    <w:name w:val="No Spacing"/>
    <w:basedOn w:val="Norml"/>
    <w:uiPriority w:val="1"/>
    <w:rsid w:val="00DA31D2"/>
    <w:rPr>
      <w:szCs w:val="32"/>
    </w:rPr>
  </w:style>
  <w:style w:type="paragraph" w:styleId="Idzet">
    <w:name w:val="Quote"/>
    <w:basedOn w:val="Norml"/>
    <w:next w:val="Norml"/>
    <w:link w:val="IdzetChar"/>
    <w:uiPriority w:val="29"/>
    <w:rsid w:val="00DA31D2"/>
    <w:rPr>
      <w:i/>
    </w:rPr>
  </w:style>
  <w:style w:type="character" w:customStyle="1" w:styleId="IdzetChar">
    <w:name w:val="Idézet Char"/>
    <w:basedOn w:val="Bekezdsalapbettpusa"/>
    <w:link w:val="Idzet"/>
    <w:uiPriority w:val="29"/>
    <w:rsid w:val="00DA31D2"/>
    <w:rPr>
      <w:i/>
    </w:rPr>
  </w:style>
  <w:style w:type="paragraph" w:styleId="Kiemeltidzet">
    <w:name w:val="Intense Quote"/>
    <w:basedOn w:val="Norml"/>
    <w:next w:val="Norml"/>
    <w:link w:val="KiemeltidzetChar"/>
    <w:uiPriority w:val="30"/>
    <w:rsid w:val="00DA31D2"/>
    <w:pPr>
      <w:ind w:left="720" w:right="720"/>
    </w:pPr>
    <w:rPr>
      <w:b/>
      <w:i/>
    </w:rPr>
  </w:style>
  <w:style w:type="character" w:customStyle="1" w:styleId="KiemeltidzetChar">
    <w:name w:val="Kiemelt idézet Char"/>
    <w:basedOn w:val="Bekezdsalapbettpusa"/>
    <w:link w:val="Kiemeltidzet"/>
    <w:uiPriority w:val="30"/>
    <w:rsid w:val="00DA31D2"/>
    <w:rPr>
      <w:b/>
      <w:i/>
    </w:rPr>
  </w:style>
  <w:style w:type="character" w:styleId="Erskiemels">
    <w:name w:val="Intense Emphasis"/>
    <w:basedOn w:val="Bekezdsalapbettpusa"/>
    <w:uiPriority w:val="21"/>
    <w:rsid w:val="00DA31D2"/>
    <w:rPr>
      <w:b/>
      <w:i/>
      <w:sz w:val="24"/>
      <w:szCs w:val="24"/>
      <w:u w:val="single"/>
    </w:rPr>
  </w:style>
  <w:style w:type="character" w:styleId="Knyvcme">
    <w:name w:val="Book Title"/>
    <w:basedOn w:val="Bekezdsalapbettpusa"/>
    <w:uiPriority w:val="33"/>
    <w:rsid w:val="00DA31D2"/>
    <w:rPr>
      <w:rFonts w:ascii="Calibri" w:eastAsiaTheme="majorEastAsia" w:hAnsi="Calibri"/>
      <w:b/>
      <w:i/>
      <w:sz w:val="24"/>
      <w:szCs w:val="24"/>
    </w:rPr>
  </w:style>
  <w:style w:type="paragraph" w:customStyle="1" w:styleId="Szvegdobozstlus">
    <w:name w:val="Szövegdoboz stílus"/>
    <w:basedOn w:val="HierarchikusLista0"/>
    <w:qFormat/>
    <w:rsid w:val="00DA31D2"/>
    <w:rPr>
      <w:b/>
      <w:i/>
      <w:color w:val="009EE0"/>
    </w:rPr>
  </w:style>
  <w:style w:type="table" w:customStyle="1" w:styleId="Rcsos">
    <w:name w:val="Rácsos"/>
    <w:basedOn w:val="Normltblzat"/>
    <w:uiPriority w:val="99"/>
    <w:rsid w:val="00DA31D2"/>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DA31D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DA31D2"/>
    <w:pPr>
      <w:keepNext/>
      <w:spacing w:after="40"/>
      <w:jc w:val="center"/>
    </w:pPr>
    <w:rPr>
      <w:b/>
      <w:bCs/>
      <w:color w:val="808080"/>
      <w:szCs w:val="18"/>
    </w:rPr>
  </w:style>
  <w:style w:type="paragraph" w:customStyle="1" w:styleId="ENCaption2Col">
    <w:name w:val="EN_Caption_2Col"/>
    <w:basedOn w:val="Norml"/>
    <w:next w:val="Norml"/>
    <w:uiPriority w:val="1"/>
    <w:qFormat/>
    <w:rsid w:val="00DA31D2"/>
    <w:pPr>
      <w:keepNext/>
      <w:spacing w:after="40"/>
      <w:jc w:val="left"/>
    </w:pPr>
    <w:rPr>
      <w:b/>
      <w:bCs/>
      <w:color w:val="808080"/>
      <w:szCs w:val="18"/>
    </w:rPr>
  </w:style>
  <w:style w:type="paragraph" w:customStyle="1" w:styleId="ENCaptionBox">
    <w:name w:val="EN_Caption_Box"/>
    <w:basedOn w:val="Norml"/>
    <w:next w:val="Norml"/>
    <w:uiPriority w:val="1"/>
    <w:qFormat/>
    <w:rsid w:val="00DA31D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DA31D2"/>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DA31D2"/>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DA31D2"/>
    <w:rPr>
      <w:rFonts w:eastAsiaTheme="minorEastAsia"/>
      <w:color w:val="808080"/>
      <w:sz w:val="18"/>
    </w:rPr>
  </w:style>
  <w:style w:type="paragraph" w:customStyle="1" w:styleId="ENNormal">
    <w:name w:val="EN_Normal"/>
    <w:basedOn w:val="Norml"/>
    <w:uiPriority w:val="1"/>
    <w:qFormat/>
    <w:rsid w:val="00DA31D2"/>
  </w:style>
  <w:style w:type="paragraph" w:customStyle="1" w:styleId="ENNormalBox">
    <w:name w:val="EN_Normal_Box"/>
    <w:basedOn w:val="Norml"/>
    <w:uiPriority w:val="1"/>
    <w:qFormat/>
    <w:rsid w:val="00DA31D2"/>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DA31D2"/>
    <w:pPr>
      <w:keepLines/>
      <w:jc w:val="center"/>
    </w:pPr>
    <w:rPr>
      <w:color w:val="808080"/>
      <w:sz w:val="18"/>
    </w:rPr>
  </w:style>
  <w:style w:type="paragraph" w:customStyle="1" w:styleId="ENNote2Col">
    <w:name w:val="EN_Note_2Col"/>
    <w:basedOn w:val="Norml"/>
    <w:next w:val="ENNormal"/>
    <w:uiPriority w:val="1"/>
    <w:qFormat/>
    <w:rsid w:val="00DA31D2"/>
    <w:pPr>
      <w:keepLines/>
    </w:pPr>
    <w:rPr>
      <w:color w:val="808080"/>
      <w:sz w:val="18"/>
    </w:rPr>
  </w:style>
  <w:style w:type="paragraph" w:customStyle="1" w:styleId="ENNoteBox">
    <w:name w:val="EN_Note_Box"/>
    <w:basedOn w:val="Norml"/>
    <w:next w:val="ENNormalBox"/>
    <w:uiPriority w:val="1"/>
    <w:qFormat/>
    <w:rsid w:val="00DA31D2"/>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DA31D2"/>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DA31D2"/>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DA31D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DA31D2"/>
    <w:pPr>
      <w:keepNext/>
      <w:spacing w:after="40"/>
      <w:jc w:val="center"/>
    </w:pPr>
    <w:rPr>
      <w:sz w:val="20"/>
    </w:rPr>
  </w:style>
  <w:style w:type="paragraph" w:customStyle="1" w:styleId="HUCaption2Col">
    <w:name w:val="HU_Caption_2Col"/>
    <w:basedOn w:val="Kpalrs"/>
    <w:next w:val="Norml"/>
    <w:uiPriority w:val="1"/>
    <w:qFormat/>
    <w:rsid w:val="00DA31D2"/>
    <w:pPr>
      <w:keepNext/>
      <w:spacing w:after="40"/>
    </w:pPr>
    <w:rPr>
      <w:sz w:val="20"/>
    </w:rPr>
  </w:style>
  <w:style w:type="paragraph" w:customStyle="1" w:styleId="HUCaptionBox">
    <w:name w:val="HU_Caption_Box"/>
    <w:basedOn w:val="Kpalrs"/>
    <w:next w:val="Norml"/>
    <w:uiPriority w:val="1"/>
    <w:qFormat/>
    <w:rsid w:val="00DA31D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DA31D2"/>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DA31D2"/>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DA31D2"/>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DA31D2"/>
    <w:rPr>
      <w:caps/>
      <w:color w:val="0C2148" w:themeColor="text2"/>
    </w:rPr>
  </w:style>
  <w:style w:type="paragraph" w:customStyle="1" w:styleId="HUFootnote">
    <w:name w:val="HU_Footnote"/>
    <w:basedOn w:val="Lbjegyzetszveg"/>
    <w:uiPriority w:val="1"/>
    <w:qFormat/>
    <w:rsid w:val="00DA31D2"/>
    <w:rPr>
      <w:color w:val="808080"/>
      <w:sz w:val="18"/>
    </w:rPr>
  </w:style>
  <w:style w:type="paragraph" w:customStyle="1" w:styleId="HUNormalBox">
    <w:name w:val="HU_Normal_Box"/>
    <w:basedOn w:val="Norml"/>
    <w:uiPriority w:val="1"/>
    <w:qFormat/>
    <w:rsid w:val="00DA31D2"/>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DA31D2"/>
    <w:pPr>
      <w:keepLines/>
      <w:jc w:val="center"/>
    </w:pPr>
    <w:rPr>
      <w:color w:val="808080"/>
      <w:sz w:val="18"/>
    </w:rPr>
  </w:style>
  <w:style w:type="paragraph" w:customStyle="1" w:styleId="HUNote2Col">
    <w:name w:val="HU_Note_2Col"/>
    <w:basedOn w:val="Norml"/>
    <w:next w:val="Norml"/>
    <w:uiPriority w:val="1"/>
    <w:qFormat/>
    <w:rsid w:val="00DA31D2"/>
    <w:pPr>
      <w:keepLines/>
    </w:pPr>
    <w:rPr>
      <w:color w:val="808080"/>
      <w:sz w:val="18"/>
    </w:rPr>
  </w:style>
  <w:style w:type="paragraph" w:customStyle="1" w:styleId="HUNoteBox">
    <w:name w:val="HU_Note_Box"/>
    <w:basedOn w:val="Norml"/>
    <w:next w:val="HUNormalBox"/>
    <w:link w:val="HUNoteBoxChar"/>
    <w:uiPriority w:val="1"/>
    <w:qFormat/>
    <w:rsid w:val="00DA31D2"/>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DA31D2"/>
    <w:rPr>
      <w:color w:val="808080"/>
      <w:sz w:val="18"/>
      <w:shd w:val="clear" w:color="auto" w:fill="C6EEFF"/>
    </w:rPr>
  </w:style>
  <w:style w:type="paragraph" w:customStyle="1" w:styleId="HUSectionTitle">
    <w:name w:val="HU_Section_Title"/>
    <w:basedOn w:val="Cmsor2"/>
    <w:next w:val="Norml"/>
    <w:link w:val="HUSectionTitleChar"/>
    <w:uiPriority w:val="1"/>
    <w:rsid w:val="00DA31D2"/>
    <w:pPr>
      <w:keepNext/>
    </w:pPr>
  </w:style>
  <w:style w:type="character" w:customStyle="1" w:styleId="HUSectionTitleChar">
    <w:name w:val="HU_Section_Title Char"/>
    <w:basedOn w:val="Cmsor2Char"/>
    <w:link w:val="HUSectionTitle"/>
    <w:uiPriority w:val="1"/>
    <w:rsid w:val="00DA31D2"/>
    <w:rPr>
      <w:b/>
      <w:color w:val="0C2148" w:themeColor="text2"/>
      <w:sz w:val="24"/>
      <w:szCs w:val="38"/>
    </w:rPr>
  </w:style>
  <w:style w:type="paragraph" w:customStyle="1" w:styleId="HUSubsectionTitle">
    <w:name w:val="HU_Subsection_Title"/>
    <w:basedOn w:val="Cmsor3"/>
    <w:next w:val="Norml"/>
    <w:link w:val="HUSubsectionTitleChar"/>
    <w:uiPriority w:val="1"/>
    <w:rsid w:val="00DA31D2"/>
    <w:pPr>
      <w:keepNext/>
      <w:ind w:left="595" w:hanging="595"/>
    </w:pPr>
  </w:style>
  <w:style w:type="character" w:customStyle="1" w:styleId="HUSubsectionTitleChar">
    <w:name w:val="HU_Subsection_Title Char"/>
    <w:basedOn w:val="Cmsor3Char"/>
    <w:link w:val="HUSubsectionTitle"/>
    <w:uiPriority w:val="1"/>
    <w:rsid w:val="00DA31D2"/>
    <w:rPr>
      <w:bCs/>
      <w:color w:val="0C2148" w:themeColor="text2"/>
      <w:szCs w:val="34"/>
    </w:rPr>
  </w:style>
  <w:style w:type="paragraph" w:customStyle="1" w:styleId="Heading1Kiadvny">
    <w:name w:val="Heading 1 Kiadvány"/>
    <w:basedOn w:val="Cmsor1"/>
    <w:qFormat/>
    <w:rsid w:val="00DA31D2"/>
    <w:rPr>
      <w:b w:val="0"/>
      <w:caps w:val="0"/>
      <w:sz w:val="52"/>
    </w:rPr>
  </w:style>
  <w:style w:type="character" w:customStyle="1" w:styleId="HideTWBExt">
    <w:name w:val="HideTWBExt"/>
    <w:basedOn w:val="Bekezdsalapbettpusa"/>
    <w:rsid w:val="002E677B"/>
    <w:rPr>
      <w:rFonts w:ascii="Arial" w:hAnsi="Arial"/>
      <w:noProof/>
      <w:vanish/>
      <w:color w:val="000080"/>
      <w:sz w:val="20"/>
    </w:rPr>
  </w:style>
  <w:style w:type="paragraph" w:customStyle="1" w:styleId="Szveg">
    <w:name w:val="Szöveg"/>
    <w:basedOn w:val="Norml"/>
    <w:qFormat/>
    <w:rsid w:val="002E677B"/>
    <w:pPr>
      <w:spacing w:after="0" w:line="240" w:lineRule="auto"/>
    </w:pPr>
    <w:rPr>
      <w:rFonts w:ascii="Arial" w:hAnsi="Arial" w:cs="Arial"/>
      <w:sz w:val="21"/>
      <w:szCs w:val="21"/>
    </w:rPr>
  </w:style>
  <w:style w:type="paragraph" w:customStyle="1" w:styleId="Tblafej">
    <w:name w:val="Táblafej"/>
    <w:basedOn w:val="Norml"/>
    <w:qFormat/>
    <w:rsid w:val="002E677B"/>
    <w:pPr>
      <w:spacing w:after="0" w:line="240" w:lineRule="auto"/>
    </w:pPr>
    <w:rPr>
      <w:rFonts w:ascii="Arial" w:eastAsia="Times New Roman" w:hAnsi="Arial" w:cs="Arial"/>
      <w:b/>
      <w:i/>
      <w:color w:val="000000"/>
      <w:sz w:val="21"/>
      <w:szCs w:val="21"/>
    </w:rPr>
  </w:style>
  <w:style w:type="paragraph" w:customStyle="1" w:styleId="Tblasor">
    <w:name w:val="Táblasor"/>
    <w:basedOn w:val="Norml"/>
    <w:qFormat/>
    <w:rsid w:val="002E677B"/>
    <w:pPr>
      <w:spacing w:after="0" w:line="240" w:lineRule="auto"/>
    </w:pPr>
    <w:rPr>
      <w:rFonts w:ascii="Arial" w:eastAsia="Times New Roman" w:hAnsi="Arial" w:cs="Arial"/>
      <w:i/>
      <w:color w:val="000000"/>
      <w:sz w:val="21"/>
      <w:szCs w:val="21"/>
    </w:rPr>
  </w:style>
  <w:style w:type="character" w:customStyle="1" w:styleId="tw4winExternal">
    <w:name w:val="tw4winExternal"/>
    <w:basedOn w:val="Bekezdsalapbettpusa"/>
    <w:rsid w:val="002E677B"/>
    <w:rPr>
      <w:rFonts w:ascii="Courier New" w:hAnsi="Courier New"/>
      <w:color w:val="808080"/>
    </w:rPr>
  </w:style>
  <w:style w:type="character" w:customStyle="1" w:styleId="tw4winInternal">
    <w:name w:val="tw4winInternal"/>
    <w:rsid w:val="002E677B"/>
    <w:rPr>
      <w:rFonts w:ascii="Courier New" w:hAnsi="Courier New"/>
      <w:noProof/>
      <w:color w:val="FF0000"/>
    </w:rPr>
  </w:style>
  <w:style w:type="character" w:customStyle="1" w:styleId="tw4winMark">
    <w:name w:val="tw4winMark"/>
    <w:uiPriority w:val="99"/>
    <w:rsid w:val="002E677B"/>
    <w:rPr>
      <w:rFonts w:ascii="Courier New" w:hAnsi="Courier New"/>
      <w:vanish/>
      <w:color w:val="800080"/>
      <w:sz w:val="24"/>
      <w:vertAlign w:val="subscript"/>
    </w:rPr>
  </w:style>
  <w:style w:type="paragraph" w:customStyle="1" w:styleId="Vissza">
    <w:name w:val="Vissza"/>
    <w:basedOn w:val="Norml"/>
    <w:next w:val="Norml"/>
    <w:uiPriority w:val="99"/>
    <w:rsid w:val="002E677B"/>
    <w:pPr>
      <w:spacing w:after="0" w:line="240" w:lineRule="auto"/>
      <w:jc w:val="right"/>
    </w:pPr>
    <w:rPr>
      <w:rFonts w:ascii="Arial" w:hAnsi="Arial" w:cs="Times New Roman"/>
      <w:color w:val="0000FF"/>
      <w:sz w:val="21"/>
      <w:szCs w:val="24"/>
      <w:u w:val="single"/>
    </w:rPr>
  </w:style>
  <w:style w:type="character" w:styleId="Jegyzethivatkozs">
    <w:name w:val="annotation reference"/>
    <w:basedOn w:val="Bekezdsalapbettpusa"/>
    <w:uiPriority w:val="99"/>
    <w:semiHidden/>
    <w:unhideWhenUsed/>
    <w:rsid w:val="00D964EE"/>
    <w:rPr>
      <w:sz w:val="16"/>
      <w:szCs w:val="16"/>
    </w:rPr>
  </w:style>
  <w:style w:type="paragraph" w:styleId="Jegyzetszveg">
    <w:name w:val="annotation text"/>
    <w:basedOn w:val="Norml"/>
    <w:link w:val="JegyzetszvegChar"/>
    <w:uiPriority w:val="99"/>
    <w:semiHidden/>
    <w:unhideWhenUsed/>
    <w:rsid w:val="00D964EE"/>
    <w:pPr>
      <w:spacing w:line="240" w:lineRule="auto"/>
    </w:pPr>
  </w:style>
  <w:style w:type="character" w:customStyle="1" w:styleId="JegyzetszvegChar">
    <w:name w:val="Jegyzetszöveg Char"/>
    <w:basedOn w:val="Bekezdsalapbettpusa"/>
    <w:link w:val="Jegyzetszveg"/>
    <w:uiPriority w:val="99"/>
    <w:semiHidden/>
    <w:rsid w:val="00D964EE"/>
  </w:style>
  <w:style w:type="paragraph" w:styleId="Megjegyzstrgya">
    <w:name w:val="annotation subject"/>
    <w:basedOn w:val="Jegyzetszveg"/>
    <w:next w:val="Jegyzetszveg"/>
    <w:link w:val="MegjegyzstrgyaChar"/>
    <w:uiPriority w:val="99"/>
    <w:semiHidden/>
    <w:unhideWhenUsed/>
    <w:rsid w:val="00D964EE"/>
    <w:rPr>
      <w:b/>
      <w:bCs/>
    </w:rPr>
  </w:style>
  <w:style w:type="character" w:customStyle="1" w:styleId="MegjegyzstrgyaChar">
    <w:name w:val="Megjegyzés tárgya Char"/>
    <w:basedOn w:val="JegyzetszvegChar"/>
    <w:link w:val="Megjegyzstrgya"/>
    <w:uiPriority w:val="99"/>
    <w:semiHidden/>
    <w:rsid w:val="00D964EE"/>
    <w:rPr>
      <w:b/>
      <w:bCs/>
    </w:rPr>
  </w:style>
  <w:style w:type="paragraph" w:customStyle="1" w:styleId="Default">
    <w:name w:val="Default"/>
    <w:rsid w:val="006B6D0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D7C03D9F-A3D0-4C2A-94BB-FC12DD806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1078</Words>
  <Characters>7446</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Füstös Krisztina</dc:creator>
  <cp:keywords/>
  <dc:description/>
  <cp:lastModifiedBy>Szenthelyi Dávid</cp:lastModifiedBy>
  <cp:revision>4</cp:revision>
  <cp:lastPrinted>1900-12-31T23:00:00Z</cp:lastPrinted>
  <dcterms:created xsi:type="dcterms:W3CDTF">2020-01-28T15:32:00Z</dcterms:created>
  <dcterms:modified xsi:type="dcterms:W3CDTF">2020-02-26T14:14:00Z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fustosk@mnb.hu</vt:lpwstr>
  </property>
  <property fmtid="{D5CDD505-2E9C-101B-9397-08002B2CF9AE}" pid="6" name="MSIP_Label_b0d11092-50c9-4e74-84b5-b1af078dc3d0_SetDate">
    <vt:lpwstr>2019-01-10T15:27:24.4601475+01:00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ies>
</file>