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4A942" w14:textId="77777777" w:rsidR="00AA779D" w:rsidRPr="00CB01CA" w:rsidRDefault="00881358" w:rsidP="0045398D">
      <w:pPr>
        <w:rPr>
          <w:rFonts w:ascii="Arial" w:hAnsi="Arial" w:cs="Arial"/>
          <w:b/>
          <w:lang w:val="en-GB"/>
        </w:rPr>
      </w:pPr>
      <w:bookmarkStart w:id="0" w:name="_Hlk4154087"/>
      <w:r w:rsidRPr="00CB01CA">
        <w:rPr>
          <w:rFonts w:ascii="Arial" w:hAnsi="Arial" w:cs="Arial"/>
          <w:b/>
          <w:bCs/>
          <w:lang w:val="en-GB"/>
        </w:rPr>
        <w:t>MNB identification code: W08</w:t>
      </w:r>
    </w:p>
    <w:p w14:paraId="7DC5FD14" w14:textId="77777777" w:rsidR="00AA779D" w:rsidRPr="00CB01CA" w:rsidRDefault="00881358" w:rsidP="0045398D">
      <w:pPr>
        <w:jc w:val="center"/>
        <w:rPr>
          <w:rFonts w:ascii="Arial" w:hAnsi="Arial" w:cs="Arial"/>
          <w:b/>
          <w:lang w:val="en-GB"/>
        </w:rPr>
      </w:pPr>
      <w:r w:rsidRPr="00CB01CA">
        <w:rPr>
          <w:rFonts w:ascii="Arial" w:hAnsi="Arial" w:cs="Arial"/>
          <w:b/>
          <w:bCs/>
          <w:lang w:val="en-GB"/>
        </w:rPr>
        <w:t>Completion instructions</w:t>
      </w:r>
    </w:p>
    <w:p w14:paraId="2F8AD789" w14:textId="00DC8026" w:rsidR="00AA779D" w:rsidRPr="00CB01CA" w:rsidRDefault="00881358" w:rsidP="0045398D">
      <w:pPr>
        <w:jc w:val="center"/>
        <w:rPr>
          <w:rFonts w:ascii="Arial" w:hAnsi="Arial" w:cs="Arial"/>
          <w:b/>
          <w:lang w:val="en-GB"/>
        </w:rPr>
      </w:pPr>
      <w:r w:rsidRPr="00CB01CA">
        <w:rPr>
          <w:rFonts w:ascii="Arial" w:hAnsi="Arial" w:cs="Arial"/>
          <w:b/>
          <w:bCs/>
          <w:lang w:val="en-GB"/>
        </w:rPr>
        <w:t>Financial infrastructures report on operational and security incidents</w:t>
      </w:r>
    </w:p>
    <w:p w14:paraId="26E70FAD" w14:textId="77777777" w:rsidR="00AA779D" w:rsidRPr="00CB01CA" w:rsidRDefault="00AA779D" w:rsidP="0045398D">
      <w:pPr>
        <w:rPr>
          <w:rFonts w:ascii="Arial" w:hAnsi="Arial" w:cs="Arial"/>
          <w:lang w:val="en-GB"/>
        </w:rPr>
      </w:pPr>
    </w:p>
    <w:p w14:paraId="09512203" w14:textId="77777777" w:rsidR="00AA779D" w:rsidRPr="00CB01CA" w:rsidRDefault="00881358" w:rsidP="0045398D">
      <w:pPr>
        <w:rPr>
          <w:rFonts w:ascii="Arial" w:hAnsi="Arial" w:cs="Arial"/>
          <w:b/>
          <w:lang w:val="en-GB"/>
        </w:rPr>
      </w:pPr>
      <w:r w:rsidRPr="00CB01CA">
        <w:rPr>
          <w:rFonts w:ascii="Arial" w:hAnsi="Arial" w:cs="Arial"/>
          <w:b/>
          <w:bCs/>
          <w:lang w:val="en-GB"/>
        </w:rPr>
        <w:t>I. General instructions</w:t>
      </w:r>
    </w:p>
    <w:p w14:paraId="4722B10D" w14:textId="18EF2960" w:rsidR="00274766" w:rsidRPr="00CB01CA" w:rsidRDefault="00274766" w:rsidP="00274766">
      <w:pPr>
        <w:rPr>
          <w:rFonts w:ascii="Arial" w:hAnsi="Arial" w:cs="Arial"/>
          <w:lang w:val="en-GB"/>
        </w:rPr>
      </w:pPr>
      <w:r w:rsidRPr="00CB01CA">
        <w:rPr>
          <w:rFonts w:ascii="Arial" w:hAnsi="Arial" w:cs="Arial"/>
          <w:lang w:val="en-GB"/>
        </w:rPr>
        <w:t xml:space="preserve">1. The data provider shall supply data if operational or security incidents occur. </w:t>
      </w:r>
    </w:p>
    <w:p w14:paraId="33B1DBF7" w14:textId="2499B70A" w:rsidR="004675B6" w:rsidRPr="00CB01CA" w:rsidRDefault="00881358" w:rsidP="00CB01CA">
      <w:pPr>
        <w:rPr>
          <w:rFonts w:ascii="Arial" w:hAnsi="Arial" w:cs="Arial"/>
          <w:lang w:val="en-GB"/>
        </w:rPr>
      </w:pPr>
      <w:r w:rsidRPr="00CB01CA">
        <w:rPr>
          <w:rFonts w:ascii="Arial" w:hAnsi="Arial" w:cs="Arial"/>
          <w:lang w:val="en-GB"/>
        </w:rPr>
        <w:t xml:space="preserve">Operational incidents are defined as one-off events or series of events related to one another taking place during the operating hours of the business service and not planned by the service provider in advance that have a negative impact on the business service provided as well as on the availability and continuity of the technical support tasks necessary for providing such service appropriately, taking into consideration the accessibility and availability of the business service, regardless of their origin (external/internal) or intentionality (intentional/unintentional). </w:t>
      </w:r>
    </w:p>
    <w:p w14:paraId="49505EC8" w14:textId="03955100" w:rsidR="00AA779D" w:rsidRPr="00CB01CA" w:rsidRDefault="00881358">
      <w:pPr>
        <w:pStyle w:val="Listaszerbekezds"/>
        <w:numPr>
          <w:ilvl w:val="0"/>
          <w:numId w:val="22"/>
        </w:numPr>
        <w:spacing w:before="240"/>
        <w:rPr>
          <w:rFonts w:ascii="Arial" w:hAnsi="Arial" w:cs="Arial"/>
          <w:lang w:val="en-GB"/>
        </w:rPr>
      </w:pPr>
      <w:r w:rsidRPr="00CB01CA">
        <w:rPr>
          <w:rFonts w:ascii="Arial" w:hAnsi="Arial" w:cs="Arial"/>
          <w:lang w:val="en-GB"/>
        </w:rPr>
        <w:t>Security</w:t>
      </w:r>
      <w:r w:rsidRPr="00CB01CA">
        <w:rPr>
          <w:rFonts w:ascii="Arial" w:hAnsi="Arial" w:cs="Arial"/>
          <w:i/>
          <w:iCs/>
          <w:lang w:val="en-GB"/>
        </w:rPr>
        <w:t xml:space="preserve"> </w:t>
      </w:r>
      <w:r w:rsidRPr="00CB01CA">
        <w:rPr>
          <w:rFonts w:ascii="Arial" w:hAnsi="Arial" w:cs="Arial"/>
          <w:lang w:val="en-GB"/>
        </w:rPr>
        <w:t xml:space="preserve">incidents are defined as undesired or unexpected one-off events or series of events taking place during the operating hours of the business service that entail an unfavourable change or previously unknown situation in the information system, as a result of which the confidentiality, integrity, credibility, undeniability, functionality or availability of the information carried by the electronic information system or by the electronic security system applied for the </w:t>
      </w:r>
      <w:bookmarkStart w:id="1" w:name="_GoBack"/>
      <w:r w:rsidR="00152AF0">
        <w:rPr>
          <w:rFonts w:ascii="Arial" w:hAnsi="Arial" w:cs="Arial"/>
          <w:lang w:val="en-GB"/>
        </w:rPr>
        <w:t>built-in</w:t>
      </w:r>
      <w:bookmarkEnd w:id="1"/>
      <w:r w:rsidRPr="00CB01CA">
        <w:rPr>
          <w:rFonts w:ascii="Arial" w:hAnsi="Arial" w:cs="Arial"/>
          <w:lang w:val="en-GB"/>
        </w:rPr>
        <w:t xml:space="preserve"> control of the former gets lost or damaged, regardless of their origin (external/internal) or intentionality (intentional/unintentional). </w:t>
      </w:r>
      <w:r w:rsidR="007A3426" w:rsidRPr="00CB01CA">
        <w:rPr>
          <w:rFonts w:ascii="Arial" w:hAnsi="Arial" w:cs="Arial"/>
          <w:lang w:val="en-GB"/>
        </w:rPr>
        <w:t xml:space="preserve"> Security incidents include operational </w:t>
      </w:r>
      <w:r w:rsidRPr="00CB01CA">
        <w:rPr>
          <w:rFonts w:ascii="Arial" w:hAnsi="Arial" w:cs="Arial"/>
          <w:lang w:val="en-GB"/>
        </w:rPr>
        <w:t xml:space="preserve">incidents detected by the security system </w:t>
      </w:r>
      <w:proofErr w:type="gramStart"/>
      <w:r w:rsidRPr="00CB01CA">
        <w:rPr>
          <w:rFonts w:ascii="Arial" w:hAnsi="Arial" w:cs="Arial"/>
          <w:lang w:val="en-GB"/>
        </w:rPr>
        <w:t>and also</w:t>
      </w:r>
      <w:proofErr w:type="gramEnd"/>
      <w:r w:rsidRPr="00CB01CA">
        <w:rPr>
          <w:rFonts w:ascii="Arial" w:hAnsi="Arial" w:cs="Arial"/>
          <w:lang w:val="en-GB"/>
        </w:rPr>
        <w:t xml:space="preserve"> the case when there has been no disruption in the service during operating the business service, but confidentiality, integrity, credibility or undeniability were damaged (leakage of company data, violation of the 4 eyes principle etc.). </w:t>
      </w:r>
    </w:p>
    <w:p w14:paraId="260C37C4" w14:textId="3507BBF5" w:rsidR="006D4EEC" w:rsidRPr="00CB01CA" w:rsidRDefault="00881358">
      <w:pPr>
        <w:rPr>
          <w:rFonts w:ascii="Arial" w:hAnsi="Arial" w:cs="Arial"/>
          <w:lang w:val="en-GB"/>
        </w:rPr>
      </w:pPr>
      <w:r w:rsidRPr="00CB01CA">
        <w:rPr>
          <w:rFonts w:ascii="Arial" w:hAnsi="Arial" w:cs="Arial"/>
          <w:lang w:val="en-GB"/>
        </w:rPr>
        <w:t>In any case, the data provider shall provide information on the occurrence of</w:t>
      </w:r>
      <w:r w:rsidR="007A3426" w:rsidRPr="00CB01CA">
        <w:rPr>
          <w:rFonts w:ascii="Arial" w:hAnsi="Arial" w:cs="Arial"/>
          <w:lang w:val="en-GB"/>
        </w:rPr>
        <w:t xml:space="preserve"> an</w:t>
      </w:r>
      <w:r w:rsidRPr="00CB01CA">
        <w:rPr>
          <w:rFonts w:ascii="Arial" w:hAnsi="Arial" w:cs="Arial"/>
          <w:lang w:val="en-GB"/>
        </w:rPr>
        <w:t xml:space="preserve"> operational incident at the latest in the Closing Report to be attached to the Closing Data Provision, indicating whether any security incident has taken place. If no security incident has taken place, the data provider shall declare in the Closing Report that no security incident has taken place upon the occurrence of the operational incident.</w:t>
      </w:r>
    </w:p>
    <w:p w14:paraId="0F0DC525" w14:textId="77777777" w:rsidR="00AA779D" w:rsidRPr="00CB01CA" w:rsidRDefault="00881358" w:rsidP="002D3804">
      <w:pPr>
        <w:rPr>
          <w:rFonts w:ascii="Arial" w:hAnsi="Arial" w:cs="Arial"/>
          <w:lang w:val="en-GB"/>
        </w:rPr>
      </w:pPr>
      <w:r w:rsidRPr="00CB01CA">
        <w:rPr>
          <w:rFonts w:ascii="Arial" w:hAnsi="Arial" w:cs="Arial"/>
          <w:lang w:val="en-GB"/>
        </w:rPr>
        <w:t>Regarding its service provided as a payment service provider, the central securities depository under the Capital Markets Act providing payment services shall report data to the MNB concerning major operational and security incidents in the report with MNB identification code P64.</w:t>
      </w:r>
    </w:p>
    <w:p w14:paraId="1E50E400" w14:textId="07182EBB" w:rsidR="00B224F9" w:rsidRPr="00CB01CA" w:rsidRDefault="00881358" w:rsidP="00AC3654">
      <w:pPr>
        <w:spacing w:after="0" w:line="240" w:lineRule="auto"/>
        <w:rPr>
          <w:rFonts w:ascii="Arial" w:hAnsi="Arial" w:cs="Arial"/>
          <w:b/>
          <w:bCs/>
          <w:lang w:val="en-GB"/>
        </w:rPr>
      </w:pPr>
      <w:r w:rsidRPr="00CB01CA">
        <w:rPr>
          <w:rFonts w:ascii="Arial" w:hAnsi="Arial" w:cs="Arial"/>
          <w:b/>
          <w:bCs/>
          <w:lang w:val="en-GB"/>
        </w:rPr>
        <w:t xml:space="preserve">2. </w:t>
      </w:r>
      <w:bookmarkStart w:id="2" w:name="_Hlk46074027"/>
      <w:r w:rsidRPr="00CB01CA">
        <w:rPr>
          <w:rFonts w:ascii="Arial" w:hAnsi="Arial" w:cs="Arial"/>
          <w:b/>
          <w:bCs/>
          <w:lang w:val="en-GB"/>
        </w:rPr>
        <w:t>Principles of ad hoc reporting</w:t>
      </w:r>
    </w:p>
    <w:p w14:paraId="20479963" w14:textId="77777777" w:rsidR="006451BD" w:rsidRPr="00CB01CA" w:rsidRDefault="006451BD" w:rsidP="00AC3654">
      <w:pPr>
        <w:spacing w:after="0" w:line="240" w:lineRule="auto"/>
        <w:rPr>
          <w:rFonts w:ascii="Arial" w:hAnsi="Arial" w:cs="Arial"/>
          <w:b/>
          <w:bCs/>
          <w:lang w:val="en-GB"/>
        </w:rPr>
      </w:pPr>
    </w:p>
    <w:bookmarkEnd w:id="2"/>
    <w:p w14:paraId="75D42615" w14:textId="77777777" w:rsidR="00AA779D" w:rsidRPr="00CB01CA" w:rsidRDefault="00881358" w:rsidP="00FA504E">
      <w:pPr>
        <w:spacing w:afterLines="30" w:after="72" w:line="240" w:lineRule="auto"/>
        <w:ind w:left="426"/>
        <w:rPr>
          <w:rFonts w:ascii="Arial" w:hAnsi="Arial" w:cs="Arial"/>
          <w:lang w:val="en-GB"/>
        </w:rPr>
      </w:pPr>
      <w:r w:rsidRPr="00CB01CA">
        <w:rPr>
          <w:rFonts w:ascii="Arial" w:hAnsi="Arial" w:cs="Arial"/>
          <w:lang w:val="en-GB"/>
        </w:rPr>
        <w:t>a) Detailed, textual report on every operational and security incident</w:t>
      </w:r>
    </w:p>
    <w:p w14:paraId="66C5D988" w14:textId="77777777" w:rsidR="00AA779D" w:rsidRPr="00CB01CA" w:rsidRDefault="00881358" w:rsidP="00FA504E">
      <w:pPr>
        <w:spacing w:afterLines="30" w:after="72" w:line="240" w:lineRule="auto"/>
        <w:ind w:left="1277" w:hanging="425"/>
        <w:rPr>
          <w:rFonts w:ascii="Arial" w:hAnsi="Arial" w:cs="Arial"/>
          <w:lang w:val="en-GB"/>
        </w:rPr>
      </w:pPr>
      <w:r w:rsidRPr="00CB01CA">
        <w:rPr>
          <w:rFonts w:ascii="Arial" w:hAnsi="Arial" w:cs="Arial"/>
          <w:lang w:val="en-GB"/>
        </w:rPr>
        <w:t>aa)</w:t>
      </w:r>
      <w:r w:rsidRPr="00CB01CA">
        <w:rPr>
          <w:rFonts w:ascii="Arial" w:hAnsi="Arial" w:cs="Arial"/>
          <w:lang w:val="en-GB"/>
        </w:rPr>
        <w:tab/>
        <w:t>that qualifies as operational and security event, incident, operating trouble, crisis or catastrophe according to the data provider’s business continuity, disaster recovery, incident management or other plan or public and internal rules, and</w:t>
      </w:r>
    </w:p>
    <w:p w14:paraId="4F371172" w14:textId="08BEAEF5" w:rsidR="00AA779D" w:rsidRPr="00CB01CA" w:rsidRDefault="00881358">
      <w:pPr>
        <w:spacing w:afterLines="30" w:after="72" w:line="240" w:lineRule="auto"/>
        <w:ind w:left="1276" w:hanging="425"/>
        <w:rPr>
          <w:rFonts w:ascii="Arial" w:hAnsi="Arial" w:cs="Arial"/>
          <w:lang w:val="en-GB"/>
        </w:rPr>
      </w:pPr>
      <w:r w:rsidRPr="00CB01CA">
        <w:rPr>
          <w:rFonts w:ascii="Arial" w:hAnsi="Arial" w:cs="Arial"/>
          <w:lang w:val="en-GB"/>
        </w:rPr>
        <w:t>ab)</w:t>
      </w:r>
      <w:r w:rsidRPr="00CB01CA">
        <w:rPr>
          <w:rFonts w:ascii="Arial" w:hAnsi="Arial" w:cs="Arial"/>
          <w:lang w:val="en-GB"/>
        </w:rPr>
        <w:tab/>
        <w:t>that results in disruption in service, delay (e.g. decline in capacity) or damage to the expectations vis-à-vis the service (e.g. inappropriate format) during the operating of the payment system or during the performance of the clearing house, central counterparty or central securities depository activities pursuant to the Capital Markets Act (including the basic and non-bank services of the central securities depository) or during the provision of the central counterparty’s other services, as well as</w:t>
      </w:r>
    </w:p>
    <w:p w14:paraId="0EA5107E" w14:textId="2C60B2AF" w:rsidR="00186937" w:rsidRPr="00CB01CA" w:rsidRDefault="00881358" w:rsidP="00186937">
      <w:pPr>
        <w:tabs>
          <w:tab w:val="left" w:pos="1276"/>
        </w:tabs>
        <w:spacing w:afterLines="30" w:after="72" w:line="240" w:lineRule="auto"/>
        <w:ind w:left="1276" w:hanging="425"/>
        <w:rPr>
          <w:rFonts w:ascii="Arial" w:hAnsi="Arial" w:cs="Arial"/>
          <w:lang w:val="en-GB"/>
        </w:rPr>
      </w:pPr>
      <w:r w:rsidRPr="00CB01CA">
        <w:rPr>
          <w:rFonts w:ascii="Arial" w:hAnsi="Arial" w:cs="Arial"/>
          <w:lang w:val="en-GB"/>
        </w:rPr>
        <w:t>ac)</w:t>
      </w:r>
      <w:r w:rsidRPr="00CB01CA">
        <w:rPr>
          <w:rFonts w:ascii="Arial" w:hAnsi="Arial" w:cs="Arial"/>
          <w:lang w:val="en-GB"/>
        </w:rPr>
        <w:tab/>
        <w:t xml:space="preserve">if – </w:t>
      </w:r>
      <w:proofErr w:type="gramStart"/>
      <w:r w:rsidRPr="00CB01CA">
        <w:rPr>
          <w:rFonts w:ascii="Arial" w:hAnsi="Arial" w:cs="Arial"/>
          <w:lang w:val="en-GB"/>
        </w:rPr>
        <w:t>with the exception of</w:t>
      </w:r>
      <w:proofErr w:type="gramEnd"/>
      <w:r w:rsidRPr="00CB01CA">
        <w:rPr>
          <w:rFonts w:ascii="Arial" w:hAnsi="Arial" w:cs="Arial"/>
          <w:lang w:val="en-GB"/>
        </w:rPr>
        <w:t xml:space="preserve"> the instant clearing – the disruption in service or delay reached or exceeded 10 minutes.</w:t>
      </w:r>
    </w:p>
    <w:p w14:paraId="6D766F96" w14:textId="77777777" w:rsidR="00684BD4" w:rsidRPr="00CB01CA" w:rsidRDefault="00684BD4" w:rsidP="001E7A33">
      <w:pPr>
        <w:tabs>
          <w:tab w:val="left" w:pos="1276"/>
        </w:tabs>
        <w:spacing w:afterLines="30" w:after="72" w:line="240" w:lineRule="auto"/>
        <w:ind w:left="1276" w:hanging="425"/>
        <w:rPr>
          <w:rFonts w:ascii="Arial" w:hAnsi="Arial" w:cs="Arial"/>
          <w:lang w:val="en-GB"/>
        </w:rPr>
      </w:pPr>
    </w:p>
    <w:p w14:paraId="73A3C812" w14:textId="62EE5B34" w:rsidR="00AA779D" w:rsidRPr="00CB01CA" w:rsidRDefault="00881358" w:rsidP="007A3426">
      <w:pPr>
        <w:tabs>
          <w:tab w:val="left" w:pos="1276"/>
        </w:tabs>
        <w:spacing w:afterLines="30" w:after="72" w:line="240" w:lineRule="auto"/>
        <w:ind w:left="425"/>
        <w:rPr>
          <w:rFonts w:ascii="Arial" w:hAnsi="Arial" w:cs="Arial"/>
          <w:lang w:val="en-GB"/>
        </w:rPr>
      </w:pPr>
      <w:r w:rsidRPr="00CB01CA">
        <w:rPr>
          <w:rFonts w:ascii="Arial" w:hAnsi="Arial" w:cs="Arial"/>
          <w:lang w:val="en-GB"/>
        </w:rPr>
        <w:t xml:space="preserve">b) If the operational </w:t>
      </w:r>
      <w:r w:rsidR="007A3426" w:rsidRPr="00CB01CA">
        <w:rPr>
          <w:rFonts w:ascii="Arial" w:hAnsi="Arial" w:cs="Arial"/>
          <w:lang w:val="en-GB"/>
        </w:rPr>
        <w:t xml:space="preserve">incident is </w:t>
      </w:r>
      <w:r w:rsidRPr="00CB01CA">
        <w:rPr>
          <w:rFonts w:ascii="Arial" w:hAnsi="Arial" w:cs="Arial"/>
          <w:lang w:val="en-GB"/>
        </w:rPr>
        <w:t xml:space="preserve">repeated, and thus it causes disruptions or delays of less than 10 minutes in service more than once, it also shall be reported, provided that the cumulative duration of the caused disruptions in service and/or delays exceeds 20 minutes. Delays related to the performance of the activity </w:t>
      </w:r>
      <w:r w:rsidRPr="00CB01CA">
        <w:rPr>
          <w:rFonts w:ascii="Arial" w:hAnsi="Arial" w:cs="Arial"/>
          <w:lang w:val="en-GB"/>
        </w:rPr>
        <w:lastRenderedPageBreak/>
        <w:t xml:space="preserve">shall also include the operational incidents that were not perceptible for the </w:t>
      </w:r>
      <w:proofErr w:type="gramStart"/>
      <w:r w:rsidRPr="00CB01CA">
        <w:rPr>
          <w:rFonts w:ascii="Arial" w:hAnsi="Arial" w:cs="Arial"/>
          <w:lang w:val="en-GB"/>
        </w:rPr>
        <w:t>customers, but</w:t>
      </w:r>
      <w:proofErr w:type="gramEnd"/>
      <w:r w:rsidRPr="00CB01CA">
        <w:rPr>
          <w:rFonts w:ascii="Arial" w:hAnsi="Arial" w:cs="Arial"/>
          <w:lang w:val="en-GB"/>
        </w:rPr>
        <w:t xml:space="preserve"> led to delays in internal working processes.</w:t>
      </w:r>
    </w:p>
    <w:p w14:paraId="537F6FB6" w14:textId="77777777" w:rsidR="00FA7C1D" w:rsidRPr="00CB01CA" w:rsidRDefault="00FA7C1D" w:rsidP="00902374">
      <w:pPr>
        <w:tabs>
          <w:tab w:val="left" w:pos="1276"/>
        </w:tabs>
        <w:spacing w:afterLines="30" w:after="72" w:line="240" w:lineRule="auto"/>
        <w:rPr>
          <w:rFonts w:ascii="Arial" w:hAnsi="Arial" w:cs="Arial"/>
          <w:lang w:val="en-GB"/>
        </w:rPr>
      </w:pPr>
    </w:p>
    <w:p w14:paraId="337A71E8" w14:textId="6FDEEF4A" w:rsidR="00AA779D" w:rsidRPr="00CB01CA" w:rsidRDefault="00881358" w:rsidP="00FA504E">
      <w:pPr>
        <w:spacing w:afterLines="30" w:after="72" w:line="240" w:lineRule="auto"/>
        <w:ind w:left="425"/>
        <w:rPr>
          <w:rFonts w:ascii="Arial" w:hAnsi="Arial" w:cs="Arial"/>
          <w:lang w:val="en-GB"/>
        </w:rPr>
      </w:pPr>
      <w:r w:rsidRPr="00CB01CA">
        <w:rPr>
          <w:rFonts w:ascii="Arial" w:hAnsi="Arial" w:cs="Arial"/>
          <w:lang w:val="en-GB"/>
        </w:rPr>
        <w:t>c) Damages to the functions (e.g. spare site, network services) supporting the activities and services mentioned in subpoint ab) of point a), as well as capacity and performance problems, partial loss of resources or slowdown in the service shall also be reported if they affect the aforementioned activities and services, because the capability of business continuity (e.g. switching of sites) is not ensured if the functions that support the activity are unavailable.</w:t>
      </w:r>
    </w:p>
    <w:p w14:paraId="7B70B0D0" w14:textId="77777777" w:rsidR="00D634C4" w:rsidRPr="00CB01CA" w:rsidRDefault="00D634C4">
      <w:pPr>
        <w:spacing w:afterLines="30" w:after="72" w:line="240" w:lineRule="auto"/>
        <w:ind w:left="426"/>
        <w:rPr>
          <w:rFonts w:ascii="Arial" w:hAnsi="Arial" w:cs="Arial"/>
          <w:lang w:val="en-GB"/>
        </w:rPr>
      </w:pPr>
    </w:p>
    <w:p w14:paraId="2D3C0C1B" w14:textId="77777777" w:rsidR="00FE353F" w:rsidRPr="00CB01CA" w:rsidRDefault="00881358">
      <w:pPr>
        <w:spacing w:afterLines="30" w:after="72" w:line="240" w:lineRule="auto"/>
        <w:ind w:left="426"/>
        <w:rPr>
          <w:rFonts w:ascii="Arial" w:hAnsi="Arial" w:cs="Arial"/>
          <w:lang w:val="en-GB"/>
        </w:rPr>
      </w:pPr>
      <w:r w:rsidRPr="00CB01CA">
        <w:rPr>
          <w:rFonts w:ascii="Arial" w:hAnsi="Arial" w:cs="Arial"/>
          <w:lang w:val="en-GB"/>
        </w:rPr>
        <w:t>d) If the data provider’s report is submitted to the MNB by another organisation, the report shall indicate which data provider was affected by the operational and security incident.</w:t>
      </w:r>
    </w:p>
    <w:p w14:paraId="73A93B0D" w14:textId="77777777" w:rsidR="00405662" w:rsidRPr="00CB01CA" w:rsidRDefault="00405662" w:rsidP="00FA504E">
      <w:pPr>
        <w:spacing w:afterLines="30" w:after="72" w:line="240" w:lineRule="auto"/>
        <w:ind w:left="426"/>
        <w:rPr>
          <w:rFonts w:ascii="Arial" w:hAnsi="Arial" w:cs="Arial"/>
          <w:lang w:val="en-GB"/>
        </w:rPr>
      </w:pPr>
    </w:p>
    <w:p w14:paraId="3E4B5A5C" w14:textId="77777777" w:rsidR="00AA779D" w:rsidRPr="00CB01CA" w:rsidRDefault="00881358">
      <w:pPr>
        <w:spacing w:afterLines="30" w:after="72" w:line="240" w:lineRule="auto"/>
        <w:ind w:left="426"/>
        <w:rPr>
          <w:rFonts w:ascii="Arial" w:hAnsi="Arial" w:cs="Arial"/>
          <w:lang w:val="en-GB"/>
        </w:rPr>
      </w:pPr>
      <w:r w:rsidRPr="00CB01CA">
        <w:rPr>
          <w:rFonts w:ascii="Arial" w:hAnsi="Arial" w:cs="Arial"/>
          <w:lang w:val="en-GB"/>
        </w:rPr>
        <w:t>e) If the operational and security incident occurred due to a reason imputable to the performing party or external service provider, the report shall indicate this fact. In this case the data report shall contain the information given by the cooperating performing party or the external service provider.</w:t>
      </w:r>
    </w:p>
    <w:p w14:paraId="6BD63FFB" w14:textId="77777777" w:rsidR="00405662" w:rsidRPr="00CB01CA" w:rsidRDefault="00405662" w:rsidP="00FA504E">
      <w:pPr>
        <w:spacing w:afterLines="30" w:after="72" w:line="240" w:lineRule="auto"/>
        <w:ind w:left="426"/>
        <w:rPr>
          <w:rFonts w:ascii="Arial" w:hAnsi="Arial" w:cs="Arial"/>
          <w:lang w:val="en-GB"/>
        </w:rPr>
      </w:pPr>
    </w:p>
    <w:p w14:paraId="156161BE" w14:textId="0237644F" w:rsidR="00AA779D" w:rsidRPr="00CB01CA" w:rsidRDefault="00881358">
      <w:pPr>
        <w:spacing w:afterLines="30" w:after="72" w:line="240" w:lineRule="auto"/>
        <w:ind w:left="426"/>
        <w:rPr>
          <w:rFonts w:ascii="Arial" w:hAnsi="Arial" w:cs="Arial"/>
          <w:lang w:val="en-GB"/>
        </w:rPr>
      </w:pPr>
      <w:r w:rsidRPr="00CB01CA">
        <w:rPr>
          <w:rFonts w:ascii="Arial" w:hAnsi="Arial" w:cs="Arial"/>
          <w:lang w:val="en-GB"/>
        </w:rPr>
        <w:t>f) For full compliance with the principles of ad hoc reporting, the data provider shall attach the detailed, textual report at the latest to the ‘C – Closing Report’ table. It shall consistently contain all the information included in the Interim Report(s).</w:t>
      </w:r>
    </w:p>
    <w:p w14:paraId="53EF7CAE" w14:textId="77777777" w:rsidR="00356A96" w:rsidRPr="00CB01CA" w:rsidRDefault="00356A96" w:rsidP="00FA504E">
      <w:pPr>
        <w:spacing w:afterLines="30" w:after="72" w:line="240" w:lineRule="auto"/>
        <w:ind w:left="426"/>
        <w:rPr>
          <w:rFonts w:ascii="Arial" w:hAnsi="Arial" w:cs="Arial"/>
          <w:lang w:val="en-GB"/>
        </w:rPr>
      </w:pPr>
    </w:p>
    <w:p w14:paraId="258F0411" w14:textId="77777777" w:rsidR="00220811" w:rsidRPr="00CB01CA" w:rsidRDefault="00881358" w:rsidP="000211D7">
      <w:pPr>
        <w:spacing w:afterLines="30" w:after="72" w:line="240" w:lineRule="auto"/>
        <w:ind w:left="426"/>
        <w:rPr>
          <w:rFonts w:ascii="Arial" w:hAnsi="Arial" w:cs="Arial"/>
          <w:lang w:val="en-GB"/>
        </w:rPr>
      </w:pPr>
      <w:r w:rsidRPr="00CB01CA">
        <w:rPr>
          <w:rFonts w:ascii="Arial" w:hAnsi="Arial" w:cs="Arial"/>
          <w:lang w:val="en-GB"/>
        </w:rPr>
        <w:t>g) Since the proper operation of electronic security systems</w:t>
      </w:r>
      <w:r w:rsidRPr="00CB01CA">
        <w:rPr>
          <w:rStyle w:val="Lbjegyzet-hivatkozs"/>
          <w:rFonts w:ascii="Arial" w:hAnsi="Arial" w:cs="Arial"/>
          <w:lang w:val="en-GB"/>
        </w:rPr>
        <w:footnoteReference w:id="2"/>
      </w:r>
      <w:r w:rsidRPr="00CB01CA">
        <w:rPr>
          <w:rFonts w:ascii="Arial" w:hAnsi="Arial" w:cs="Arial"/>
          <w:lang w:val="en-GB"/>
        </w:rPr>
        <w:t xml:space="preserve"> is essential for ensuring operation that is commensurate with risks, the data provider shall be obliged to pay special attention to any disruptions in the availability of electronic security systems and to report their occurrence.</w:t>
      </w:r>
    </w:p>
    <w:p w14:paraId="7A9BC661" w14:textId="77777777" w:rsidR="00B165B4" w:rsidRPr="00CB01CA" w:rsidRDefault="00B165B4" w:rsidP="000F4D8B">
      <w:pPr>
        <w:spacing w:afterLines="30" w:after="72" w:line="240" w:lineRule="auto"/>
        <w:ind w:left="426"/>
        <w:rPr>
          <w:rFonts w:ascii="Arial" w:hAnsi="Arial" w:cs="Arial"/>
          <w:lang w:val="en-GB"/>
        </w:rPr>
      </w:pPr>
    </w:p>
    <w:p w14:paraId="45167F02" w14:textId="20AC32A2" w:rsidR="00862D0C" w:rsidRPr="00CB01CA" w:rsidRDefault="00881358" w:rsidP="007A3426">
      <w:pPr>
        <w:pStyle w:val="Listaszerbekezds"/>
        <w:numPr>
          <w:ilvl w:val="0"/>
          <w:numId w:val="31"/>
        </w:numPr>
        <w:spacing w:afterLines="30" w:after="72" w:line="240" w:lineRule="auto"/>
        <w:ind w:left="426" w:firstLine="0"/>
        <w:rPr>
          <w:rFonts w:ascii="Arial" w:hAnsi="Arial" w:cs="Arial"/>
          <w:lang w:val="en-GB"/>
        </w:rPr>
      </w:pPr>
      <w:r w:rsidRPr="00CB01CA">
        <w:rPr>
          <w:rFonts w:ascii="Arial" w:hAnsi="Arial" w:cs="Arial"/>
          <w:lang w:val="en-GB"/>
        </w:rPr>
        <w:t xml:space="preserve">Security incidents or events, such as operational incidents, </w:t>
      </w:r>
      <w:r w:rsidR="007A3426" w:rsidRPr="00CB01CA">
        <w:rPr>
          <w:rFonts w:ascii="Arial" w:hAnsi="Arial" w:cs="Arial"/>
          <w:lang w:val="en-GB"/>
        </w:rPr>
        <w:t xml:space="preserve">detected </w:t>
      </w:r>
      <w:r w:rsidRPr="00CB01CA">
        <w:rPr>
          <w:rFonts w:ascii="Arial" w:hAnsi="Arial" w:cs="Arial"/>
          <w:lang w:val="en-GB"/>
        </w:rPr>
        <w:t>by the security systems shall be reported by the data provider as security incidents, without delay.</w:t>
      </w:r>
    </w:p>
    <w:p w14:paraId="5E1DD60E" w14:textId="28F1F38A" w:rsidR="008700B7" w:rsidRPr="00CB01CA" w:rsidRDefault="008700B7" w:rsidP="008700B7">
      <w:pPr>
        <w:spacing w:afterLines="30" w:after="72" w:line="240" w:lineRule="auto"/>
        <w:ind w:left="426"/>
        <w:rPr>
          <w:rFonts w:ascii="Arial" w:hAnsi="Arial" w:cs="Arial"/>
          <w:lang w:val="en-GB"/>
        </w:rPr>
      </w:pPr>
    </w:p>
    <w:p w14:paraId="6106ADB2" w14:textId="77777777" w:rsidR="008700B7" w:rsidRPr="00CB01CA" w:rsidRDefault="00881358">
      <w:pPr>
        <w:pStyle w:val="Listaszerbekezds"/>
        <w:numPr>
          <w:ilvl w:val="0"/>
          <w:numId w:val="31"/>
        </w:numPr>
        <w:spacing w:afterLines="30" w:after="72" w:line="240" w:lineRule="auto"/>
        <w:ind w:left="426" w:firstLine="0"/>
        <w:rPr>
          <w:rFonts w:ascii="Arial" w:hAnsi="Arial" w:cs="Arial"/>
          <w:lang w:val="en-GB"/>
        </w:rPr>
      </w:pPr>
      <w:r w:rsidRPr="00CB01CA">
        <w:rPr>
          <w:rFonts w:ascii="Arial" w:hAnsi="Arial" w:cs="Arial"/>
          <w:lang w:val="en-GB"/>
        </w:rPr>
        <w:t xml:space="preserve">The data provider </w:t>
      </w:r>
      <w:proofErr w:type="gramStart"/>
      <w:r w:rsidRPr="00CB01CA">
        <w:rPr>
          <w:rFonts w:ascii="Arial" w:hAnsi="Arial" w:cs="Arial"/>
          <w:lang w:val="en-GB"/>
        </w:rPr>
        <w:t>is allowed to</w:t>
      </w:r>
      <w:proofErr w:type="gramEnd"/>
      <w:r w:rsidRPr="00CB01CA">
        <w:rPr>
          <w:rFonts w:ascii="Arial" w:hAnsi="Arial" w:cs="Arial"/>
          <w:lang w:val="en-GB"/>
        </w:rPr>
        <w:t xml:space="preserve"> reclassify the Initial, Interim or Closing Reports sent as ad hoc report, provided that it is adequately justified and corroborated by evidence. </w:t>
      </w:r>
    </w:p>
    <w:p w14:paraId="0B134EAA" w14:textId="77777777" w:rsidR="00FA504E" w:rsidRPr="00CB01CA" w:rsidRDefault="00FA504E" w:rsidP="00FA504E">
      <w:pPr>
        <w:pStyle w:val="Listaszerbekezds"/>
        <w:numPr>
          <w:ilvl w:val="0"/>
          <w:numId w:val="0"/>
        </w:numPr>
        <w:spacing w:afterLines="30" w:after="72" w:line="240" w:lineRule="auto"/>
        <w:ind w:left="1146"/>
        <w:rPr>
          <w:rFonts w:ascii="Arial" w:hAnsi="Arial" w:cs="Arial"/>
          <w:lang w:val="en-GB"/>
        </w:rPr>
      </w:pPr>
    </w:p>
    <w:p w14:paraId="7EBD888D" w14:textId="77777777" w:rsidR="002C77A2" w:rsidRPr="00CB01CA" w:rsidRDefault="00881358" w:rsidP="00184B02">
      <w:pPr>
        <w:ind w:left="426" w:hanging="426"/>
        <w:rPr>
          <w:rFonts w:ascii="Arial" w:hAnsi="Arial" w:cs="Arial"/>
          <w:i/>
          <w:iCs/>
          <w:lang w:val="en-GB"/>
        </w:rPr>
      </w:pPr>
      <w:r w:rsidRPr="00CB01CA">
        <w:rPr>
          <w:rFonts w:ascii="Arial" w:hAnsi="Arial" w:cs="Arial"/>
          <w:b/>
          <w:bCs/>
          <w:lang w:val="en-GB"/>
        </w:rPr>
        <w:t>3. Detailed instructions for ad hoc reporting</w:t>
      </w:r>
      <w:r w:rsidRPr="00CB01CA">
        <w:rPr>
          <w:rFonts w:ascii="Arial" w:hAnsi="Arial" w:cs="Arial"/>
          <w:i/>
          <w:iCs/>
          <w:lang w:val="en-GB"/>
        </w:rPr>
        <w:t xml:space="preserve"> </w:t>
      </w:r>
    </w:p>
    <w:p w14:paraId="482C7D49" w14:textId="77777777" w:rsidR="00AA779D" w:rsidRPr="00CB01CA" w:rsidRDefault="00881358" w:rsidP="00FA504E">
      <w:pPr>
        <w:ind w:left="426"/>
        <w:rPr>
          <w:rFonts w:ascii="Arial" w:hAnsi="Arial" w:cs="Arial"/>
          <w:lang w:val="en-GB"/>
        </w:rPr>
      </w:pPr>
      <w:r w:rsidRPr="00CB01CA">
        <w:rPr>
          <w:rFonts w:ascii="Arial" w:hAnsi="Arial" w:cs="Arial"/>
          <w:lang w:val="en-GB"/>
        </w:rPr>
        <w:t>An ad hoc report shall contain at least the following information:</w:t>
      </w:r>
    </w:p>
    <w:p w14:paraId="6DCF414B" w14:textId="77777777" w:rsidR="00AA779D" w:rsidRPr="00CB01CA" w:rsidRDefault="00881358" w:rsidP="00184B02">
      <w:pPr>
        <w:numPr>
          <w:ilvl w:val="0"/>
          <w:numId w:val="23"/>
        </w:numPr>
        <w:tabs>
          <w:tab w:val="clear" w:pos="1440"/>
        </w:tabs>
        <w:spacing w:after="0" w:line="240" w:lineRule="auto"/>
        <w:ind w:left="783" w:hanging="357"/>
        <w:rPr>
          <w:rFonts w:ascii="Arial" w:hAnsi="Arial" w:cs="Arial"/>
          <w:lang w:val="en-GB"/>
        </w:rPr>
      </w:pPr>
      <w:proofErr w:type="gramStart"/>
      <w:r w:rsidRPr="00CB01CA">
        <w:rPr>
          <w:rFonts w:ascii="Arial" w:hAnsi="Arial" w:cs="Arial"/>
          <w:lang w:val="en-GB"/>
        </w:rPr>
        <w:t>with regard to</w:t>
      </w:r>
      <w:proofErr w:type="gramEnd"/>
      <w:r w:rsidRPr="00CB01CA">
        <w:rPr>
          <w:rFonts w:ascii="Arial" w:hAnsi="Arial" w:cs="Arial"/>
          <w:lang w:val="en-GB"/>
        </w:rPr>
        <w:t xml:space="preserve"> the operational and security incident:</w:t>
      </w:r>
    </w:p>
    <w:p w14:paraId="4308CA0A" w14:textId="77777777" w:rsidR="00AA779D" w:rsidRPr="00CB01CA" w:rsidRDefault="00881358" w:rsidP="006451BD">
      <w:pPr>
        <w:tabs>
          <w:tab w:val="left" w:pos="1276"/>
        </w:tabs>
        <w:spacing w:afterLines="30" w:after="72" w:line="240" w:lineRule="auto"/>
        <w:ind w:left="1276" w:hanging="425"/>
        <w:rPr>
          <w:rFonts w:ascii="Arial" w:hAnsi="Arial" w:cs="Arial"/>
          <w:lang w:val="en-GB"/>
        </w:rPr>
      </w:pPr>
      <w:r w:rsidRPr="00CB01CA">
        <w:rPr>
          <w:rFonts w:ascii="Arial" w:hAnsi="Arial" w:cs="Arial"/>
          <w:lang w:val="en-GB"/>
        </w:rPr>
        <w:t xml:space="preserve">aa) its detailed description, </w:t>
      </w:r>
    </w:p>
    <w:p w14:paraId="433BBBC6" w14:textId="4A272A42" w:rsidR="00AA779D" w:rsidRPr="00CB01CA" w:rsidRDefault="00881358" w:rsidP="006451BD">
      <w:pPr>
        <w:tabs>
          <w:tab w:val="left" w:pos="1276"/>
        </w:tabs>
        <w:spacing w:afterLines="30" w:after="72" w:line="240" w:lineRule="auto"/>
        <w:ind w:left="1276" w:hanging="425"/>
        <w:rPr>
          <w:rFonts w:ascii="Arial" w:hAnsi="Arial" w:cs="Arial"/>
          <w:lang w:val="en-GB"/>
        </w:rPr>
      </w:pPr>
      <w:r w:rsidRPr="00CB01CA">
        <w:rPr>
          <w:rFonts w:ascii="Arial" w:hAnsi="Arial" w:cs="Arial"/>
          <w:lang w:val="en-GB"/>
        </w:rPr>
        <w:t>ab) time and duration of its occurrence, date of its closing,</w:t>
      </w:r>
    </w:p>
    <w:p w14:paraId="659F621C" w14:textId="77777777" w:rsidR="00AA779D" w:rsidRPr="00CB01CA" w:rsidRDefault="00881358" w:rsidP="006451BD">
      <w:pPr>
        <w:tabs>
          <w:tab w:val="left" w:pos="1276"/>
        </w:tabs>
        <w:spacing w:afterLines="30" w:after="72" w:line="240" w:lineRule="auto"/>
        <w:ind w:left="1276" w:hanging="425"/>
        <w:rPr>
          <w:rFonts w:ascii="Arial" w:hAnsi="Arial" w:cs="Arial"/>
          <w:lang w:val="en-GB"/>
        </w:rPr>
      </w:pPr>
      <w:r w:rsidRPr="00CB01CA">
        <w:rPr>
          <w:rFonts w:ascii="Arial" w:hAnsi="Arial" w:cs="Arial"/>
          <w:lang w:val="en-GB"/>
        </w:rPr>
        <w:t>ac) its location,</w:t>
      </w:r>
    </w:p>
    <w:p w14:paraId="2E83BB71" w14:textId="77777777" w:rsidR="00AA779D" w:rsidRPr="00CB01CA" w:rsidRDefault="00881358" w:rsidP="006451BD">
      <w:pPr>
        <w:tabs>
          <w:tab w:val="left" w:pos="1276"/>
        </w:tabs>
        <w:spacing w:afterLines="30" w:after="72" w:line="240" w:lineRule="auto"/>
        <w:ind w:left="1276" w:hanging="425"/>
        <w:rPr>
          <w:rFonts w:ascii="Arial" w:hAnsi="Arial" w:cs="Arial"/>
          <w:lang w:val="en-GB"/>
        </w:rPr>
      </w:pPr>
      <w:r w:rsidRPr="00CB01CA">
        <w:rPr>
          <w:rFonts w:ascii="Arial" w:hAnsi="Arial" w:cs="Arial"/>
          <w:lang w:val="en-GB"/>
        </w:rPr>
        <w:t>ad) its cause (including the description of the causes),</w:t>
      </w:r>
    </w:p>
    <w:p w14:paraId="0EBAADC7" w14:textId="77777777" w:rsidR="002627F2" w:rsidRPr="00CB01CA" w:rsidRDefault="00881358" w:rsidP="006451BD">
      <w:pPr>
        <w:tabs>
          <w:tab w:val="left" w:pos="1276"/>
        </w:tabs>
        <w:spacing w:afterLines="30" w:after="72" w:line="240" w:lineRule="auto"/>
        <w:ind w:left="1276" w:hanging="425"/>
        <w:rPr>
          <w:rFonts w:ascii="Arial" w:hAnsi="Arial" w:cs="Arial"/>
          <w:lang w:val="en-GB"/>
        </w:rPr>
      </w:pPr>
      <w:r w:rsidRPr="00CB01CA">
        <w:rPr>
          <w:rFonts w:ascii="Arial" w:hAnsi="Arial" w:cs="Arial"/>
          <w:lang w:val="en-GB"/>
        </w:rPr>
        <w:t xml:space="preserve">ae) an indication that the data provider or another party (external service provider) was responsible for the occurrence of the trouble, </w:t>
      </w:r>
    </w:p>
    <w:p w14:paraId="2AA968F6" w14:textId="115CD02E" w:rsidR="00AA779D" w:rsidRPr="00CB01CA" w:rsidRDefault="00881358" w:rsidP="001556E1">
      <w:pPr>
        <w:tabs>
          <w:tab w:val="left" w:pos="1276"/>
        </w:tabs>
        <w:spacing w:afterLines="30" w:after="72" w:line="240" w:lineRule="auto"/>
        <w:ind w:left="1276" w:hanging="425"/>
        <w:rPr>
          <w:rFonts w:ascii="Arial" w:hAnsi="Arial" w:cs="Arial"/>
          <w:lang w:val="en-GB"/>
        </w:rPr>
      </w:pPr>
      <w:proofErr w:type="spellStart"/>
      <w:proofErr w:type="gramStart"/>
      <w:r w:rsidRPr="00CB01CA">
        <w:rPr>
          <w:rFonts w:ascii="Arial" w:hAnsi="Arial" w:cs="Arial"/>
          <w:lang w:val="en-GB"/>
        </w:rPr>
        <w:t>af</w:t>
      </w:r>
      <w:proofErr w:type="spellEnd"/>
      <w:r w:rsidRPr="00CB01CA">
        <w:rPr>
          <w:rFonts w:ascii="Arial" w:hAnsi="Arial" w:cs="Arial"/>
          <w:lang w:val="en-GB"/>
        </w:rPr>
        <w:t xml:space="preserve">)  </w:t>
      </w:r>
      <w:r w:rsidR="001556E1" w:rsidRPr="00CB01CA">
        <w:rPr>
          <w:rFonts w:ascii="Arial" w:hAnsi="Arial" w:cs="Arial"/>
          <w:lang w:val="en-GB"/>
        </w:rPr>
        <w:t>if</w:t>
      </w:r>
      <w:proofErr w:type="gramEnd"/>
      <w:r w:rsidR="001556E1" w:rsidRPr="00CB01CA">
        <w:rPr>
          <w:rFonts w:ascii="Arial" w:hAnsi="Arial" w:cs="Arial"/>
          <w:lang w:val="en-GB"/>
        </w:rPr>
        <w:t xml:space="preserve"> there </w:t>
      </w:r>
      <w:r w:rsidRPr="00CB01CA">
        <w:rPr>
          <w:rFonts w:ascii="Arial" w:hAnsi="Arial" w:cs="Arial"/>
          <w:lang w:val="en-GB"/>
        </w:rPr>
        <w:t xml:space="preserve">is a classification system, the level of the operational and security incident, </w:t>
      </w:r>
    </w:p>
    <w:p w14:paraId="402C6BA6" w14:textId="77777777" w:rsidR="00AA779D" w:rsidRPr="00CB01CA" w:rsidRDefault="00881358" w:rsidP="006451BD">
      <w:pPr>
        <w:tabs>
          <w:tab w:val="left" w:pos="1276"/>
        </w:tabs>
        <w:spacing w:afterLines="30" w:after="72" w:line="240" w:lineRule="auto"/>
        <w:ind w:left="1276" w:hanging="425"/>
        <w:rPr>
          <w:rFonts w:ascii="Arial" w:hAnsi="Arial" w:cs="Arial"/>
          <w:lang w:val="en-GB"/>
        </w:rPr>
      </w:pPr>
      <w:r w:rsidRPr="00CB01CA">
        <w:rPr>
          <w:rFonts w:ascii="Arial" w:hAnsi="Arial" w:cs="Arial"/>
          <w:lang w:val="en-GB"/>
        </w:rPr>
        <w:t>ag) the impact of the operational and security incident on the service(s) and internal working processes, the scope of transactions concerned (e.g. types) and their size (e.g. number of pieces, or value, if applicable),</w:t>
      </w:r>
    </w:p>
    <w:p w14:paraId="032AA7AF" w14:textId="77777777" w:rsidR="00AA779D" w:rsidRPr="00CB01CA" w:rsidRDefault="00881358" w:rsidP="006451BD">
      <w:pPr>
        <w:tabs>
          <w:tab w:val="left" w:pos="1276"/>
        </w:tabs>
        <w:spacing w:afterLines="30" w:after="72" w:line="240" w:lineRule="auto"/>
        <w:ind w:left="1276" w:hanging="425"/>
        <w:rPr>
          <w:rFonts w:ascii="Arial" w:hAnsi="Arial" w:cs="Arial"/>
          <w:lang w:val="en-GB"/>
        </w:rPr>
      </w:pPr>
      <w:r w:rsidRPr="00CB01CA">
        <w:rPr>
          <w:rFonts w:ascii="Arial" w:hAnsi="Arial" w:cs="Arial"/>
          <w:lang w:val="en-GB"/>
        </w:rPr>
        <w:t xml:space="preserve">ah) naming of the IT systems concerned and the missing resources, </w:t>
      </w:r>
    </w:p>
    <w:p w14:paraId="166F9907" w14:textId="5ADECB7A" w:rsidR="00AA779D" w:rsidRPr="00CB01CA" w:rsidRDefault="00881358" w:rsidP="006451BD">
      <w:pPr>
        <w:tabs>
          <w:tab w:val="left" w:pos="1276"/>
        </w:tabs>
        <w:spacing w:afterLines="30" w:after="72" w:line="240" w:lineRule="auto"/>
        <w:ind w:left="1276" w:hanging="425"/>
        <w:rPr>
          <w:rFonts w:ascii="Arial" w:hAnsi="Arial" w:cs="Arial"/>
          <w:lang w:val="en-GB"/>
        </w:rPr>
      </w:pPr>
      <w:proofErr w:type="spellStart"/>
      <w:r w:rsidRPr="00CB01CA">
        <w:rPr>
          <w:rFonts w:ascii="Arial" w:hAnsi="Arial" w:cs="Arial"/>
          <w:lang w:val="en-GB"/>
        </w:rPr>
        <w:t>ai</w:t>
      </w:r>
      <w:proofErr w:type="spellEnd"/>
      <w:r w:rsidRPr="00CB01CA">
        <w:rPr>
          <w:rFonts w:ascii="Arial" w:hAnsi="Arial" w:cs="Arial"/>
          <w:lang w:val="en-GB"/>
        </w:rPr>
        <w:t>) the circumstances and time of detecting the operational and security incident,</w:t>
      </w:r>
    </w:p>
    <w:p w14:paraId="524E5AB7" w14:textId="3783DF36" w:rsidR="00AA779D" w:rsidRPr="00CB01CA" w:rsidRDefault="00881358" w:rsidP="006451BD">
      <w:pPr>
        <w:tabs>
          <w:tab w:val="left" w:pos="1276"/>
        </w:tabs>
        <w:spacing w:afterLines="30" w:after="72" w:line="240" w:lineRule="auto"/>
        <w:ind w:left="1276" w:hanging="425"/>
        <w:rPr>
          <w:rFonts w:ascii="Arial" w:hAnsi="Arial" w:cs="Arial"/>
          <w:lang w:val="en-GB"/>
        </w:rPr>
      </w:pPr>
      <w:proofErr w:type="spellStart"/>
      <w:r w:rsidRPr="00CB01CA">
        <w:rPr>
          <w:rFonts w:ascii="Arial" w:hAnsi="Arial" w:cs="Arial"/>
          <w:lang w:val="en-GB"/>
        </w:rPr>
        <w:lastRenderedPageBreak/>
        <w:t>aj</w:t>
      </w:r>
      <w:proofErr w:type="spellEnd"/>
      <w:r w:rsidRPr="00CB01CA">
        <w:rPr>
          <w:rFonts w:ascii="Arial" w:hAnsi="Arial" w:cs="Arial"/>
          <w:lang w:val="en-GB"/>
        </w:rPr>
        <w:t>) the circumstances of the decline in capacity caused by the occurrence of the operational and security incident or of the partial stoppage or deceleration of the service,</w:t>
      </w:r>
    </w:p>
    <w:p w14:paraId="22FAFFAA" w14:textId="77777777" w:rsidR="007A388C" w:rsidRPr="00CB01CA" w:rsidRDefault="00881358" w:rsidP="006451BD">
      <w:pPr>
        <w:tabs>
          <w:tab w:val="left" w:pos="1276"/>
        </w:tabs>
        <w:spacing w:afterLines="30" w:after="72" w:line="240" w:lineRule="auto"/>
        <w:ind w:left="1276" w:hanging="425"/>
        <w:rPr>
          <w:rFonts w:ascii="Arial" w:hAnsi="Arial" w:cs="Arial"/>
          <w:lang w:val="en-GB"/>
        </w:rPr>
      </w:pPr>
      <w:proofErr w:type="spellStart"/>
      <w:r w:rsidRPr="00CB01CA">
        <w:rPr>
          <w:rFonts w:ascii="Arial" w:hAnsi="Arial" w:cs="Arial"/>
          <w:lang w:val="en-GB"/>
        </w:rPr>
        <w:t>ak</w:t>
      </w:r>
      <w:proofErr w:type="spellEnd"/>
      <w:r w:rsidRPr="00CB01CA">
        <w:rPr>
          <w:rFonts w:ascii="Arial" w:hAnsi="Arial" w:cs="Arial"/>
          <w:lang w:val="en-GB"/>
        </w:rPr>
        <w:t>) the circumstances of the failure of the spare site caused by the occurrence of the operational and security incident, as at the time of an operational and security incident the service cannot be switched over,</w:t>
      </w:r>
    </w:p>
    <w:p w14:paraId="122EE6CA" w14:textId="77777777" w:rsidR="00AA779D" w:rsidRPr="00CB01CA" w:rsidRDefault="00881358" w:rsidP="006451BD">
      <w:pPr>
        <w:tabs>
          <w:tab w:val="left" w:pos="1276"/>
        </w:tabs>
        <w:spacing w:afterLines="30" w:after="72" w:line="240" w:lineRule="auto"/>
        <w:ind w:left="1276" w:hanging="425"/>
        <w:rPr>
          <w:rFonts w:ascii="Arial" w:hAnsi="Arial" w:cs="Arial"/>
          <w:lang w:val="en-GB"/>
        </w:rPr>
      </w:pPr>
      <w:r w:rsidRPr="00CB01CA">
        <w:rPr>
          <w:rFonts w:ascii="Arial" w:hAnsi="Arial" w:cs="Arial"/>
          <w:lang w:val="en-GB"/>
        </w:rPr>
        <w:t xml:space="preserve">al) business services affected by the operational and security incident; </w:t>
      </w:r>
    </w:p>
    <w:p w14:paraId="2C58988B" w14:textId="5C007CB5" w:rsidR="00AA779D" w:rsidRPr="00CB01CA" w:rsidRDefault="00881358" w:rsidP="00184B02">
      <w:pPr>
        <w:numPr>
          <w:ilvl w:val="0"/>
          <w:numId w:val="23"/>
        </w:numPr>
        <w:tabs>
          <w:tab w:val="clear" w:pos="1440"/>
        </w:tabs>
        <w:spacing w:after="0" w:line="240" w:lineRule="auto"/>
        <w:ind w:left="783" w:hanging="357"/>
        <w:rPr>
          <w:rFonts w:ascii="Arial" w:hAnsi="Arial" w:cs="Arial"/>
          <w:lang w:val="en-GB"/>
        </w:rPr>
      </w:pPr>
      <w:r w:rsidRPr="00CB01CA">
        <w:rPr>
          <w:rFonts w:ascii="Arial" w:hAnsi="Arial" w:cs="Arial"/>
          <w:lang w:val="en-GB"/>
        </w:rPr>
        <w:t xml:space="preserve">indicators regarding the disruption in service: </w:t>
      </w:r>
    </w:p>
    <w:p w14:paraId="5DE0D912" w14:textId="77777777" w:rsidR="00AA779D" w:rsidRPr="00CB01CA" w:rsidRDefault="00881358" w:rsidP="006451BD">
      <w:pPr>
        <w:tabs>
          <w:tab w:val="left" w:pos="1276"/>
        </w:tabs>
        <w:spacing w:afterLines="30" w:after="72" w:line="240" w:lineRule="auto"/>
        <w:ind w:left="1276" w:hanging="425"/>
        <w:rPr>
          <w:rFonts w:ascii="Arial" w:hAnsi="Arial" w:cs="Arial"/>
          <w:lang w:val="en-GB"/>
        </w:rPr>
      </w:pPr>
      <w:proofErr w:type="spellStart"/>
      <w:r w:rsidRPr="00CB01CA">
        <w:rPr>
          <w:rFonts w:ascii="Arial" w:hAnsi="Arial" w:cs="Arial"/>
          <w:lang w:val="en-GB"/>
        </w:rPr>
        <w:t>ba</w:t>
      </w:r>
      <w:proofErr w:type="spellEnd"/>
      <w:r w:rsidRPr="00CB01CA">
        <w:rPr>
          <w:rFonts w:ascii="Arial" w:hAnsi="Arial" w:cs="Arial"/>
          <w:lang w:val="en-GB"/>
        </w:rPr>
        <w:t xml:space="preserve">) duration of the operational and security incident, </w:t>
      </w:r>
    </w:p>
    <w:p w14:paraId="15F479CF" w14:textId="77777777" w:rsidR="00AA779D" w:rsidRPr="00CB01CA" w:rsidRDefault="00881358" w:rsidP="006451BD">
      <w:pPr>
        <w:tabs>
          <w:tab w:val="left" w:pos="1276"/>
        </w:tabs>
        <w:spacing w:afterLines="30" w:after="72" w:line="240" w:lineRule="auto"/>
        <w:ind w:left="1276" w:hanging="425"/>
        <w:rPr>
          <w:rFonts w:ascii="Arial" w:hAnsi="Arial" w:cs="Arial"/>
          <w:lang w:val="en-GB"/>
        </w:rPr>
      </w:pPr>
      <w:r w:rsidRPr="00CB01CA">
        <w:rPr>
          <w:rFonts w:ascii="Arial" w:hAnsi="Arial" w:cs="Arial"/>
          <w:lang w:val="en-GB"/>
        </w:rPr>
        <w:t>bb) duration of the disruption or delay caused, for each service (if workarounds were applied, their description, giving when they started to work),</w:t>
      </w:r>
    </w:p>
    <w:p w14:paraId="5EF1ADC0" w14:textId="5E19BEA8" w:rsidR="00AA779D" w:rsidRPr="00CB01CA" w:rsidRDefault="00881358" w:rsidP="006451BD">
      <w:pPr>
        <w:tabs>
          <w:tab w:val="left" w:pos="1276"/>
        </w:tabs>
        <w:spacing w:afterLines="30" w:after="72" w:line="240" w:lineRule="auto"/>
        <w:ind w:left="1276" w:hanging="425"/>
        <w:rPr>
          <w:rFonts w:ascii="Arial" w:hAnsi="Arial" w:cs="Arial"/>
          <w:lang w:val="en-GB"/>
        </w:rPr>
      </w:pPr>
      <w:proofErr w:type="spellStart"/>
      <w:r w:rsidRPr="00CB01CA">
        <w:rPr>
          <w:rFonts w:ascii="Arial" w:hAnsi="Arial" w:cs="Arial"/>
          <w:lang w:val="en-GB"/>
        </w:rPr>
        <w:t>bc</w:t>
      </w:r>
      <w:proofErr w:type="spellEnd"/>
      <w:r w:rsidRPr="00CB01CA">
        <w:rPr>
          <w:rFonts w:ascii="Arial" w:hAnsi="Arial" w:cs="Arial"/>
          <w:lang w:val="en-GB"/>
        </w:rPr>
        <w:t xml:space="preserve">) for each service, duration of the disruption in service directly perceptible for customers (if applicable), </w:t>
      </w:r>
    </w:p>
    <w:p w14:paraId="78A37763" w14:textId="77777777" w:rsidR="00AA779D" w:rsidRPr="00CB01CA" w:rsidRDefault="00881358" w:rsidP="006451BD">
      <w:pPr>
        <w:tabs>
          <w:tab w:val="left" w:pos="1276"/>
        </w:tabs>
        <w:spacing w:afterLines="30" w:after="72" w:line="240" w:lineRule="auto"/>
        <w:ind w:left="1276" w:hanging="425"/>
        <w:rPr>
          <w:rFonts w:ascii="Arial" w:hAnsi="Arial" w:cs="Arial"/>
          <w:lang w:val="en-GB"/>
        </w:rPr>
      </w:pPr>
      <w:proofErr w:type="spellStart"/>
      <w:r w:rsidRPr="00CB01CA">
        <w:rPr>
          <w:rFonts w:ascii="Arial" w:hAnsi="Arial" w:cs="Arial"/>
          <w:lang w:val="en-GB"/>
        </w:rPr>
        <w:t>bd</w:t>
      </w:r>
      <w:proofErr w:type="spellEnd"/>
      <w:r w:rsidRPr="00CB01CA">
        <w:rPr>
          <w:rFonts w:ascii="Arial" w:hAnsi="Arial" w:cs="Arial"/>
          <w:lang w:val="en-GB"/>
        </w:rPr>
        <w:t xml:space="preserve">) for each service, availability indicators calculated for the day(s) affected by the operational and security incident (if applicable), </w:t>
      </w:r>
    </w:p>
    <w:p w14:paraId="32280C99" w14:textId="77777777" w:rsidR="00AA779D" w:rsidRPr="00CB01CA" w:rsidRDefault="00881358" w:rsidP="006451BD">
      <w:pPr>
        <w:tabs>
          <w:tab w:val="left" w:pos="1276"/>
        </w:tabs>
        <w:spacing w:afterLines="30" w:after="72" w:line="240" w:lineRule="auto"/>
        <w:ind w:left="1276" w:hanging="425"/>
        <w:rPr>
          <w:rFonts w:ascii="Arial" w:hAnsi="Arial" w:cs="Arial"/>
          <w:lang w:val="en-GB"/>
        </w:rPr>
      </w:pPr>
      <w:r w:rsidRPr="00CB01CA">
        <w:rPr>
          <w:rFonts w:ascii="Arial" w:hAnsi="Arial" w:cs="Arial"/>
          <w:lang w:val="en-GB"/>
        </w:rPr>
        <w:t>be) the related extensions of operating hours, customer complaints and repairs,</w:t>
      </w:r>
    </w:p>
    <w:p w14:paraId="45781855" w14:textId="2951ED43" w:rsidR="00AA779D" w:rsidRPr="00CB01CA" w:rsidRDefault="00881358" w:rsidP="006451BD">
      <w:pPr>
        <w:tabs>
          <w:tab w:val="left" w:pos="1276"/>
        </w:tabs>
        <w:spacing w:afterLines="30" w:after="72" w:line="240" w:lineRule="auto"/>
        <w:ind w:left="1276" w:hanging="425"/>
        <w:rPr>
          <w:rFonts w:ascii="Arial" w:hAnsi="Arial" w:cs="Arial"/>
          <w:lang w:val="en-GB"/>
        </w:rPr>
      </w:pPr>
      <w:r w:rsidRPr="00CB01CA">
        <w:rPr>
          <w:rFonts w:ascii="Arial" w:hAnsi="Arial" w:cs="Arial"/>
          <w:lang w:val="en-GB"/>
        </w:rPr>
        <w:t>bf) the duration of disruption and the availability of the business service supporting system element that failed during the disruption in service,</w:t>
      </w:r>
    </w:p>
    <w:p w14:paraId="2B4A4B0C" w14:textId="05F8623A" w:rsidR="00AA779D" w:rsidRPr="00CB01CA" w:rsidRDefault="00881358" w:rsidP="006451BD">
      <w:pPr>
        <w:tabs>
          <w:tab w:val="left" w:pos="1276"/>
        </w:tabs>
        <w:spacing w:afterLines="30" w:after="72" w:line="240" w:lineRule="auto"/>
        <w:ind w:left="1276" w:hanging="425"/>
        <w:rPr>
          <w:rFonts w:ascii="Arial" w:hAnsi="Arial" w:cs="Arial"/>
          <w:lang w:val="en-GB"/>
        </w:rPr>
      </w:pPr>
      <w:proofErr w:type="spellStart"/>
      <w:r w:rsidRPr="00CB01CA">
        <w:rPr>
          <w:rFonts w:ascii="Arial" w:hAnsi="Arial" w:cs="Arial"/>
          <w:lang w:val="en-GB"/>
        </w:rPr>
        <w:t>bg</w:t>
      </w:r>
      <w:proofErr w:type="spellEnd"/>
      <w:r w:rsidRPr="00CB01CA">
        <w:rPr>
          <w:rFonts w:ascii="Arial" w:hAnsi="Arial" w:cs="Arial"/>
          <w:lang w:val="en-GB"/>
        </w:rPr>
        <w:t>) the duration of disruption in and availability of business service in the case of a disruption in service,</w:t>
      </w:r>
    </w:p>
    <w:p w14:paraId="5C2DE0DA" w14:textId="6A7CC89E" w:rsidR="00AA779D" w:rsidRPr="00CB01CA" w:rsidRDefault="00881358" w:rsidP="006451BD">
      <w:pPr>
        <w:tabs>
          <w:tab w:val="left" w:pos="1276"/>
        </w:tabs>
        <w:spacing w:afterLines="30" w:after="72" w:line="240" w:lineRule="auto"/>
        <w:ind w:left="1276" w:hanging="425"/>
        <w:rPr>
          <w:rFonts w:ascii="Arial" w:hAnsi="Arial" w:cs="Arial"/>
          <w:lang w:val="en-GB"/>
        </w:rPr>
      </w:pPr>
      <w:proofErr w:type="spellStart"/>
      <w:r w:rsidRPr="00CB01CA">
        <w:rPr>
          <w:rFonts w:ascii="Arial" w:hAnsi="Arial" w:cs="Arial"/>
          <w:lang w:val="en-GB"/>
        </w:rPr>
        <w:t>bh</w:t>
      </w:r>
      <w:proofErr w:type="spellEnd"/>
      <w:r w:rsidRPr="00CB01CA">
        <w:rPr>
          <w:rFonts w:ascii="Arial" w:hAnsi="Arial" w:cs="Arial"/>
          <w:lang w:val="en-GB"/>
        </w:rPr>
        <w:t>) the way of measuring the disruption in service [automated (able to warn)/manual] in the case of the business service and the system supporting the business service,</w:t>
      </w:r>
    </w:p>
    <w:p w14:paraId="6717EEB3" w14:textId="187C05B6" w:rsidR="00AA779D" w:rsidRPr="00CB01CA" w:rsidRDefault="00881358" w:rsidP="006451BD">
      <w:pPr>
        <w:tabs>
          <w:tab w:val="left" w:pos="1276"/>
        </w:tabs>
        <w:spacing w:afterLines="30" w:after="72" w:line="240" w:lineRule="auto"/>
        <w:ind w:left="1276" w:hanging="425"/>
        <w:rPr>
          <w:rFonts w:ascii="Arial" w:hAnsi="Arial" w:cs="Arial"/>
          <w:lang w:val="en-GB"/>
        </w:rPr>
      </w:pPr>
      <w:r w:rsidRPr="00CB01CA">
        <w:rPr>
          <w:rFonts w:ascii="Arial" w:hAnsi="Arial" w:cs="Arial"/>
          <w:lang w:val="en-GB"/>
        </w:rPr>
        <w:t xml:space="preserve">bi) the identifier of the entity that reports the disruption in business service: a unit outside the organisation (e.g. credit institution, MNB) or organisational unit; </w:t>
      </w:r>
    </w:p>
    <w:p w14:paraId="1C2D2B43" w14:textId="77777777" w:rsidR="00AA779D" w:rsidRPr="00CB01CA" w:rsidRDefault="00881358" w:rsidP="00184B02">
      <w:pPr>
        <w:numPr>
          <w:ilvl w:val="0"/>
          <w:numId w:val="23"/>
        </w:numPr>
        <w:tabs>
          <w:tab w:val="clear" w:pos="1440"/>
        </w:tabs>
        <w:spacing w:after="0" w:line="240" w:lineRule="auto"/>
        <w:ind w:left="783" w:hanging="357"/>
        <w:rPr>
          <w:rFonts w:ascii="Arial" w:hAnsi="Arial" w:cs="Arial"/>
          <w:lang w:val="en-GB"/>
        </w:rPr>
      </w:pPr>
      <w:r w:rsidRPr="00CB01CA">
        <w:rPr>
          <w:rFonts w:ascii="Arial" w:hAnsi="Arial" w:cs="Arial"/>
          <w:lang w:val="en-GB"/>
        </w:rPr>
        <w:t xml:space="preserve">events related to the management and averting of operational and security incidents: </w:t>
      </w:r>
    </w:p>
    <w:p w14:paraId="0BE161D7" w14:textId="77777777" w:rsidR="00AA779D" w:rsidRPr="00CB01CA" w:rsidRDefault="00881358" w:rsidP="006451BD">
      <w:pPr>
        <w:tabs>
          <w:tab w:val="left" w:pos="1276"/>
        </w:tabs>
        <w:spacing w:afterLines="30" w:after="72" w:line="240" w:lineRule="auto"/>
        <w:ind w:left="1276" w:hanging="425"/>
        <w:rPr>
          <w:rFonts w:ascii="Arial" w:hAnsi="Arial" w:cs="Arial"/>
          <w:lang w:val="en-GB"/>
        </w:rPr>
      </w:pPr>
      <w:r w:rsidRPr="00CB01CA">
        <w:rPr>
          <w:rFonts w:ascii="Arial" w:hAnsi="Arial" w:cs="Arial"/>
          <w:lang w:val="en-GB"/>
        </w:rPr>
        <w:t xml:space="preserve">ca) the steps of error detection and troubleshooting, </w:t>
      </w:r>
    </w:p>
    <w:p w14:paraId="607326EE" w14:textId="77777777" w:rsidR="00AA779D" w:rsidRPr="00CB01CA" w:rsidRDefault="00881358" w:rsidP="006451BD">
      <w:pPr>
        <w:tabs>
          <w:tab w:val="left" w:pos="1276"/>
        </w:tabs>
        <w:spacing w:afterLines="30" w:after="72" w:line="240" w:lineRule="auto"/>
        <w:ind w:left="1276" w:hanging="425"/>
        <w:rPr>
          <w:rFonts w:ascii="Arial" w:hAnsi="Arial" w:cs="Arial"/>
          <w:lang w:val="en-GB"/>
        </w:rPr>
      </w:pPr>
      <w:proofErr w:type="spellStart"/>
      <w:r w:rsidRPr="00CB01CA">
        <w:rPr>
          <w:rFonts w:ascii="Arial" w:hAnsi="Arial" w:cs="Arial"/>
          <w:lang w:val="en-GB"/>
        </w:rPr>
        <w:t>cb</w:t>
      </w:r>
      <w:proofErr w:type="spellEnd"/>
      <w:r w:rsidRPr="00CB01CA">
        <w:rPr>
          <w:rFonts w:ascii="Arial" w:hAnsi="Arial" w:cs="Arial"/>
          <w:lang w:val="en-GB"/>
        </w:rPr>
        <w:t xml:space="preserve">) the decisions made and the necessary measures (with levels of decision-making), with their detailed description, </w:t>
      </w:r>
    </w:p>
    <w:p w14:paraId="3CA970A5" w14:textId="77777777" w:rsidR="00AA779D" w:rsidRPr="00CB01CA" w:rsidRDefault="00881358" w:rsidP="006451BD">
      <w:pPr>
        <w:tabs>
          <w:tab w:val="left" w:pos="1276"/>
        </w:tabs>
        <w:spacing w:afterLines="30" w:after="72" w:line="240" w:lineRule="auto"/>
        <w:ind w:left="1276" w:hanging="425"/>
        <w:rPr>
          <w:rFonts w:ascii="Arial" w:hAnsi="Arial" w:cs="Arial"/>
          <w:lang w:val="en-GB"/>
        </w:rPr>
      </w:pPr>
      <w:r w:rsidRPr="00CB01CA">
        <w:rPr>
          <w:rFonts w:ascii="Arial" w:hAnsi="Arial" w:cs="Arial"/>
          <w:lang w:val="en-GB"/>
        </w:rPr>
        <w:t>cc) the place, time and date of the decisions made,</w:t>
      </w:r>
    </w:p>
    <w:p w14:paraId="4B535144" w14:textId="3AE9415E" w:rsidR="00AA779D" w:rsidRPr="00CB01CA" w:rsidRDefault="00881358" w:rsidP="006451BD">
      <w:pPr>
        <w:tabs>
          <w:tab w:val="left" w:pos="1276"/>
        </w:tabs>
        <w:spacing w:afterLines="30" w:after="72" w:line="240" w:lineRule="auto"/>
        <w:ind w:left="1276" w:hanging="425"/>
        <w:rPr>
          <w:rFonts w:ascii="Arial" w:hAnsi="Arial" w:cs="Arial"/>
          <w:lang w:val="en-GB"/>
        </w:rPr>
      </w:pPr>
      <w:r w:rsidRPr="00CB01CA">
        <w:rPr>
          <w:rFonts w:ascii="Arial" w:hAnsi="Arial" w:cs="Arial"/>
          <w:lang w:val="en-GB"/>
        </w:rPr>
        <w:t xml:space="preserve">cd) the error handling method, business continuity plan (hereinafter: </w:t>
      </w:r>
      <w:proofErr w:type="spellStart"/>
      <w:r w:rsidRPr="00CB01CA">
        <w:rPr>
          <w:rFonts w:ascii="Arial" w:hAnsi="Arial" w:cs="Arial"/>
          <w:lang w:val="en-GB"/>
        </w:rPr>
        <w:t>BCP</w:t>
      </w:r>
      <w:proofErr w:type="spellEnd"/>
      <w:r w:rsidRPr="00CB01CA">
        <w:rPr>
          <w:rFonts w:ascii="Arial" w:hAnsi="Arial" w:cs="Arial"/>
          <w:lang w:val="en-GB"/>
        </w:rPr>
        <w:t>) or disaster recovery plan (hereinafter: DRP) applied,</w:t>
      </w:r>
    </w:p>
    <w:p w14:paraId="56618A0C" w14:textId="351F58EB" w:rsidR="00AA779D" w:rsidRPr="00CB01CA" w:rsidRDefault="00881358" w:rsidP="006451BD">
      <w:pPr>
        <w:tabs>
          <w:tab w:val="left" w:pos="1276"/>
        </w:tabs>
        <w:spacing w:afterLines="30" w:after="72" w:line="240" w:lineRule="auto"/>
        <w:ind w:left="1276" w:hanging="425"/>
        <w:rPr>
          <w:rFonts w:ascii="Arial" w:hAnsi="Arial" w:cs="Arial"/>
          <w:lang w:val="en-GB"/>
        </w:rPr>
      </w:pPr>
      <w:proofErr w:type="spellStart"/>
      <w:r w:rsidRPr="00CB01CA">
        <w:rPr>
          <w:rFonts w:ascii="Arial" w:hAnsi="Arial" w:cs="Arial"/>
          <w:lang w:val="en-GB"/>
        </w:rPr>
        <w:t>ce</w:t>
      </w:r>
      <w:proofErr w:type="spellEnd"/>
      <w:r w:rsidRPr="00CB01CA">
        <w:rPr>
          <w:rFonts w:ascii="Arial" w:hAnsi="Arial" w:cs="Arial"/>
          <w:lang w:val="en-GB"/>
        </w:rPr>
        <w:t xml:space="preserve">) if there is no </w:t>
      </w:r>
      <w:proofErr w:type="spellStart"/>
      <w:r w:rsidRPr="00CB01CA">
        <w:rPr>
          <w:rFonts w:ascii="Arial" w:hAnsi="Arial" w:cs="Arial"/>
          <w:lang w:val="en-GB"/>
        </w:rPr>
        <w:t>BCP</w:t>
      </w:r>
      <w:proofErr w:type="spellEnd"/>
      <w:r w:rsidRPr="00CB01CA">
        <w:rPr>
          <w:rFonts w:ascii="Arial" w:hAnsi="Arial" w:cs="Arial"/>
          <w:lang w:val="en-GB"/>
        </w:rPr>
        <w:t xml:space="preserve"> or DRP applied, the documenting of the error handling method for repeatability and verifiability, the preparation of a new </w:t>
      </w:r>
      <w:proofErr w:type="spellStart"/>
      <w:r w:rsidRPr="00CB01CA">
        <w:rPr>
          <w:rFonts w:ascii="Arial" w:hAnsi="Arial" w:cs="Arial"/>
          <w:lang w:val="en-GB"/>
        </w:rPr>
        <w:t>BCP</w:t>
      </w:r>
      <w:proofErr w:type="spellEnd"/>
      <w:r w:rsidRPr="00CB01CA">
        <w:rPr>
          <w:rFonts w:ascii="Arial" w:hAnsi="Arial" w:cs="Arial"/>
          <w:lang w:val="en-GB"/>
        </w:rPr>
        <w:t xml:space="preserve"> or DRP if necessary;</w:t>
      </w:r>
    </w:p>
    <w:p w14:paraId="76F9E139" w14:textId="77777777" w:rsidR="00AA779D" w:rsidRPr="00CB01CA" w:rsidRDefault="00881358" w:rsidP="00184B02">
      <w:pPr>
        <w:numPr>
          <w:ilvl w:val="0"/>
          <w:numId w:val="23"/>
        </w:numPr>
        <w:tabs>
          <w:tab w:val="clear" w:pos="1440"/>
        </w:tabs>
        <w:spacing w:after="0" w:line="240" w:lineRule="auto"/>
        <w:ind w:left="783" w:hanging="357"/>
        <w:rPr>
          <w:rFonts w:ascii="Arial" w:hAnsi="Arial" w:cs="Arial"/>
          <w:lang w:val="en-GB"/>
        </w:rPr>
      </w:pPr>
      <w:r w:rsidRPr="00CB01CA">
        <w:rPr>
          <w:rFonts w:ascii="Arial" w:hAnsi="Arial" w:cs="Arial"/>
          <w:lang w:val="en-GB"/>
        </w:rPr>
        <w:t xml:space="preserve">the situation </w:t>
      </w:r>
      <w:proofErr w:type="gramStart"/>
      <w:r w:rsidRPr="00CB01CA">
        <w:rPr>
          <w:rFonts w:ascii="Arial" w:hAnsi="Arial" w:cs="Arial"/>
          <w:lang w:val="en-GB"/>
        </w:rPr>
        <w:t>at the moment</w:t>
      </w:r>
      <w:proofErr w:type="gramEnd"/>
      <w:r w:rsidRPr="00CB01CA">
        <w:rPr>
          <w:rFonts w:ascii="Arial" w:hAnsi="Arial" w:cs="Arial"/>
          <w:lang w:val="en-GB"/>
        </w:rPr>
        <w:t xml:space="preserve"> of preparing the report (in terms of the management and averting of operational and security incidents and the finding of the causes); </w:t>
      </w:r>
    </w:p>
    <w:p w14:paraId="6B423301" w14:textId="77777777" w:rsidR="00AA779D" w:rsidRPr="00CB01CA" w:rsidRDefault="00881358" w:rsidP="00184B02">
      <w:pPr>
        <w:numPr>
          <w:ilvl w:val="0"/>
          <w:numId w:val="23"/>
        </w:numPr>
        <w:tabs>
          <w:tab w:val="clear" w:pos="1440"/>
        </w:tabs>
        <w:spacing w:after="0" w:line="240" w:lineRule="auto"/>
        <w:ind w:left="783" w:hanging="357"/>
        <w:rPr>
          <w:rFonts w:ascii="Arial" w:hAnsi="Arial" w:cs="Arial"/>
          <w:lang w:val="en-GB"/>
        </w:rPr>
      </w:pPr>
      <w:r w:rsidRPr="00CB01CA">
        <w:rPr>
          <w:rFonts w:ascii="Arial" w:hAnsi="Arial" w:cs="Arial"/>
          <w:lang w:val="en-GB"/>
        </w:rPr>
        <w:t>the lessons drawn from the event;</w:t>
      </w:r>
    </w:p>
    <w:p w14:paraId="65AB8B65" w14:textId="77777777" w:rsidR="00AA779D" w:rsidRPr="00CB01CA" w:rsidRDefault="00881358" w:rsidP="00184B02">
      <w:pPr>
        <w:numPr>
          <w:ilvl w:val="0"/>
          <w:numId w:val="23"/>
        </w:numPr>
        <w:tabs>
          <w:tab w:val="clear" w:pos="1440"/>
        </w:tabs>
        <w:spacing w:after="0" w:line="240" w:lineRule="auto"/>
        <w:ind w:left="783" w:hanging="357"/>
        <w:rPr>
          <w:rFonts w:ascii="Arial" w:hAnsi="Arial" w:cs="Arial"/>
          <w:lang w:val="en-GB"/>
        </w:rPr>
      </w:pPr>
      <w:r w:rsidRPr="00CB01CA">
        <w:rPr>
          <w:rFonts w:ascii="Arial" w:hAnsi="Arial" w:cs="Arial"/>
          <w:lang w:val="en-GB"/>
        </w:rPr>
        <w:t xml:space="preserve">the description or plans of the measures taken </w:t>
      </w:r>
      <w:proofErr w:type="gramStart"/>
      <w:r w:rsidRPr="00CB01CA">
        <w:rPr>
          <w:rFonts w:ascii="Arial" w:hAnsi="Arial" w:cs="Arial"/>
          <w:lang w:val="en-GB"/>
        </w:rPr>
        <w:t>in order to</w:t>
      </w:r>
      <w:proofErr w:type="gramEnd"/>
      <w:r w:rsidRPr="00CB01CA">
        <w:rPr>
          <w:rFonts w:ascii="Arial" w:hAnsi="Arial" w:cs="Arial"/>
          <w:lang w:val="en-GB"/>
        </w:rPr>
        <w:t xml:space="preserve"> avoid similar situations or recurrences (including deadlines and people in charge) as well as the related documentation;</w:t>
      </w:r>
    </w:p>
    <w:p w14:paraId="010FA066" w14:textId="77777777" w:rsidR="00AA779D" w:rsidRPr="00CB01CA" w:rsidRDefault="00881358" w:rsidP="00184B02">
      <w:pPr>
        <w:numPr>
          <w:ilvl w:val="0"/>
          <w:numId w:val="23"/>
        </w:numPr>
        <w:tabs>
          <w:tab w:val="clear" w:pos="1440"/>
        </w:tabs>
        <w:spacing w:after="0" w:line="240" w:lineRule="auto"/>
        <w:ind w:left="783" w:hanging="357"/>
        <w:rPr>
          <w:rFonts w:ascii="Arial" w:hAnsi="Arial" w:cs="Arial"/>
          <w:lang w:val="en-GB"/>
        </w:rPr>
      </w:pPr>
      <w:r w:rsidRPr="00CB01CA">
        <w:rPr>
          <w:rFonts w:ascii="Arial" w:hAnsi="Arial" w:cs="Arial"/>
          <w:lang w:val="en-GB"/>
        </w:rPr>
        <w:t>any further steps planned;</w:t>
      </w:r>
    </w:p>
    <w:p w14:paraId="4F892273" w14:textId="77777777" w:rsidR="00AA779D" w:rsidRPr="00CB01CA" w:rsidRDefault="00881358" w:rsidP="00184B02">
      <w:pPr>
        <w:numPr>
          <w:ilvl w:val="0"/>
          <w:numId w:val="23"/>
        </w:numPr>
        <w:tabs>
          <w:tab w:val="clear" w:pos="1440"/>
        </w:tabs>
        <w:spacing w:after="0" w:line="240" w:lineRule="auto"/>
        <w:ind w:left="783" w:hanging="357"/>
        <w:rPr>
          <w:rFonts w:ascii="Arial" w:hAnsi="Arial" w:cs="Arial"/>
          <w:lang w:val="en-GB"/>
        </w:rPr>
      </w:pPr>
      <w:r w:rsidRPr="00CB01CA">
        <w:rPr>
          <w:rFonts w:ascii="Arial" w:hAnsi="Arial" w:cs="Arial"/>
          <w:lang w:val="en-GB"/>
        </w:rPr>
        <w:t>the internal documents created in connection with the operational and security incident (accounts, memoranda, reports as well as operating and change management documents);</w:t>
      </w:r>
    </w:p>
    <w:p w14:paraId="5AFB74DC" w14:textId="0ACD0E08" w:rsidR="00AA779D" w:rsidRPr="00CB01CA" w:rsidRDefault="00881358" w:rsidP="00184B02">
      <w:pPr>
        <w:numPr>
          <w:ilvl w:val="0"/>
          <w:numId w:val="23"/>
        </w:numPr>
        <w:tabs>
          <w:tab w:val="clear" w:pos="1440"/>
        </w:tabs>
        <w:spacing w:after="0" w:line="240" w:lineRule="auto"/>
        <w:ind w:left="783" w:hanging="357"/>
        <w:rPr>
          <w:rFonts w:ascii="Arial" w:hAnsi="Arial" w:cs="Arial"/>
          <w:lang w:val="en-GB"/>
        </w:rPr>
      </w:pPr>
      <w:r w:rsidRPr="00CB01CA">
        <w:rPr>
          <w:rFonts w:ascii="Arial" w:hAnsi="Arial" w:cs="Arial"/>
          <w:lang w:val="en-GB"/>
        </w:rPr>
        <w:t xml:space="preserve">the (planned) mode of compensating the customers for the loss they </w:t>
      </w:r>
      <w:proofErr w:type="gramStart"/>
      <w:r w:rsidRPr="00CB01CA">
        <w:rPr>
          <w:rFonts w:ascii="Arial" w:hAnsi="Arial" w:cs="Arial"/>
          <w:lang w:val="en-GB"/>
        </w:rPr>
        <w:t>suffered</w:t>
      </w:r>
      <w:proofErr w:type="gramEnd"/>
      <w:r w:rsidRPr="00CB01CA">
        <w:rPr>
          <w:rFonts w:ascii="Arial" w:hAnsi="Arial" w:cs="Arial"/>
          <w:lang w:val="en-GB"/>
        </w:rPr>
        <w:t xml:space="preserve"> and the amount of any damages already paid (if applicable);</w:t>
      </w:r>
    </w:p>
    <w:p w14:paraId="779FFFD3" w14:textId="4FA21F9C" w:rsidR="00A41894" w:rsidRPr="00CB01CA" w:rsidRDefault="00881358" w:rsidP="00184B02">
      <w:pPr>
        <w:numPr>
          <w:ilvl w:val="0"/>
          <w:numId w:val="23"/>
        </w:numPr>
        <w:tabs>
          <w:tab w:val="clear" w:pos="1440"/>
        </w:tabs>
        <w:spacing w:after="0" w:line="240" w:lineRule="auto"/>
        <w:ind w:left="783" w:hanging="357"/>
        <w:rPr>
          <w:rFonts w:ascii="Arial" w:hAnsi="Arial" w:cs="Arial"/>
          <w:lang w:val="en-GB"/>
        </w:rPr>
      </w:pPr>
      <w:r w:rsidRPr="00CB01CA">
        <w:rPr>
          <w:rFonts w:ascii="Arial" w:hAnsi="Arial" w:cs="Arial"/>
          <w:lang w:val="en-GB"/>
        </w:rPr>
        <w:t>if due to the event the service provider had to eliminate or ease certain (</w:t>
      </w:r>
      <w:r w:rsidR="00152AF0">
        <w:rPr>
          <w:rFonts w:ascii="Arial" w:hAnsi="Arial" w:cs="Arial"/>
          <w:lang w:val="en-GB"/>
        </w:rPr>
        <w:t>built-in</w:t>
      </w:r>
      <w:r w:rsidRPr="00CB01CA">
        <w:rPr>
          <w:rFonts w:ascii="Arial" w:hAnsi="Arial" w:cs="Arial"/>
          <w:lang w:val="en-GB"/>
        </w:rPr>
        <w:t xml:space="preserve"> preventive or detective) controls, the reason for eliminating these controls, the identification and status of the entity that requested and approved the elimination;</w:t>
      </w:r>
    </w:p>
    <w:p w14:paraId="7BBF147A" w14:textId="006CEFF6" w:rsidR="00AA779D" w:rsidRPr="00CB01CA" w:rsidRDefault="00881358" w:rsidP="00184B02">
      <w:pPr>
        <w:numPr>
          <w:ilvl w:val="0"/>
          <w:numId w:val="23"/>
        </w:numPr>
        <w:tabs>
          <w:tab w:val="clear" w:pos="1440"/>
        </w:tabs>
        <w:spacing w:after="0" w:line="240" w:lineRule="auto"/>
        <w:ind w:left="783" w:hanging="357"/>
        <w:rPr>
          <w:rFonts w:ascii="Arial" w:hAnsi="Arial" w:cs="Arial"/>
          <w:lang w:val="en-GB"/>
        </w:rPr>
      </w:pPr>
      <w:r w:rsidRPr="00CB01CA">
        <w:rPr>
          <w:rFonts w:ascii="Arial" w:hAnsi="Arial" w:cs="Arial"/>
          <w:lang w:val="en-GB"/>
        </w:rPr>
        <w:t>considering that during an operational incident it is a requirement to continuously control the security incidents, the data provider shall submit the report summarising the operational incident (in the form of a Closing Report in line with point II. 5) authenticated by the signatures of the heads of IT and Security.</w:t>
      </w:r>
    </w:p>
    <w:p w14:paraId="6C81967C" w14:textId="76CEE1C6" w:rsidR="00AA779D" w:rsidRPr="00CB01CA" w:rsidRDefault="00881358" w:rsidP="00184B02">
      <w:pPr>
        <w:numPr>
          <w:ilvl w:val="0"/>
          <w:numId w:val="23"/>
        </w:numPr>
        <w:tabs>
          <w:tab w:val="clear" w:pos="1440"/>
        </w:tabs>
        <w:spacing w:after="0" w:line="240" w:lineRule="auto"/>
        <w:ind w:left="783" w:hanging="357"/>
        <w:rPr>
          <w:rFonts w:ascii="Arial" w:hAnsi="Arial" w:cs="Arial"/>
          <w:lang w:val="en-GB"/>
        </w:rPr>
      </w:pPr>
      <w:r w:rsidRPr="00CB01CA">
        <w:rPr>
          <w:rFonts w:ascii="Arial" w:hAnsi="Arial" w:cs="Arial"/>
          <w:lang w:val="en-GB"/>
        </w:rPr>
        <w:t>since subpoint b) of this point expects the reporting of data related to the availability of business services, the data provider shall submit the report summarising the operational incident (in the form of a Closing Report in line with point II. 5) authenticated by the signature of the head of the business division;</w:t>
      </w:r>
    </w:p>
    <w:p w14:paraId="22F4C244" w14:textId="3E049331" w:rsidR="002272D3" w:rsidRPr="00CB01CA" w:rsidRDefault="00881358" w:rsidP="00184B02">
      <w:pPr>
        <w:numPr>
          <w:ilvl w:val="0"/>
          <w:numId w:val="23"/>
        </w:numPr>
        <w:tabs>
          <w:tab w:val="clear" w:pos="1440"/>
        </w:tabs>
        <w:spacing w:after="0" w:line="240" w:lineRule="auto"/>
        <w:ind w:left="783" w:hanging="357"/>
        <w:rPr>
          <w:rFonts w:ascii="Arial" w:hAnsi="Arial" w:cs="Arial"/>
          <w:lang w:val="en-GB"/>
        </w:rPr>
      </w:pPr>
      <w:bookmarkStart w:id="3" w:name="_Hlk51330736"/>
      <w:r w:rsidRPr="00CB01CA">
        <w:rPr>
          <w:rFonts w:ascii="Arial" w:hAnsi="Arial" w:cs="Arial"/>
          <w:lang w:val="en-GB"/>
        </w:rPr>
        <w:lastRenderedPageBreak/>
        <w:t>a declaration whether there has been any security incident in connection with an operational incident, and a declaration whether there has been an operational incident in connection with a security incident.</w:t>
      </w:r>
    </w:p>
    <w:bookmarkEnd w:id="3"/>
    <w:p w14:paraId="42771127" w14:textId="77777777" w:rsidR="006451BD" w:rsidRPr="00CB01CA" w:rsidRDefault="006451BD" w:rsidP="006451BD">
      <w:pPr>
        <w:spacing w:after="0" w:line="240" w:lineRule="auto"/>
        <w:ind w:left="783"/>
        <w:rPr>
          <w:rFonts w:ascii="Arial" w:hAnsi="Arial" w:cs="Arial"/>
          <w:lang w:val="en-GB"/>
        </w:rPr>
      </w:pPr>
    </w:p>
    <w:p w14:paraId="6CD9D39E" w14:textId="77777777" w:rsidR="00AA779D" w:rsidRPr="00CB01CA" w:rsidRDefault="00881358" w:rsidP="00AA779D">
      <w:pPr>
        <w:rPr>
          <w:rFonts w:ascii="Arial" w:hAnsi="Arial" w:cs="Arial"/>
          <w:b/>
          <w:bCs/>
          <w:lang w:val="en-GB"/>
        </w:rPr>
      </w:pPr>
      <w:r w:rsidRPr="00CB01CA">
        <w:rPr>
          <w:rFonts w:ascii="Arial" w:hAnsi="Arial" w:cs="Arial"/>
          <w:b/>
          <w:bCs/>
          <w:lang w:val="en-GB"/>
        </w:rPr>
        <w:t>4. Principles of the quarterly reporting</w:t>
      </w:r>
    </w:p>
    <w:p w14:paraId="7B98350D" w14:textId="77777777" w:rsidR="00AD3D31" w:rsidRPr="00CB01CA" w:rsidRDefault="00881358">
      <w:pPr>
        <w:spacing w:afterLines="30" w:after="72" w:line="240" w:lineRule="auto"/>
        <w:ind w:left="357"/>
        <w:rPr>
          <w:rFonts w:ascii="Arial" w:hAnsi="Arial" w:cs="Arial"/>
          <w:lang w:val="en-GB"/>
        </w:rPr>
      </w:pPr>
      <w:r w:rsidRPr="00CB01CA">
        <w:rPr>
          <w:rFonts w:ascii="Arial" w:hAnsi="Arial" w:cs="Arial"/>
          <w:lang w:val="en-GB"/>
        </w:rPr>
        <w:t>a) If no reporting obligation according to the provisions in point 1 arose for the data provider, every quarter, before the 10th working day of the month following the reference quarter the data provider shall declare that no operational and security incident – serving as the basis for reporting – has occurred.</w:t>
      </w:r>
    </w:p>
    <w:p w14:paraId="19384037" w14:textId="474EF8E3" w:rsidR="00AA779D" w:rsidRPr="00CB01CA" w:rsidRDefault="00881358">
      <w:pPr>
        <w:spacing w:afterLines="30" w:after="72" w:line="240" w:lineRule="auto"/>
        <w:ind w:left="357"/>
        <w:rPr>
          <w:rFonts w:ascii="Arial" w:eastAsia="Times New Roman" w:hAnsi="Arial" w:cs="Arial"/>
          <w:lang w:val="en-GB"/>
        </w:rPr>
      </w:pPr>
      <w:r w:rsidRPr="00CB01CA">
        <w:rPr>
          <w:rFonts w:ascii="Arial" w:hAnsi="Arial" w:cs="Arial"/>
          <w:lang w:val="en-GB"/>
        </w:rPr>
        <w:t xml:space="preserve">b)  </w:t>
      </w:r>
      <w:r w:rsidR="007A3426" w:rsidRPr="00CB01CA">
        <w:rPr>
          <w:rFonts w:ascii="Arial" w:hAnsi="Arial" w:cs="Arial"/>
          <w:lang w:val="en-GB"/>
        </w:rPr>
        <w:t xml:space="preserve">If not submitted within the </w:t>
      </w:r>
      <w:r w:rsidRPr="00CB01CA">
        <w:rPr>
          <w:rFonts w:ascii="Arial" w:hAnsi="Arial" w:cs="Arial"/>
          <w:lang w:val="en-GB"/>
        </w:rPr>
        <w:t xml:space="preserve">framework of a report with MNB identification code W08, according to this data reporting, every quarter, before the 10th working day of the month following the reference quarter the data provider shall report all the events not qualifying as subject to mandatory reporting but deemed operational or security event, incident or error in the organisation of the data provider (e.g. incident ticket, operating log, security incident), each case furnished with individual identifier, in a list. This list shall contain a short description of the cases, their start, time, </w:t>
      </w:r>
      <w:proofErr w:type="gramStart"/>
      <w:r w:rsidRPr="00CB01CA">
        <w:rPr>
          <w:rFonts w:ascii="Arial" w:hAnsi="Arial" w:cs="Arial"/>
          <w:lang w:val="en-GB"/>
        </w:rPr>
        <w:t>current status</w:t>
      </w:r>
      <w:proofErr w:type="gramEnd"/>
      <w:r w:rsidRPr="00CB01CA">
        <w:rPr>
          <w:rFonts w:ascii="Arial" w:hAnsi="Arial" w:cs="Arial"/>
          <w:lang w:val="en-GB"/>
        </w:rPr>
        <w:t xml:space="preserve">, priority and primarily a presentation of the internal events that can be related to the circumstances of the report with MNB identification code W08 and can be listed as its cause or result. </w:t>
      </w:r>
    </w:p>
    <w:p w14:paraId="1E0447A3" w14:textId="7C6ADD17" w:rsidR="00AA779D" w:rsidRPr="00CB01CA" w:rsidRDefault="00881358" w:rsidP="00FA504E">
      <w:pPr>
        <w:ind w:left="360"/>
        <w:rPr>
          <w:rFonts w:ascii="Arial" w:hAnsi="Arial" w:cs="Arial"/>
          <w:lang w:val="en-GB"/>
        </w:rPr>
      </w:pPr>
      <w:r w:rsidRPr="00CB01CA">
        <w:rPr>
          <w:rFonts w:ascii="Arial" w:eastAsia="Times New Roman" w:hAnsi="Arial" w:cs="Arial"/>
          <w:lang w:val="en-GB"/>
        </w:rPr>
        <w:t>The data provider shall attach the content of the quarterly report as part of the table ‘D – Quarterly data report’.</w:t>
      </w:r>
    </w:p>
    <w:p w14:paraId="253D00E6" w14:textId="77777777" w:rsidR="00AA779D" w:rsidRPr="00CB01CA" w:rsidRDefault="00881358" w:rsidP="00AA779D">
      <w:pPr>
        <w:rPr>
          <w:rFonts w:ascii="Arial" w:hAnsi="Arial" w:cs="Arial"/>
          <w:b/>
          <w:bCs/>
          <w:lang w:val="en-GB"/>
        </w:rPr>
      </w:pPr>
      <w:r w:rsidRPr="00CB01CA">
        <w:rPr>
          <w:rFonts w:ascii="Arial" w:hAnsi="Arial" w:cs="Arial"/>
          <w:b/>
          <w:bCs/>
          <w:lang w:val="en-GB"/>
        </w:rPr>
        <w:t xml:space="preserve">5. </w:t>
      </w:r>
      <w:bookmarkStart w:id="4" w:name="_Hlk49934508"/>
      <w:r w:rsidRPr="00CB01CA">
        <w:rPr>
          <w:rFonts w:ascii="Arial" w:hAnsi="Arial" w:cs="Arial"/>
          <w:b/>
          <w:bCs/>
          <w:lang w:val="en-GB"/>
        </w:rPr>
        <w:t xml:space="preserve">The principles of ad hoc </w:t>
      </w:r>
      <w:bookmarkEnd w:id="4"/>
      <w:r w:rsidRPr="00CB01CA">
        <w:rPr>
          <w:rFonts w:ascii="Arial" w:hAnsi="Arial" w:cs="Arial"/>
          <w:b/>
          <w:bCs/>
          <w:lang w:val="en-GB"/>
        </w:rPr>
        <w:t>evaluation</w:t>
      </w:r>
    </w:p>
    <w:p w14:paraId="30583260" w14:textId="34EB10B1" w:rsidR="00762898" w:rsidRPr="00CB01CA" w:rsidRDefault="00881358">
      <w:pPr>
        <w:spacing w:afterLines="30" w:after="72" w:line="240" w:lineRule="auto"/>
        <w:ind w:left="360"/>
        <w:rPr>
          <w:rFonts w:ascii="Arial" w:hAnsi="Arial" w:cs="Arial"/>
          <w:lang w:val="en-GB"/>
        </w:rPr>
      </w:pPr>
      <w:r w:rsidRPr="00CB01CA">
        <w:rPr>
          <w:rFonts w:ascii="Arial" w:hAnsi="Arial" w:cs="Arial"/>
          <w:lang w:val="en-GB"/>
        </w:rPr>
        <w:t>a) In connection with the ad hoc and quarterly reports, the data provider shall submit the following in relation to the operational and security incidents selected by the MNB:</w:t>
      </w:r>
    </w:p>
    <w:p w14:paraId="429156E8" w14:textId="6936CC6E" w:rsidR="0077769D" w:rsidRPr="00CB01CA" w:rsidRDefault="00881358">
      <w:pPr>
        <w:tabs>
          <w:tab w:val="left" w:pos="1276"/>
        </w:tabs>
        <w:spacing w:afterLines="30" w:after="72" w:line="240" w:lineRule="auto"/>
        <w:ind w:left="1276" w:hanging="425"/>
        <w:rPr>
          <w:rFonts w:ascii="Arial" w:hAnsi="Arial" w:cs="Arial"/>
          <w:lang w:val="en-GB"/>
        </w:rPr>
      </w:pPr>
      <w:r w:rsidRPr="00CB01CA">
        <w:rPr>
          <w:rFonts w:ascii="Arial" w:hAnsi="Arial" w:cs="Arial"/>
          <w:lang w:val="en-GB"/>
        </w:rPr>
        <w:t xml:space="preserve">aa) the security log evaluation and all the log files related to the event (system and components affected), in a format allowing security log evaluation and analysis in an office environment as well and </w:t>
      </w:r>
    </w:p>
    <w:p w14:paraId="5CBFC770" w14:textId="3294DEE1" w:rsidR="00AA779D" w:rsidRPr="00CB01CA" w:rsidRDefault="00881358">
      <w:pPr>
        <w:tabs>
          <w:tab w:val="left" w:pos="1276"/>
        </w:tabs>
        <w:spacing w:afterLines="30" w:after="72" w:line="240" w:lineRule="auto"/>
        <w:ind w:left="1276" w:hanging="425"/>
        <w:rPr>
          <w:rFonts w:ascii="Arial" w:hAnsi="Arial" w:cs="Arial"/>
          <w:lang w:val="en-GB"/>
        </w:rPr>
      </w:pPr>
      <w:r w:rsidRPr="00CB01CA">
        <w:rPr>
          <w:rFonts w:ascii="Arial" w:hAnsi="Arial" w:cs="Arial"/>
          <w:lang w:val="en-GB"/>
        </w:rPr>
        <w:t>ab) the complete documentation belonging to the event (e.g. internal and external letters related to the subject matter, customer information, incident tickets).</w:t>
      </w:r>
    </w:p>
    <w:p w14:paraId="64F5A5BA" w14:textId="0F1E6614" w:rsidR="00C54631" w:rsidRPr="00CB01CA" w:rsidRDefault="00881358">
      <w:pPr>
        <w:spacing w:afterLines="30" w:after="72" w:line="240" w:lineRule="auto"/>
        <w:ind w:left="360"/>
        <w:rPr>
          <w:rFonts w:ascii="Arial" w:eastAsia="Times New Roman" w:hAnsi="Arial" w:cs="Arial"/>
          <w:lang w:val="en-GB"/>
        </w:rPr>
      </w:pPr>
      <w:r w:rsidRPr="00CB01CA">
        <w:rPr>
          <w:rFonts w:ascii="Arial" w:eastAsia="Times New Roman" w:hAnsi="Arial" w:cs="Arial"/>
          <w:lang w:val="en-GB"/>
        </w:rPr>
        <w:t xml:space="preserve">b) In addition, the data provider shall also send the regular evaluations it prepares, which are directly or indirectly related to the ad hoc or quarterly reports it </w:t>
      </w:r>
      <w:proofErr w:type="gramStart"/>
      <w:r w:rsidRPr="00CB01CA">
        <w:rPr>
          <w:rFonts w:ascii="Arial" w:eastAsia="Times New Roman" w:hAnsi="Arial" w:cs="Arial"/>
          <w:lang w:val="en-GB"/>
        </w:rPr>
        <w:t>compiles, or</w:t>
      </w:r>
      <w:proofErr w:type="gramEnd"/>
      <w:r w:rsidRPr="00CB01CA">
        <w:rPr>
          <w:rFonts w:ascii="Arial" w:eastAsia="Times New Roman" w:hAnsi="Arial" w:cs="Arial"/>
          <w:lang w:val="en-GB"/>
        </w:rPr>
        <w:t xml:space="preserve"> are related to cases not qualifying as subject to mandatory reporting but deemed operational or security events, incidents or errors in the organisation of the data provider.</w:t>
      </w:r>
    </w:p>
    <w:p w14:paraId="445306A1" w14:textId="4D6D531C" w:rsidR="005A5474" w:rsidRPr="00CB01CA" w:rsidRDefault="00881358">
      <w:pPr>
        <w:spacing w:afterLines="30" w:after="72" w:line="240" w:lineRule="auto"/>
        <w:ind w:left="360"/>
        <w:rPr>
          <w:rFonts w:ascii="Arial" w:hAnsi="Arial" w:cs="Arial"/>
          <w:lang w:val="en-GB"/>
        </w:rPr>
      </w:pPr>
      <w:r w:rsidRPr="00CB01CA">
        <w:rPr>
          <w:rFonts w:ascii="Arial" w:hAnsi="Arial" w:cs="Arial"/>
          <w:lang w:val="en-GB"/>
        </w:rPr>
        <w:t xml:space="preserve">If the size of all the requested log files related to operational and security incidents (system and components affected) is too big, the data provider shall inform the MNB accordingly, </w:t>
      </w:r>
      <w:proofErr w:type="gramStart"/>
      <w:r w:rsidRPr="00CB01CA">
        <w:rPr>
          <w:rFonts w:ascii="Arial" w:hAnsi="Arial" w:cs="Arial"/>
          <w:lang w:val="en-GB"/>
        </w:rPr>
        <w:t>in order to</w:t>
      </w:r>
      <w:proofErr w:type="gramEnd"/>
      <w:r w:rsidRPr="00CB01CA">
        <w:rPr>
          <w:rFonts w:ascii="Arial" w:hAnsi="Arial" w:cs="Arial"/>
          <w:lang w:val="en-GB"/>
        </w:rPr>
        <w:t xml:space="preserve"> discuss an alternative format of delivering the data.</w:t>
      </w:r>
    </w:p>
    <w:p w14:paraId="761A3255" w14:textId="348499F2" w:rsidR="00055E19" w:rsidRPr="00CB01CA" w:rsidRDefault="00881358">
      <w:pPr>
        <w:spacing w:afterLines="30" w:after="72" w:line="240" w:lineRule="auto"/>
        <w:ind w:left="360"/>
        <w:rPr>
          <w:rFonts w:ascii="Arial" w:hAnsi="Arial" w:cs="Arial"/>
          <w:lang w:val="en-GB"/>
        </w:rPr>
      </w:pPr>
      <w:r w:rsidRPr="00CB01CA">
        <w:rPr>
          <w:rFonts w:ascii="Arial" w:hAnsi="Arial" w:cs="Arial"/>
          <w:lang w:val="en-GB"/>
        </w:rPr>
        <w:t>The deadline for submitting the security log evaluations concerning operational and security incidents and selected by the MNB, or prepared by the data provider, shall be 30 working days following selection by the MNB.</w:t>
      </w:r>
    </w:p>
    <w:p w14:paraId="40321A64" w14:textId="62150408" w:rsidR="00AA779D" w:rsidRPr="00CB01CA" w:rsidRDefault="00881358">
      <w:pPr>
        <w:spacing w:afterLines="30" w:after="72" w:line="240" w:lineRule="auto"/>
        <w:ind w:left="360"/>
        <w:rPr>
          <w:rFonts w:ascii="Arial" w:eastAsia="Times New Roman" w:hAnsi="Arial" w:cs="Arial"/>
          <w:lang w:val="en-GB"/>
        </w:rPr>
      </w:pPr>
      <w:r w:rsidRPr="00CB01CA">
        <w:rPr>
          <w:rFonts w:ascii="Arial" w:hAnsi="Arial" w:cs="Arial"/>
          <w:lang w:val="en-GB"/>
        </w:rPr>
        <w:t>The data provider shall attach the content of the ad hoc evaluation as part of the table ‘E – Ad hoc evaluation’.</w:t>
      </w:r>
    </w:p>
    <w:p w14:paraId="5B4893C7" w14:textId="77777777" w:rsidR="00F27A47" w:rsidRPr="00CB01CA" w:rsidRDefault="00F27A47">
      <w:pPr>
        <w:spacing w:after="0" w:line="240" w:lineRule="auto"/>
        <w:ind w:left="360"/>
        <w:rPr>
          <w:rFonts w:ascii="Arial" w:eastAsia="Times New Roman" w:hAnsi="Arial" w:cs="Arial"/>
          <w:lang w:val="en-GB"/>
        </w:rPr>
      </w:pPr>
    </w:p>
    <w:p w14:paraId="0E735F88" w14:textId="77777777" w:rsidR="006451BD" w:rsidRPr="00CB01CA" w:rsidRDefault="00881358">
      <w:pPr>
        <w:rPr>
          <w:rFonts w:ascii="Arial" w:hAnsi="Arial" w:cs="Arial"/>
          <w:b/>
          <w:lang w:val="en-GB"/>
        </w:rPr>
      </w:pPr>
      <w:r w:rsidRPr="00CB01CA">
        <w:rPr>
          <w:rFonts w:ascii="Arial" w:hAnsi="Arial" w:cs="Arial"/>
          <w:b/>
          <w:bCs/>
          <w:lang w:val="en-GB"/>
        </w:rPr>
        <w:t xml:space="preserve">II. Detailed instructions for the completion of the tables </w:t>
      </w:r>
    </w:p>
    <w:p w14:paraId="4638F9F6" w14:textId="40E9EE7E" w:rsidR="00882929" w:rsidRPr="00CB01CA" w:rsidRDefault="00881358" w:rsidP="0045398D">
      <w:pPr>
        <w:rPr>
          <w:rFonts w:ascii="Arial" w:hAnsi="Arial" w:cs="Arial"/>
          <w:lang w:val="en-GB"/>
        </w:rPr>
      </w:pPr>
      <w:r w:rsidRPr="00CB01CA">
        <w:rPr>
          <w:rFonts w:ascii="Arial" w:hAnsi="Arial"/>
          <w:b/>
          <w:bCs/>
          <w:lang w:val="en-GB"/>
        </w:rPr>
        <w:t>1.</w:t>
      </w:r>
      <w:r w:rsidRPr="00CB01CA">
        <w:rPr>
          <w:rFonts w:ascii="Arial" w:hAnsi="Arial"/>
          <w:lang w:val="en-GB"/>
        </w:rPr>
        <w:t xml:space="preserve"> If the data provider failed to classify the operational and security incident within 10 minutes from detection, the operational and security incident shall be reported. If the initial report has already been sent, but it turns out before an interim report is submitted that the operational and security incident is not a reportable incident after all, an encrypted e-mail may be sent to the address </w:t>
      </w:r>
      <w:hyperlink r:id="rId8" w:history="1">
        <w:r w:rsidRPr="00CB01CA">
          <w:rPr>
            <w:rStyle w:val="Hiperhivatkozs"/>
            <w:rFonts w:ascii="Arial" w:hAnsi="Arial" w:cs="Arial"/>
            <w:vertAlign w:val="baseline"/>
            <w:lang w:val="en-GB"/>
          </w:rPr>
          <w:t>incidensek@mnb.hu</w:t>
        </w:r>
      </w:hyperlink>
      <w:r w:rsidRPr="00CB01CA">
        <w:rPr>
          <w:rFonts w:ascii="Arial" w:hAnsi="Arial"/>
          <w:lang w:val="en-GB"/>
        </w:rPr>
        <w:t xml:space="preserve"> instead of filing the interim and closing reports; in this e-mail, the data provider shall notify the MNB of the classification of the operational and security incident authenticated by the signatures of the senior managers of the business, IT and security divisions, indicating the causes.</w:t>
      </w:r>
    </w:p>
    <w:p w14:paraId="1D520ADC" w14:textId="19A68D0D" w:rsidR="00207028" w:rsidRPr="00CB01CA" w:rsidRDefault="00881358" w:rsidP="007E10A9">
      <w:pPr>
        <w:rPr>
          <w:rFonts w:ascii="Arial" w:hAnsi="Arial" w:cs="Arial"/>
          <w:lang w:val="en-GB"/>
        </w:rPr>
      </w:pPr>
      <w:r w:rsidRPr="00CB01CA">
        <w:rPr>
          <w:rFonts w:ascii="Arial" w:hAnsi="Arial" w:cs="Arial"/>
          <w:b/>
          <w:bCs/>
          <w:lang w:val="en-GB"/>
        </w:rPr>
        <w:t xml:space="preserve">2. </w:t>
      </w:r>
      <w:r w:rsidRPr="00CB01CA">
        <w:rPr>
          <w:rFonts w:ascii="Arial" w:hAnsi="Arial" w:cs="Arial"/>
          <w:lang w:val="en-GB"/>
        </w:rPr>
        <w:t xml:space="preserve">The Table </w:t>
      </w:r>
      <w:r w:rsidRPr="00CB01CA">
        <w:rPr>
          <w:rFonts w:ascii="Arial" w:hAnsi="Arial" w:cs="Arial"/>
          <w:b/>
          <w:bCs/>
          <w:lang w:val="en-GB"/>
        </w:rPr>
        <w:t>‘Header’</w:t>
      </w:r>
      <w:r w:rsidRPr="00CB01CA">
        <w:rPr>
          <w:rFonts w:ascii="Arial" w:hAnsi="Arial" w:cs="Arial"/>
          <w:lang w:val="en-GB"/>
        </w:rPr>
        <w:t xml:space="preserve"> shall be filled in for every data supply. The data supplier shall complete the further data supply tables depending on the</w:t>
      </w:r>
      <w:r w:rsidR="00E334FA" w:rsidRPr="00CB01CA">
        <w:rPr>
          <w:rFonts w:ascii="Arial" w:hAnsi="Arial" w:cs="Arial"/>
          <w:lang w:val="en-GB"/>
        </w:rPr>
        <w:t xml:space="preserve"> </w:t>
      </w:r>
      <w:r w:rsidRPr="00CB01CA">
        <w:rPr>
          <w:rFonts w:ascii="Arial" w:hAnsi="Arial" w:cs="Arial"/>
          <w:lang w:val="en-GB"/>
        </w:rPr>
        <w:t>operational and safety incident processing status.</w:t>
      </w:r>
    </w:p>
    <w:p w14:paraId="500EE626" w14:textId="6D7A6490" w:rsidR="00AA779D" w:rsidRPr="00CB01CA" w:rsidRDefault="00881358" w:rsidP="007E10A9">
      <w:pPr>
        <w:keepNext/>
        <w:rPr>
          <w:rFonts w:ascii="Arial" w:hAnsi="Arial" w:cs="Arial"/>
          <w:b/>
          <w:lang w:val="en-GB"/>
        </w:rPr>
      </w:pPr>
      <w:r w:rsidRPr="00CB01CA">
        <w:rPr>
          <w:rFonts w:ascii="Arial" w:hAnsi="Arial" w:cs="Arial"/>
          <w:b/>
          <w:bCs/>
          <w:lang w:val="en-GB"/>
        </w:rPr>
        <w:lastRenderedPageBreak/>
        <w:t>3. A – Initial report</w:t>
      </w:r>
    </w:p>
    <w:p w14:paraId="66A00E8D" w14:textId="0B70CC6C" w:rsidR="003526FD" w:rsidRPr="00CB01CA" w:rsidRDefault="00881358" w:rsidP="007E10A9">
      <w:pPr>
        <w:spacing w:after="0"/>
        <w:rPr>
          <w:rFonts w:ascii="Arial" w:hAnsi="Arial" w:cs="Arial"/>
          <w:lang w:val="en-GB"/>
        </w:rPr>
      </w:pPr>
      <w:r w:rsidRPr="00CB01CA">
        <w:rPr>
          <w:rFonts w:ascii="Arial" w:hAnsi="Arial" w:cs="Arial"/>
          <w:lang w:val="en-GB"/>
        </w:rPr>
        <w:t xml:space="preserve">The table summarizing the initial report of the operational and security incident shall be sent to the MNB by encrypted e-mail to </w:t>
      </w:r>
      <w:bookmarkStart w:id="5" w:name="_Hlk4602612"/>
      <w:r w:rsidRPr="00CB01CA">
        <w:rPr>
          <w:rFonts w:ascii="Arial" w:hAnsi="Arial" w:cs="Arial"/>
          <w:lang w:val="en-GB"/>
        </w:rPr>
        <w:fldChar w:fldCharType="begin"/>
      </w:r>
      <w:r w:rsidRPr="00CB01CA">
        <w:rPr>
          <w:rFonts w:ascii="Arial" w:hAnsi="Arial" w:cs="Arial"/>
          <w:lang w:val="en-GB"/>
        </w:rPr>
        <w:instrText xml:space="preserve"> HYPERLINK "mailto:incidensek@mnb.hu" </w:instrText>
      </w:r>
      <w:r w:rsidRPr="00CB01CA">
        <w:rPr>
          <w:rFonts w:ascii="Arial" w:hAnsi="Arial" w:cs="Arial"/>
          <w:lang w:val="en-GB"/>
        </w:rPr>
        <w:fldChar w:fldCharType="separate"/>
      </w:r>
      <w:r w:rsidRPr="00CB01CA">
        <w:rPr>
          <w:rFonts w:ascii="Arial" w:hAnsi="Arial" w:cs="Arial"/>
          <w:lang w:val="en-GB"/>
        </w:rPr>
        <w:t>incidensek@mnb.hu</w:t>
      </w:r>
      <w:r w:rsidRPr="00CB01CA">
        <w:rPr>
          <w:rFonts w:ascii="Arial" w:hAnsi="Arial" w:cs="Arial"/>
          <w:lang w:val="en-GB"/>
        </w:rPr>
        <w:fldChar w:fldCharType="end"/>
      </w:r>
      <w:bookmarkEnd w:id="5"/>
      <w:r w:rsidRPr="00CB01CA">
        <w:rPr>
          <w:rFonts w:ascii="Arial" w:hAnsi="Arial" w:cs="Arial"/>
          <w:lang w:val="en-GB"/>
        </w:rPr>
        <w:t xml:space="preserve"> within 5 minutes of classifying the incident.</w:t>
      </w:r>
    </w:p>
    <w:p w14:paraId="255B33C1" w14:textId="77777777" w:rsidR="003526FD" w:rsidRPr="00CB01CA" w:rsidRDefault="003526FD" w:rsidP="009C2886">
      <w:pPr>
        <w:spacing w:after="0"/>
        <w:rPr>
          <w:rFonts w:ascii="Arial" w:hAnsi="Arial" w:cs="Arial"/>
          <w:lang w:val="en-GB"/>
        </w:rPr>
      </w:pPr>
    </w:p>
    <w:p w14:paraId="36DD489B" w14:textId="327B7384" w:rsidR="00AA779D" w:rsidRPr="00CB01CA" w:rsidRDefault="00881358">
      <w:pPr>
        <w:rPr>
          <w:rFonts w:ascii="Arial" w:hAnsi="Arial" w:cs="Arial"/>
          <w:b/>
          <w:lang w:val="en-GB"/>
        </w:rPr>
      </w:pPr>
      <w:r w:rsidRPr="00CB01CA">
        <w:rPr>
          <w:rFonts w:ascii="Arial" w:hAnsi="Arial" w:cs="Arial"/>
          <w:b/>
          <w:bCs/>
          <w:lang w:val="en-GB"/>
        </w:rPr>
        <w:t>4. B – Interim report</w:t>
      </w:r>
    </w:p>
    <w:p w14:paraId="623745D0" w14:textId="450B6A24" w:rsidR="00AA779D" w:rsidRPr="00CB01CA" w:rsidRDefault="00881358">
      <w:pPr>
        <w:rPr>
          <w:rFonts w:ascii="Arial" w:hAnsi="Arial" w:cs="Arial"/>
          <w:lang w:val="en-GB"/>
        </w:rPr>
      </w:pPr>
      <w:r w:rsidRPr="00CB01CA">
        <w:rPr>
          <w:rFonts w:ascii="Arial" w:hAnsi="Arial" w:cs="Arial"/>
          <w:lang w:val="en-GB"/>
        </w:rPr>
        <w:t xml:space="preserve">This table shall be submitted to the MNB via the ERA system, first within 3 working days of the submittal of the ‘A – Initial report’ and thereafter once every week until the ‘C – Closing report’ table is sent. When submitting the first interim report, the initial report sent by encrypted e-mail shall also be uploaded into the ERA system. </w:t>
      </w:r>
    </w:p>
    <w:p w14:paraId="6D0582A6" w14:textId="61496167" w:rsidR="00AA779D" w:rsidRPr="00CB01CA" w:rsidRDefault="00881358">
      <w:pPr>
        <w:rPr>
          <w:rFonts w:ascii="Arial" w:hAnsi="Arial" w:cs="Arial"/>
          <w:b/>
          <w:lang w:val="en-GB"/>
        </w:rPr>
      </w:pPr>
      <w:r w:rsidRPr="00CB01CA">
        <w:rPr>
          <w:rFonts w:ascii="Arial" w:hAnsi="Arial" w:cs="Arial"/>
          <w:b/>
          <w:bCs/>
          <w:lang w:val="en-GB"/>
        </w:rPr>
        <w:t>5. C – Closing report</w:t>
      </w:r>
    </w:p>
    <w:p w14:paraId="2FDC38E0" w14:textId="21A08534" w:rsidR="00772289" w:rsidRPr="00CB01CA" w:rsidRDefault="00881358">
      <w:pPr>
        <w:rPr>
          <w:rFonts w:ascii="Arial" w:hAnsi="Arial" w:cs="Arial"/>
          <w:lang w:val="en-GB"/>
        </w:rPr>
      </w:pPr>
      <w:r w:rsidRPr="00CB01CA">
        <w:rPr>
          <w:rFonts w:ascii="Arial" w:hAnsi="Arial" w:cs="Arial"/>
          <w:lang w:val="en-GB"/>
        </w:rPr>
        <w:t xml:space="preserve">Standardisation of the information received during the initial and interim </w:t>
      </w:r>
      <w:proofErr w:type="gramStart"/>
      <w:r w:rsidRPr="00CB01CA">
        <w:rPr>
          <w:rFonts w:ascii="Arial" w:hAnsi="Arial" w:cs="Arial"/>
          <w:lang w:val="en-GB"/>
        </w:rPr>
        <w:t>reporting, and</w:t>
      </w:r>
      <w:proofErr w:type="gramEnd"/>
      <w:r w:rsidRPr="00CB01CA">
        <w:rPr>
          <w:rFonts w:ascii="Arial" w:hAnsi="Arial" w:cs="Arial"/>
          <w:lang w:val="en-GB"/>
        </w:rPr>
        <w:t xml:space="preserve"> updating the description of the incident. </w:t>
      </w:r>
    </w:p>
    <w:p w14:paraId="2BCD5B59" w14:textId="1B0B6D21" w:rsidR="005E042F" w:rsidRPr="00CB01CA" w:rsidRDefault="00881358">
      <w:pPr>
        <w:rPr>
          <w:rFonts w:ascii="Arial" w:hAnsi="Arial" w:cs="Arial"/>
          <w:lang w:val="en-GB"/>
        </w:rPr>
      </w:pPr>
      <w:r w:rsidRPr="00CB01CA">
        <w:rPr>
          <w:rFonts w:ascii="Arial" w:hAnsi="Arial" w:cs="Arial"/>
          <w:lang w:val="en-GB"/>
        </w:rPr>
        <w:t>The data supplier may deem its operations to have returned to the usual manner once its activities and operations have returned to the service level and the conditions either defined by the data supplier or stipulated externally in an agreement on service levels concerning processing times, capacities, security requirements etc., and provided that no extraordinary measures related to an operational and safety incident are still in force.</w:t>
      </w:r>
    </w:p>
    <w:p w14:paraId="0771FA11" w14:textId="3DD6BC4B" w:rsidR="00417F25" w:rsidRPr="00CB01CA" w:rsidRDefault="00881358">
      <w:pPr>
        <w:rPr>
          <w:rFonts w:ascii="Arial" w:hAnsi="Arial" w:cs="Arial"/>
          <w:lang w:val="en-GB"/>
        </w:rPr>
      </w:pPr>
      <w:r w:rsidRPr="00CB01CA">
        <w:rPr>
          <w:rFonts w:ascii="Arial" w:hAnsi="Arial" w:cs="Arial"/>
          <w:lang w:val="en-GB"/>
        </w:rPr>
        <w:t xml:space="preserve">The data supplier shall submit the table via the ERA system within 30 days of closing the operational and safety incident. </w:t>
      </w:r>
      <w:bookmarkStart w:id="6" w:name="_Hlk51331301"/>
      <w:r w:rsidRPr="00CB01CA">
        <w:rPr>
          <w:rFonts w:ascii="Arial" w:hAnsi="Arial" w:cs="Arial"/>
          <w:lang w:val="en-GB"/>
        </w:rPr>
        <w:t xml:space="preserve">The ‘Closing Report’, which contains the detailed description and range of the event as well as the degree of the disruption in the business service as a separate document to be signed by the divisions affected by the incident, shall be attached as an embedded document to the ‘C – Closing Report’ table. </w:t>
      </w:r>
    </w:p>
    <w:p w14:paraId="3A93170C" w14:textId="2A792B40" w:rsidR="00AA779D" w:rsidRPr="00CB01CA" w:rsidRDefault="00881358">
      <w:pPr>
        <w:rPr>
          <w:rFonts w:ascii="Arial" w:hAnsi="Arial" w:cs="Arial"/>
          <w:lang w:val="en-GB"/>
        </w:rPr>
      </w:pPr>
      <w:r w:rsidRPr="00CB01CA">
        <w:rPr>
          <w:rFonts w:ascii="Arial" w:hAnsi="Arial" w:cs="Arial"/>
          <w:lang w:val="en-GB"/>
        </w:rPr>
        <w:t>In its ‘C – Closing report’, the data supplier shall provide comprehensive information (for example actual figures rather than estimates to quantify the impact).</w:t>
      </w:r>
      <w:bookmarkEnd w:id="0"/>
    </w:p>
    <w:bookmarkEnd w:id="6"/>
    <w:p w14:paraId="37E7FC07" w14:textId="7C6E0EAC" w:rsidR="0048068A" w:rsidRPr="00CB01CA" w:rsidRDefault="00881358">
      <w:pPr>
        <w:rPr>
          <w:rFonts w:ascii="Arial" w:hAnsi="Arial" w:cs="Arial"/>
          <w:b/>
          <w:bCs/>
          <w:lang w:val="en-GB"/>
        </w:rPr>
      </w:pPr>
      <w:r w:rsidRPr="00CB01CA">
        <w:rPr>
          <w:rFonts w:ascii="Arial" w:hAnsi="Arial" w:cs="Arial"/>
          <w:lang w:val="en-GB"/>
        </w:rPr>
        <w:t>The data provider shall give the content of the report in line with the provisions in point I.2.</w:t>
      </w:r>
    </w:p>
    <w:p w14:paraId="59BC7C1F" w14:textId="31C7B4B8" w:rsidR="00AA779D" w:rsidRPr="00CB01CA" w:rsidRDefault="00881358">
      <w:pPr>
        <w:rPr>
          <w:rFonts w:ascii="Arial" w:hAnsi="Arial" w:cs="Arial"/>
          <w:b/>
          <w:lang w:val="en-GB"/>
        </w:rPr>
      </w:pPr>
      <w:r w:rsidRPr="00CB01CA">
        <w:rPr>
          <w:rFonts w:ascii="Arial" w:hAnsi="Arial" w:cs="Arial"/>
          <w:b/>
          <w:bCs/>
          <w:lang w:val="en-GB"/>
        </w:rPr>
        <w:t>5. D – Quarterly data report</w:t>
      </w:r>
    </w:p>
    <w:p w14:paraId="2EF29A76" w14:textId="7B836E04" w:rsidR="00AA779D" w:rsidRPr="00CB01CA" w:rsidRDefault="00881358">
      <w:pPr>
        <w:rPr>
          <w:rFonts w:ascii="Arial" w:hAnsi="Arial" w:cs="Arial"/>
          <w:lang w:val="en-GB"/>
        </w:rPr>
      </w:pPr>
      <w:r w:rsidRPr="00CB01CA">
        <w:rPr>
          <w:rFonts w:ascii="Arial" w:hAnsi="Arial" w:cs="Arial"/>
          <w:lang w:val="en-GB"/>
        </w:rPr>
        <w:t>During the quarterly reporting, the data provider shall submit the data content specified below as a signed, attached document embedded in the table ‘D – Quarterly data report’:</w:t>
      </w:r>
    </w:p>
    <w:p w14:paraId="2C1C7B9B" w14:textId="77777777" w:rsidR="007C3E6F" w:rsidRPr="00CB01CA" w:rsidRDefault="00881358">
      <w:pPr>
        <w:spacing w:before="120"/>
        <w:rPr>
          <w:rFonts w:ascii="Arial" w:hAnsi="Arial" w:cs="Arial"/>
          <w:lang w:val="en-GB"/>
        </w:rPr>
      </w:pPr>
      <w:r w:rsidRPr="00CB01CA">
        <w:rPr>
          <w:rFonts w:ascii="Arial" w:hAnsi="Arial" w:cs="Arial"/>
          <w:lang w:val="en-GB"/>
        </w:rPr>
        <w:t xml:space="preserve">a) if no reporting obligation according to the provisions in point 1 arose for the data provider, a declaration that no operational and security incident – serving as the basis for reporting – has occurred, </w:t>
      </w:r>
    </w:p>
    <w:p w14:paraId="01DCD490" w14:textId="3859BC7C" w:rsidR="007F39FC" w:rsidRPr="00CB01CA" w:rsidRDefault="00881358" w:rsidP="007E10A9">
      <w:pPr>
        <w:spacing w:before="120"/>
        <w:rPr>
          <w:rFonts w:ascii="Arial" w:hAnsi="Arial" w:cs="Arial"/>
          <w:lang w:val="en-GB"/>
        </w:rPr>
      </w:pPr>
      <w:r w:rsidRPr="00CB01CA">
        <w:rPr>
          <w:rFonts w:ascii="Arial" w:hAnsi="Arial" w:cs="Arial"/>
          <w:lang w:val="en-GB"/>
        </w:rPr>
        <w:t>b) listing the operational and security incidents, errors and events not qualifying as subject to mandatory reporting. The data provider shall give the content of the report in line with the provisions in point I.4.</w:t>
      </w:r>
    </w:p>
    <w:p w14:paraId="64E1CDA9" w14:textId="55462A50" w:rsidR="00A367DA" w:rsidRPr="00CB01CA" w:rsidRDefault="00881358" w:rsidP="00287504">
      <w:pPr>
        <w:spacing w:before="120"/>
        <w:rPr>
          <w:rFonts w:ascii="Arial" w:hAnsi="Arial" w:cs="Arial"/>
          <w:lang w:val="en-GB"/>
        </w:rPr>
      </w:pPr>
      <w:r w:rsidRPr="00CB01CA">
        <w:rPr>
          <w:rFonts w:ascii="Arial" w:hAnsi="Arial" w:cs="Arial"/>
          <w:lang w:val="en-GB"/>
        </w:rPr>
        <w:t>The divisions concerned shall sign the separate documents containing the quarterly data to be attached as embedded documents to the table ‘D – Quarterly data report’.</w:t>
      </w:r>
    </w:p>
    <w:p w14:paraId="295DE01B" w14:textId="77777777" w:rsidR="007F39FC" w:rsidRPr="00CB01CA" w:rsidRDefault="007F39FC" w:rsidP="00BC77AE">
      <w:pPr>
        <w:spacing w:before="120"/>
        <w:rPr>
          <w:rFonts w:ascii="Arial" w:hAnsi="Arial" w:cs="Arial"/>
          <w:lang w:val="en-GB"/>
        </w:rPr>
      </w:pPr>
    </w:p>
    <w:p w14:paraId="395BCB92" w14:textId="77777777" w:rsidR="00AA779D" w:rsidRPr="00CB01CA" w:rsidRDefault="00881358">
      <w:pPr>
        <w:rPr>
          <w:rFonts w:ascii="Arial" w:hAnsi="Arial" w:cs="Arial"/>
          <w:b/>
          <w:bCs/>
          <w:lang w:val="en-GB"/>
        </w:rPr>
      </w:pPr>
      <w:r w:rsidRPr="00CB01CA">
        <w:rPr>
          <w:rFonts w:ascii="Arial" w:hAnsi="Arial" w:cs="Arial"/>
          <w:b/>
          <w:bCs/>
          <w:lang w:val="en-GB"/>
        </w:rPr>
        <w:t xml:space="preserve">6. E – Ad hoc evaluation </w:t>
      </w:r>
    </w:p>
    <w:p w14:paraId="119D67E6" w14:textId="77777777" w:rsidR="00AA779D" w:rsidRPr="00CB01CA" w:rsidRDefault="00881358">
      <w:pPr>
        <w:rPr>
          <w:rFonts w:ascii="Arial" w:hAnsi="Arial" w:cs="Arial"/>
          <w:lang w:val="en-GB"/>
        </w:rPr>
      </w:pPr>
      <w:r w:rsidRPr="00CB01CA">
        <w:rPr>
          <w:rFonts w:ascii="Arial" w:hAnsi="Arial" w:cs="Arial"/>
          <w:lang w:val="en-GB"/>
        </w:rPr>
        <w:t>During the ad hoc and quarterly reporting the data provider shall attach the requested data as an embedded document to the table ‘E – Ad hoc evaluation’.</w:t>
      </w:r>
    </w:p>
    <w:p w14:paraId="5EA79D72" w14:textId="3FE6F38A" w:rsidR="00AA779D" w:rsidRPr="00CB01CA" w:rsidRDefault="00881358">
      <w:pPr>
        <w:rPr>
          <w:rFonts w:ascii="Arial" w:hAnsi="Arial" w:cs="Arial"/>
          <w:lang w:val="en-GB"/>
        </w:rPr>
      </w:pPr>
      <w:r w:rsidRPr="00CB01CA">
        <w:rPr>
          <w:rFonts w:ascii="Arial" w:hAnsi="Arial" w:cs="Arial"/>
          <w:lang w:val="en-GB"/>
        </w:rPr>
        <w:t>The data provider shall give the content of the report as described in point I.5.</w:t>
      </w:r>
    </w:p>
    <w:p w14:paraId="1A19CD8D" w14:textId="199B212B" w:rsidR="00C40226" w:rsidRPr="00CB01CA" w:rsidRDefault="00881358">
      <w:pPr>
        <w:spacing w:before="120"/>
        <w:rPr>
          <w:rFonts w:ascii="Arial" w:hAnsi="Arial" w:cs="Arial"/>
          <w:lang w:val="en-GB"/>
        </w:rPr>
      </w:pPr>
      <w:r w:rsidRPr="00CB01CA">
        <w:rPr>
          <w:rFonts w:ascii="Arial" w:hAnsi="Arial" w:cs="Arial"/>
          <w:lang w:val="en-GB"/>
        </w:rPr>
        <w:t>The divisions concerned shall sign the separate documents containing the ad hoc evaluations to be attached as embedded documents to the Table ‘E – Ad hoc evaluation’.</w:t>
      </w:r>
    </w:p>
    <w:p w14:paraId="07623ACB" w14:textId="64EC654B" w:rsidR="00C40226" w:rsidRPr="00CB01CA" w:rsidRDefault="00C40226">
      <w:pPr>
        <w:spacing w:before="120"/>
        <w:rPr>
          <w:rFonts w:ascii="Arial" w:hAnsi="Arial" w:cs="Arial"/>
          <w:lang w:val="en-GB"/>
        </w:rPr>
      </w:pPr>
    </w:p>
    <w:p w14:paraId="27804D7B" w14:textId="73AC6F40" w:rsidR="00B94D2B" w:rsidRPr="00CB01CA" w:rsidRDefault="00881358" w:rsidP="00B94D2B">
      <w:pPr>
        <w:rPr>
          <w:rFonts w:ascii="Arial" w:hAnsi="Arial" w:cs="Arial"/>
          <w:b/>
          <w:bCs/>
          <w:lang w:val="en-GB"/>
        </w:rPr>
      </w:pPr>
      <w:r w:rsidRPr="00CB01CA">
        <w:rPr>
          <w:rFonts w:ascii="Arial" w:hAnsi="Arial" w:cs="Arial"/>
          <w:b/>
          <w:bCs/>
          <w:lang w:val="en-GB"/>
        </w:rPr>
        <w:lastRenderedPageBreak/>
        <w:t>7. F – Downgrading</w:t>
      </w:r>
    </w:p>
    <w:p w14:paraId="005DEDFA" w14:textId="17846939" w:rsidR="00B94D2B" w:rsidRPr="00CB01CA" w:rsidRDefault="00881358">
      <w:pPr>
        <w:spacing w:afterLines="30" w:after="72" w:line="240" w:lineRule="auto"/>
        <w:rPr>
          <w:rFonts w:ascii="Arial" w:hAnsi="Arial" w:cs="Arial"/>
          <w:lang w:val="en-GB"/>
        </w:rPr>
      </w:pPr>
      <w:r w:rsidRPr="00CB01CA">
        <w:rPr>
          <w:rFonts w:ascii="Arial" w:hAnsi="Arial" w:cs="Arial"/>
          <w:lang w:val="en-GB"/>
        </w:rPr>
        <w:t xml:space="preserve">The data provider </w:t>
      </w:r>
      <w:proofErr w:type="gramStart"/>
      <w:r w:rsidRPr="00CB01CA">
        <w:rPr>
          <w:rFonts w:ascii="Arial" w:hAnsi="Arial" w:cs="Arial"/>
          <w:lang w:val="en-GB"/>
        </w:rPr>
        <w:t>is allowed to</w:t>
      </w:r>
      <w:proofErr w:type="gramEnd"/>
      <w:r w:rsidRPr="00CB01CA">
        <w:rPr>
          <w:rFonts w:ascii="Arial" w:hAnsi="Arial" w:cs="Arial"/>
          <w:lang w:val="en-GB"/>
        </w:rPr>
        <w:t xml:space="preserve"> </w:t>
      </w:r>
      <w:bookmarkStart w:id="7" w:name="_Hlk53142199"/>
      <w:r w:rsidRPr="00CB01CA">
        <w:rPr>
          <w:rFonts w:ascii="Arial" w:hAnsi="Arial" w:cs="Arial"/>
          <w:lang w:val="en-GB"/>
        </w:rPr>
        <w:t>downgrade</w:t>
      </w:r>
      <w:bookmarkEnd w:id="7"/>
      <w:r w:rsidRPr="00CB01CA">
        <w:rPr>
          <w:rFonts w:ascii="Arial" w:hAnsi="Arial" w:cs="Arial"/>
          <w:lang w:val="en-GB"/>
        </w:rPr>
        <w:t xml:space="preserve"> the Initial, Interim or Closing Reports sent as ad hoc report, provided that it is adequately justified and corroborated by evidence. The data provider shall indicate the downgrading within 1 working day following the downgrading.</w:t>
      </w:r>
    </w:p>
    <w:p w14:paraId="4EC361BD" w14:textId="388974BD" w:rsidR="00B94D2B" w:rsidRPr="00CB01CA" w:rsidRDefault="00B94D2B">
      <w:pPr>
        <w:spacing w:before="120"/>
        <w:rPr>
          <w:rFonts w:ascii="Arial" w:hAnsi="Arial" w:cs="Arial"/>
          <w:lang w:val="en-GB"/>
        </w:rPr>
      </w:pPr>
    </w:p>
    <w:p w14:paraId="4A174D9C" w14:textId="17E239BB" w:rsidR="00B94D2B" w:rsidRPr="00CB01CA" w:rsidRDefault="00881358" w:rsidP="00B94D2B">
      <w:pPr>
        <w:spacing w:before="120"/>
        <w:rPr>
          <w:rFonts w:ascii="Arial" w:hAnsi="Arial" w:cs="Arial"/>
          <w:lang w:val="en-GB"/>
        </w:rPr>
      </w:pPr>
      <w:r w:rsidRPr="00CB01CA">
        <w:rPr>
          <w:rFonts w:ascii="Arial" w:hAnsi="Arial" w:cs="Arial"/>
          <w:lang w:val="en-GB"/>
        </w:rPr>
        <w:t xml:space="preserve">The divisions concerned shall sign the documents that justify and corroborate with evidence the downgrading to be attached as embedded documents to the table ‘7. F – Downgrading’. </w:t>
      </w:r>
    </w:p>
    <w:p w14:paraId="7024AD3F" w14:textId="77777777" w:rsidR="00B94D2B" w:rsidRPr="00CB01CA" w:rsidRDefault="00B94D2B">
      <w:pPr>
        <w:spacing w:before="120"/>
        <w:rPr>
          <w:rFonts w:ascii="Arial" w:hAnsi="Arial" w:cs="Arial"/>
          <w:lang w:val="en-GB"/>
        </w:rPr>
      </w:pPr>
    </w:p>
    <w:p w14:paraId="5F5015C6" w14:textId="69F33F09" w:rsidR="00AA779D" w:rsidRPr="00CB01CA" w:rsidRDefault="00881358">
      <w:pPr>
        <w:rPr>
          <w:rFonts w:ascii="Arial" w:hAnsi="Arial" w:cs="Arial"/>
          <w:b/>
          <w:lang w:val="en-GB"/>
        </w:rPr>
      </w:pPr>
      <w:r w:rsidRPr="00CB01CA">
        <w:rPr>
          <w:rFonts w:ascii="Arial" w:hAnsi="Arial" w:cs="Arial"/>
          <w:b/>
          <w:bCs/>
          <w:lang w:val="en-GB"/>
        </w:rPr>
        <w:t>8. Additional data and documents to be enclosed with the data supply</w:t>
      </w:r>
    </w:p>
    <w:p w14:paraId="6BC46DD4" w14:textId="33C618E2" w:rsidR="00B944EB" w:rsidRPr="00CB01CA" w:rsidRDefault="00881358" w:rsidP="002811B3">
      <w:pPr>
        <w:rPr>
          <w:rFonts w:ascii="Arial" w:hAnsi="Arial" w:cs="Arial"/>
          <w:lang w:val="en-GB"/>
        </w:rPr>
      </w:pPr>
      <w:r w:rsidRPr="00CB01CA">
        <w:rPr>
          <w:rFonts w:ascii="Arial" w:hAnsi="Arial" w:cs="Arial"/>
          <w:lang w:val="en-GB"/>
        </w:rPr>
        <w:t xml:space="preserve">The data provider shall enclose with the </w:t>
      </w:r>
      <w:proofErr w:type="gramStart"/>
      <w:r w:rsidRPr="00CB01CA">
        <w:rPr>
          <w:rFonts w:ascii="Arial" w:hAnsi="Arial" w:cs="Arial"/>
          <w:lang w:val="en-GB"/>
        </w:rPr>
        <w:t>particular report</w:t>
      </w:r>
      <w:proofErr w:type="gramEnd"/>
      <w:r w:rsidRPr="00CB01CA">
        <w:rPr>
          <w:rFonts w:ascii="Arial" w:hAnsi="Arial" w:cs="Arial"/>
          <w:lang w:val="en-GB"/>
        </w:rPr>
        <w:t xml:space="preserve"> all available information and documentation on the operational and security incident and its resolution that it considers important for the MNB over and above those contained in the report.</w:t>
      </w:r>
    </w:p>
    <w:sectPr w:rsidR="00B944EB" w:rsidRPr="00CB01CA" w:rsidSect="00CD6E8D">
      <w:headerReference w:type="default" r:id="rId9"/>
      <w:footerReference w:type="default" r:id="rId10"/>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ED1E3F" w14:textId="54965474" w:rsidR="00DE1763" w:rsidRDefault="00DE1763">
      <w:pPr>
        <w:spacing w:after="0" w:line="240" w:lineRule="auto"/>
      </w:pPr>
      <w:r>
        <w:separator/>
      </w:r>
    </w:p>
  </w:endnote>
  <w:endnote w:type="continuationSeparator" w:id="0">
    <w:p w14:paraId="3DF9F9ED" w14:textId="3C488352" w:rsidR="00DE1763" w:rsidRDefault="00DE1763">
      <w:pPr>
        <w:spacing w:after="0" w:line="240" w:lineRule="auto"/>
      </w:pPr>
      <w:r>
        <w:continuationSeparator/>
      </w:r>
    </w:p>
  </w:endnote>
  <w:endnote w:type="continuationNotice" w:id="1">
    <w:p w14:paraId="2892BCE0" w14:textId="349F1200" w:rsidR="00DE1763" w:rsidRDefault="00DE17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A4A93" w14:textId="0F5C6845" w:rsidR="009E3A57" w:rsidRPr="00AC6950" w:rsidRDefault="00881358" w:rsidP="00AC6950">
    <w:pPr>
      <w:tabs>
        <w:tab w:val="left" w:pos="8460"/>
      </w:tabs>
      <w:rPr>
        <w:sz w:val="18"/>
        <w:szCs w:val="18"/>
      </w:rPr>
    </w:pPr>
    <w:r>
      <w:rPr>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25B271" w14:textId="77777777" w:rsidR="00DE1763" w:rsidRDefault="00DE1763">
      <w:r>
        <w:separator/>
      </w:r>
    </w:p>
  </w:footnote>
  <w:footnote w:type="continuationSeparator" w:id="0">
    <w:p w14:paraId="28A9ED6A" w14:textId="39FA6EC4" w:rsidR="00DE1763" w:rsidRDefault="00DE1763">
      <w:r>
        <w:continuationSeparator/>
      </w:r>
    </w:p>
  </w:footnote>
  <w:footnote w:type="continuationNotice" w:id="1">
    <w:p w14:paraId="6B0D7D90" w14:textId="2EBD5F26" w:rsidR="00DE1763" w:rsidRDefault="00DE1763">
      <w:pPr>
        <w:spacing w:after="0" w:line="240" w:lineRule="auto"/>
      </w:pPr>
    </w:p>
  </w:footnote>
  <w:footnote w:id="2">
    <w:p w14:paraId="40AE60FD" w14:textId="77777777" w:rsidR="00220811" w:rsidRDefault="00881358" w:rsidP="006451BD">
      <w:pPr>
        <w:pStyle w:val="Lbjegyzetszveg"/>
      </w:pPr>
      <w:r>
        <w:rPr>
          <w:rStyle w:val="Lbjegyzet-hivatkozs"/>
          <w:color w:val="auto"/>
          <w:sz w:val="20"/>
          <w:lang w:val="en-GB"/>
        </w:rPr>
        <w:footnoteRef/>
      </w:r>
      <w:r>
        <w:rPr>
          <w:color w:val="auto"/>
          <w:sz w:val="20"/>
          <w:lang w:val="en-GB"/>
        </w:rPr>
        <w:t xml:space="preserve"> NIST 800-35 Guide to Information Technology Security Services </w:t>
      </w:r>
      <w:r>
        <w:rPr>
          <w:sz w:val="20"/>
          <w:lang w:val="en-GB"/>
        </w:rPr>
        <w:t>(</w:t>
      </w:r>
      <w:hyperlink r:id="rId1" w:history="1">
        <w:r>
          <w:rPr>
            <w:color w:val="0000FF"/>
            <w:sz w:val="20"/>
            <w:u w:val="single"/>
            <w:lang w:val="en-GB"/>
          </w:rPr>
          <w:t>https://nvlpubs.nist.gov/nistpubs/Legacy/SP/nistspecialpublication800-35.pdf</w:t>
        </w:r>
      </w:hyperlink>
      <w:r>
        <w:rPr>
          <w:sz w:val="20"/>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A9A00" w14:textId="6718CA60"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AA3D71"/>
    <w:multiLevelType w:val="hybridMultilevel"/>
    <w:tmpl w:val="5C28D2A0"/>
    <w:lvl w:ilvl="0" w:tplc="315010FA">
      <w:start w:val="1"/>
      <w:numFmt w:val="bullet"/>
      <w:lvlText w:val=""/>
      <w:lvlJc w:val="left"/>
      <w:pPr>
        <w:ind w:left="720" w:hanging="360"/>
      </w:pPr>
      <w:rPr>
        <w:rFonts w:ascii="Symbol" w:hAnsi="Symbol" w:hint="default"/>
      </w:rPr>
    </w:lvl>
    <w:lvl w:ilvl="1" w:tplc="C50A9542" w:tentative="1">
      <w:start w:val="1"/>
      <w:numFmt w:val="bullet"/>
      <w:lvlText w:val="o"/>
      <w:lvlJc w:val="left"/>
      <w:pPr>
        <w:ind w:left="1440" w:hanging="360"/>
      </w:pPr>
      <w:rPr>
        <w:rFonts w:ascii="Courier New" w:hAnsi="Courier New" w:cs="Courier New" w:hint="default"/>
      </w:rPr>
    </w:lvl>
    <w:lvl w:ilvl="2" w:tplc="6F86CA34" w:tentative="1">
      <w:start w:val="1"/>
      <w:numFmt w:val="bullet"/>
      <w:lvlText w:val=""/>
      <w:lvlJc w:val="left"/>
      <w:pPr>
        <w:ind w:left="2160" w:hanging="360"/>
      </w:pPr>
      <w:rPr>
        <w:rFonts w:ascii="Wingdings" w:hAnsi="Wingdings" w:hint="default"/>
      </w:rPr>
    </w:lvl>
    <w:lvl w:ilvl="3" w:tplc="C36A540E" w:tentative="1">
      <w:start w:val="1"/>
      <w:numFmt w:val="bullet"/>
      <w:lvlText w:val=""/>
      <w:lvlJc w:val="left"/>
      <w:pPr>
        <w:ind w:left="2880" w:hanging="360"/>
      </w:pPr>
      <w:rPr>
        <w:rFonts w:ascii="Symbol" w:hAnsi="Symbol" w:hint="default"/>
      </w:rPr>
    </w:lvl>
    <w:lvl w:ilvl="4" w:tplc="290AA8E8" w:tentative="1">
      <w:start w:val="1"/>
      <w:numFmt w:val="bullet"/>
      <w:lvlText w:val="o"/>
      <w:lvlJc w:val="left"/>
      <w:pPr>
        <w:ind w:left="3600" w:hanging="360"/>
      </w:pPr>
      <w:rPr>
        <w:rFonts w:ascii="Courier New" w:hAnsi="Courier New" w:cs="Courier New" w:hint="default"/>
      </w:rPr>
    </w:lvl>
    <w:lvl w:ilvl="5" w:tplc="5558A086" w:tentative="1">
      <w:start w:val="1"/>
      <w:numFmt w:val="bullet"/>
      <w:lvlText w:val=""/>
      <w:lvlJc w:val="left"/>
      <w:pPr>
        <w:ind w:left="4320" w:hanging="360"/>
      </w:pPr>
      <w:rPr>
        <w:rFonts w:ascii="Wingdings" w:hAnsi="Wingdings" w:hint="default"/>
      </w:rPr>
    </w:lvl>
    <w:lvl w:ilvl="6" w:tplc="A4CC9888" w:tentative="1">
      <w:start w:val="1"/>
      <w:numFmt w:val="bullet"/>
      <w:lvlText w:val=""/>
      <w:lvlJc w:val="left"/>
      <w:pPr>
        <w:ind w:left="5040" w:hanging="360"/>
      </w:pPr>
      <w:rPr>
        <w:rFonts w:ascii="Symbol" w:hAnsi="Symbol" w:hint="default"/>
      </w:rPr>
    </w:lvl>
    <w:lvl w:ilvl="7" w:tplc="3086FF7A" w:tentative="1">
      <w:start w:val="1"/>
      <w:numFmt w:val="bullet"/>
      <w:lvlText w:val="o"/>
      <w:lvlJc w:val="left"/>
      <w:pPr>
        <w:ind w:left="5760" w:hanging="360"/>
      </w:pPr>
      <w:rPr>
        <w:rFonts w:ascii="Courier New" w:hAnsi="Courier New" w:cs="Courier New" w:hint="default"/>
      </w:rPr>
    </w:lvl>
    <w:lvl w:ilvl="8" w:tplc="A0960654" w:tentative="1">
      <w:start w:val="1"/>
      <w:numFmt w:val="bullet"/>
      <w:lvlText w:val=""/>
      <w:lvlJc w:val="left"/>
      <w:pPr>
        <w:ind w:left="6480" w:hanging="360"/>
      </w:pPr>
      <w:rPr>
        <w:rFonts w:ascii="Wingdings" w:hAnsi="Wingdings" w:hint="default"/>
      </w:r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7" w15:restartNumberingAfterBreak="0">
    <w:nsid w:val="2C417A7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31A243D6"/>
    <w:multiLevelType w:val="hybridMultilevel"/>
    <w:tmpl w:val="56DCC114"/>
    <w:lvl w:ilvl="0" w:tplc="729EAE78">
      <w:start w:val="1"/>
      <w:numFmt w:val="lowerLetter"/>
      <w:lvlText w:val="%1)"/>
      <w:lvlJc w:val="left"/>
      <w:pPr>
        <w:tabs>
          <w:tab w:val="num" w:pos="1440"/>
        </w:tabs>
        <w:ind w:left="1440" w:hanging="360"/>
      </w:pPr>
      <w:rPr>
        <w:rFonts w:hint="default"/>
      </w:rPr>
    </w:lvl>
    <w:lvl w:ilvl="1" w:tplc="C95456EC">
      <w:start w:val="1"/>
      <w:numFmt w:val="bullet"/>
      <w:lvlText w:val="o"/>
      <w:lvlJc w:val="left"/>
      <w:pPr>
        <w:tabs>
          <w:tab w:val="num" w:pos="1440"/>
        </w:tabs>
        <w:ind w:left="1440" w:hanging="360"/>
      </w:pPr>
      <w:rPr>
        <w:rFonts w:ascii="Courier New" w:hAnsi="Courier New" w:hint="default"/>
      </w:rPr>
    </w:lvl>
    <w:lvl w:ilvl="2" w:tplc="ECBA42D0">
      <w:start w:val="1"/>
      <w:numFmt w:val="lowerLetter"/>
      <w:lvlText w:val="%3."/>
      <w:lvlJc w:val="left"/>
      <w:pPr>
        <w:tabs>
          <w:tab w:val="num" w:pos="2160"/>
        </w:tabs>
        <w:ind w:left="2160" w:hanging="360"/>
      </w:pPr>
      <w:rPr>
        <w:rFonts w:hint="default"/>
      </w:rPr>
    </w:lvl>
    <w:lvl w:ilvl="3" w:tplc="7D8E28C2" w:tentative="1">
      <w:start w:val="1"/>
      <w:numFmt w:val="bullet"/>
      <w:lvlText w:val=""/>
      <w:lvlJc w:val="left"/>
      <w:pPr>
        <w:tabs>
          <w:tab w:val="num" w:pos="2880"/>
        </w:tabs>
        <w:ind w:left="2880" w:hanging="360"/>
      </w:pPr>
      <w:rPr>
        <w:rFonts w:ascii="Symbol" w:hAnsi="Symbol" w:hint="default"/>
      </w:rPr>
    </w:lvl>
    <w:lvl w:ilvl="4" w:tplc="0ACC7876" w:tentative="1">
      <w:start w:val="1"/>
      <w:numFmt w:val="bullet"/>
      <w:lvlText w:val="o"/>
      <w:lvlJc w:val="left"/>
      <w:pPr>
        <w:tabs>
          <w:tab w:val="num" w:pos="3600"/>
        </w:tabs>
        <w:ind w:left="3600" w:hanging="360"/>
      </w:pPr>
      <w:rPr>
        <w:rFonts w:ascii="Courier New" w:hAnsi="Courier New" w:hint="default"/>
      </w:rPr>
    </w:lvl>
    <w:lvl w:ilvl="5" w:tplc="C3F05E7E" w:tentative="1">
      <w:start w:val="1"/>
      <w:numFmt w:val="bullet"/>
      <w:lvlText w:val=""/>
      <w:lvlJc w:val="left"/>
      <w:pPr>
        <w:tabs>
          <w:tab w:val="num" w:pos="4320"/>
        </w:tabs>
        <w:ind w:left="4320" w:hanging="360"/>
      </w:pPr>
      <w:rPr>
        <w:rFonts w:ascii="Wingdings" w:hAnsi="Wingdings" w:hint="default"/>
      </w:rPr>
    </w:lvl>
    <w:lvl w:ilvl="6" w:tplc="957EA62E" w:tentative="1">
      <w:start w:val="1"/>
      <w:numFmt w:val="bullet"/>
      <w:lvlText w:val=""/>
      <w:lvlJc w:val="left"/>
      <w:pPr>
        <w:tabs>
          <w:tab w:val="num" w:pos="5040"/>
        </w:tabs>
        <w:ind w:left="5040" w:hanging="360"/>
      </w:pPr>
      <w:rPr>
        <w:rFonts w:ascii="Symbol" w:hAnsi="Symbol" w:hint="default"/>
      </w:rPr>
    </w:lvl>
    <w:lvl w:ilvl="7" w:tplc="D1A2EE9E" w:tentative="1">
      <w:start w:val="1"/>
      <w:numFmt w:val="bullet"/>
      <w:lvlText w:val="o"/>
      <w:lvlJc w:val="left"/>
      <w:pPr>
        <w:tabs>
          <w:tab w:val="num" w:pos="5760"/>
        </w:tabs>
        <w:ind w:left="5760" w:hanging="360"/>
      </w:pPr>
      <w:rPr>
        <w:rFonts w:ascii="Courier New" w:hAnsi="Courier New" w:hint="default"/>
      </w:rPr>
    </w:lvl>
    <w:lvl w:ilvl="8" w:tplc="A252CAE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D31ADF"/>
    <w:multiLevelType w:val="hybridMultilevel"/>
    <w:tmpl w:val="CD3641CA"/>
    <w:lvl w:ilvl="0" w:tplc="11740F98">
      <w:start w:val="1"/>
      <w:numFmt w:val="lowerRoman"/>
      <w:lvlText w:val="%1)"/>
      <w:lvlJc w:val="left"/>
      <w:pPr>
        <w:ind w:left="1146" w:hanging="720"/>
      </w:pPr>
      <w:rPr>
        <w:rFonts w:hint="default"/>
        <w:b w:val="0"/>
      </w:rPr>
    </w:lvl>
    <w:lvl w:ilvl="1" w:tplc="BA667C7A" w:tentative="1">
      <w:start w:val="1"/>
      <w:numFmt w:val="lowerLetter"/>
      <w:lvlText w:val="%2."/>
      <w:lvlJc w:val="left"/>
      <w:pPr>
        <w:ind w:left="1506" w:hanging="360"/>
      </w:pPr>
    </w:lvl>
    <w:lvl w:ilvl="2" w:tplc="BF0CACE8" w:tentative="1">
      <w:start w:val="1"/>
      <w:numFmt w:val="lowerRoman"/>
      <w:lvlText w:val="%3."/>
      <w:lvlJc w:val="right"/>
      <w:pPr>
        <w:ind w:left="2226" w:hanging="180"/>
      </w:pPr>
    </w:lvl>
    <w:lvl w:ilvl="3" w:tplc="B5C26666" w:tentative="1">
      <w:start w:val="1"/>
      <w:numFmt w:val="decimal"/>
      <w:lvlText w:val="%4."/>
      <w:lvlJc w:val="left"/>
      <w:pPr>
        <w:ind w:left="2946" w:hanging="360"/>
      </w:pPr>
    </w:lvl>
    <w:lvl w:ilvl="4" w:tplc="E384CAF4" w:tentative="1">
      <w:start w:val="1"/>
      <w:numFmt w:val="lowerLetter"/>
      <w:lvlText w:val="%5."/>
      <w:lvlJc w:val="left"/>
      <w:pPr>
        <w:ind w:left="3666" w:hanging="360"/>
      </w:pPr>
    </w:lvl>
    <w:lvl w:ilvl="5" w:tplc="81367B9C" w:tentative="1">
      <w:start w:val="1"/>
      <w:numFmt w:val="lowerRoman"/>
      <w:lvlText w:val="%6."/>
      <w:lvlJc w:val="right"/>
      <w:pPr>
        <w:ind w:left="4386" w:hanging="180"/>
      </w:pPr>
    </w:lvl>
    <w:lvl w:ilvl="6" w:tplc="88AE001E" w:tentative="1">
      <w:start w:val="1"/>
      <w:numFmt w:val="decimal"/>
      <w:lvlText w:val="%7."/>
      <w:lvlJc w:val="left"/>
      <w:pPr>
        <w:ind w:left="5106" w:hanging="360"/>
      </w:pPr>
    </w:lvl>
    <w:lvl w:ilvl="7" w:tplc="D4EC039E" w:tentative="1">
      <w:start w:val="1"/>
      <w:numFmt w:val="lowerLetter"/>
      <w:lvlText w:val="%8."/>
      <w:lvlJc w:val="left"/>
      <w:pPr>
        <w:ind w:left="5826" w:hanging="360"/>
      </w:pPr>
    </w:lvl>
    <w:lvl w:ilvl="8" w:tplc="2280D65E" w:tentative="1">
      <w:start w:val="1"/>
      <w:numFmt w:val="lowerRoman"/>
      <w:lvlText w:val="%9."/>
      <w:lvlJc w:val="right"/>
      <w:pPr>
        <w:ind w:left="6546" w:hanging="180"/>
      </w:pPr>
    </w:lvl>
  </w:abstractNum>
  <w:abstractNum w:abstractNumId="11" w15:restartNumberingAfterBreak="0">
    <w:nsid w:val="36A46CDC"/>
    <w:multiLevelType w:val="hybridMultilevel"/>
    <w:tmpl w:val="E3C0EC1E"/>
    <w:lvl w:ilvl="0" w:tplc="A816F72A">
      <w:numFmt w:val="bullet"/>
      <w:lvlText w:val="-"/>
      <w:lvlJc w:val="left"/>
      <w:pPr>
        <w:ind w:left="720" w:hanging="360"/>
      </w:pPr>
      <w:rPr>
        <w:rFonts w:ascii="Arial" w:eastAsiaTheme="minorHAnsi" w:hAnsi="Arial" w:cs="Arial" w:hint="default"/>
      </w:rPr>
    </w:lvl>
    <w:lvl w:ilvl="1" w:tplc="C36E0BC4" w:tentative="1">
      <w:start w:val="1"/>
      <w:numFmt w:val="bullet"/>
      <w:lvlText w:val="o"/>
      <w:lvlJc w:val="left"/>
      <w:pPr>
        <w:ind w:left="1440" w:hanging="360"/>
      </w:pPr>
      <w:rPr>
        <w:rFonts w:ascii="Courier New" w:hAnsi="Courier New" w:cs="Courier New" w:hint="default"/>
      </w:rPr>
    </w:lvl>
    <w:lvl w:ilvl="2" w:tplc="AC6EAE0E" w:tentative="1">
      <w:start w:val="1"/>
      <w:numFmt w:val="bullet"/>
      <w:lvlText w:val=""/>
      <w:lvlJc w:val="left"/>
      <w:pPr>
        <w:ind w:left="2160" w:hanging="360"/>
      </w:pPr>
      <w:rPr>
        <w:rFonts w:ascii="Wingdings" w:hAnsi="Wingdings" w:hint="default"/>
      </w:rPr>
    </w:lvl>
    <w:lvl w:ilvl="3" w:tplc="D0C0E680" w:tentative="1">
      <w:start w:val="1"/>
      <w:numFmt w:val="bullet"/>
      <w:lvlText w:val=""/>
      <w:lvlJc w:val="left"/>
      <w:pPr>
        <w:ind w:left="2880" w:hanging="360"/>
      </w:pPr>
      <w:rPr>
        <w:rFonts w:ascii="Symbol" w:hAnsi="Symbol" w:hint="default"/>
      </w:rPr>
    </w:lvl>
    <w:lvl w:ilvl="4" w:tplc="6F06C2EA" w:tentative="1">
      <w:start w:val="1"/>
      <w:numFmt w:val="bullet"/>
      <w:lvlText w:val="o"/>
      <w:lvlJc w:val="left"/>
      <w:pPr>
        <w:ind w:left="3600" w:hanging="360"/>
      </w:pPr>
      <w:rPr>
        <w:rFonts w:ascii="Courier New" w:hAnsi="Courier New" w:cs="Courier New" w:hint="default"/>
      </w:rPr>
    </w:lvl>
    <w:lvl w:ilvl="5" w:tplc="19C4C446" w:tentative="1">
      <w:start w:val="1"/>
      <w:numFmt w:val="bullet"/>
      <w:lvlText w:val=""/>
      <w:lvlJc w:val="left"/>
      <w:pPr>
        <w:ind w:left="4320" w:hanging="360"/>
      </w:pPr>
      <w:rPr>
        <w:rFonts w:ascii="Wingdings" w:hAnsi="Wingdings" w:hint="default"/>
      </w:rPr>
    </w:lvl>
    <w:lvl w:ilvl="6" w:tplc="5F1C3542" w:tentative="1">
      <w:start w:val="1"/>
      <w:numFmt w:val="bullet"/>
      <w:lvlText w:val=""/>
      <w:lvlJc w:val="left"/>
      <w:pPr>
        <w:ind w:left="5040" w:hanging="360"/>
      </w:pPr>
      <w:rPr>
        <w:rFonts w:ascii="Symbol" w:hAnsi="Symbol" w:hint="default"/>
      </w:rPr>
    </w:lvl>
    <w:lvl w:ilvl="7" w:tplc="93C8EEDE" w:tentative="1">
      <w:start w:val="1"/>
      <w:numFmt w:val="bullet"/>
      <w:lvlText w:val="o"/>
      <w:lvlJc w:val="left"/>
      <w:pPr>
        <w:ind w:left="5760" w:hanging="360"/>
      </w:pPr>
      <w:rPr>
        <w:rFonts w:ascii="Courier New" w:hAnsi="Courier New" w:cs="Courier New" w:hint="default"/>
      </w:rPr>
    </w:lvl>
    <w:lvl w:ilvl="8" w:tplc="3A56786E" w:tentative="1">
      <w:start w:val="1"/>
      <w:numFmt w:val="bullet"/>
      <w:lvlText w:val=""/>
      <w:lvlJc w:val="left"/>
      <w:pPr>
        <w:ind w:left="6480" w:hanging="360"/>
      </w:pPr>
      <w:rPr>
        <w:rFonts w:ascii="Wingdings" w:hAnsi="Wingdings" w:hint="default"/>
      </w:rPr>
    </w:lvl>
  </w:abstractNum>
  <w:abstractNum w:abstractNumId="12" w15:restartNumberingAfterBreak="0">
    <w:nsid w:val="38E97B70"/>
    <w:multiLevelType w:val="hybridMultilevel"/>
    <w:tmpl w:val="F7341588"/>
    <w:lvl w:ilvl="0" w:tplc="EE00253E">
      <w:start w:val="8"/>
      <w:numFmt w:val="lowerLetter"/>
      <w:lvlText w:val="%1)"/>
      <w:lvlJc w:val="left"/>
      <w:pPr>
        <w:ind w:left="786" w:hanging="360"/>
      </w:pPr>
      <w:rPr>
        <w:rFonts w:hint="default"/>
        <w:b w:val="0"/>
      </w:rPr>
    </w:lvl>
    <w:lvl w:ilvl="1" w:tplc="45A64920" w:tentative="1">
      <w:start w:val="1"/>
      <w:numFmt w:val="lowerLetter"/>
      <w:lvlText w:val="%2."/>
      <w:lvlJc w:val="left"/>
      <w:pPr>
        <w:ind w:left="1506" w:hanging="360"/>
      </w:pPr>
    </w:lvl>
    <w:lvl w:ilvl="2" w:tplc="E88250F8" w:tentative="1">
      <w:start w:val="1"/>
      <w:numFmt w:val="lowerRoman"/>
      <w:lvlText w:val="%3."/>
      <w:lvlJc w:val="right"/>
      <w:pPr>
        <w:ind w:left="2226" w:hanging="180"/>
      </w:pPr>
    </w:lvl>
    <w:lvl w:ilvl="3" w:tplc="89D05C10" w:tentative="1">
      <w:start w:val="1"/>
      <w:numFmt w:val="decimal"/>
      <w:lvlText w:val="%4."/>
      <w:lvlJc w:val="left"/>
      <w:pPr>
        <w:ind w:left="2946" w:hanging="360"/>
      </w:pPr>
    </w:lvl>
    <w:lvl w:ilvl="4" w:tplc="4AE220A8" w:tentative="1">
      <w:start w:val="1"/>
      <w:numFmt w:val="lowerLetter"/>
      <w:lvlText w:val="%5."/>
      <w:lvlJc w:val="left"/>
      <w:pPr>
        <w:ind w:left="3666" w:hanging="360"/>
      </w:pPr>
    </w:lvl>
    <w:lvl w:ilvl="5" w:tplc="10A27CF2" w:tentative="1">
      <w:start w:val="1"/>
      <w:numFmt w:val="lowerRoman"/>
      <w:lvlText w:val="%6."/>
      <w:lvlJc w:val="right"/>
      <w:pPr>
        <w:ind w:left="4386" w:hanging="180"/>
      </w:pPr>
    </w:lvl>
    <w:lvl w:ilvl="6" w:tplc="AD645CF6" w:tentative="1">
      <w:start w:val="1"/>
      <w:numFmt w:val="decimal"/>
      <w:lvlText w:val="%7."/>
      <w:lvlJc w:val="left"/>
      <w:pPr>
        <w:ind w:left="5106" w:hanging="360"/>
      </w:pPr>
    </w:lvl>
    <w:lvl w:ilvl="7" w:tplc="CD20DAE8" w:tentative="1">
      <w:start w:val="1"/>
      <w:numFmt w:val="lowerLetter"/>
      <w:lvlText w:val="%8."/>
      <w:lvlJc w:val="left"/>
      <w:pPr>
        <w:ind w:left="5826" w:hanging="360"/>
      </w:pPr>
    </w:lvl>
    <w:lvl w:ilvl="8" w:tplc="7D6036B8" w:tentative="1">
      <w:start w:val="1"/>
      <w:numFmt w:val="lowerRoman"/>
      <w:lvlText w:val="%9."/>
      <w:lvlJc w:val="right"/>
      <w:pPr>
        <w:ind w:left="6546" w:hanging="180"/>
      </w:pPr>
    </w:lvl>
  </w:abstractNum>
  <w:abstractNum w:abstractNumId="13"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52D16C00"/>
    <w:multiLevelType w:val="hybridMultilevel"/>
    <w:tmpl w:val="0D003412"/>
    <w:lvl w:ilvl="0" w:tplc="F8F45926">
      <w:start w:val="1"/>
      <w:numFmt w:val="lowerLetter"/>
      <w:lvlText w:val="%1)"/>
      <w:lvlJc w:val="left"/>
      <w:pPr>
        <w:tabs>
          <w:tab w:val="num" w:pos="1440"/>
        </w:tabs>
        <w:ind w:left="1440" w:hanging="360"/>
      </w:pPr>
      <w:rPr>
        <w:rFonts w:hint="default"/>
      </w:rPr>
    </w:lvl>
    <w:lvl w:ilvl="1" w:tplc="740A2E64">
      <w:start w:val="1"/>
      <w:numFmt w:val="bullet"/>
      <w:lvlText w:val="o"/>
      <w:lvlJc w:val="left"/>
      <w:pPr>
        <w:tabs>
          <w:tab w:val="num" w:pos="1440"/>
        </w:tabs>
        <w:ind w:left="1440" w:hanging="360"/>
      </w:pPr>
      <w:rPr>
        <w:rFonts w:ascii="Courier New" w:hAnsi="Courier New" w:hint="default"/>
      </w:rPr>
    </w:lvl>
    <w:lvl w:ilvl="2" w:tplc="2A5EAA94">
      <w:start w:val="1"/>
      <w:numFmt w:val="bullet"/>
      <w:lvlText w:val=""/>
      <w:lvlJc w:val="left"/>
      <w:pPr>
        <w:tabs>
          <w:tab w:val="num" w:pos="2160"/>
        </w:tabs>
        <w:ind w:left="2160" w:hanging="360"/>
      </w:pPr>
      <w:rPr>
        <w:rFonts w:ascii="Wingdings" w:hAnsi="Wingdings" w:hint="default"/>
      </w:rPr>
    </w:lvl>
    <w:lvl w:ilvl="3" w:tplc="652A60C4" w:tentative="1">
      <w:start w:val="1"/>
      <w:numFmt w:val="bullet"/>
      <w:lvlText w:val=""/>
      <w:lvlJc w:val="left"/>
      <w:pPr>
        <w:tabs>
          <w:tab w:val="num" w:pos="2880"/>
        </w:tabs>
        <w:ind w:left="2880" w:hanging="360"/>
      </w:pPr>
      <w:rPr>
        <w:rFonts w:ascii="Symbol" w:hAnsi="Symbol" w:hint="default"/>
      </w:rPr>
    </w:lvl>
    <w:lvl w:ilvl="4" w:tplc="9FDE805A" w:tentative="1">
      <w:start w:val="1"/>
      <w:numFmt w:val="bullet"/>
      <w:lvlText w:val="o"/>
      <w:lvlJc w:val="left"/>
      <w:pPr>
        <w:tabs>
          <w:tab w:val="num" w:pos="3600"/>
        </w:tabs>
        <w:ind w:left="3600" w:hanging="360"/>
      </w:pPr>
      <w:rPr>
        <w:rFonts w:ascii="Courier New" w:hAnsi="Courier New" w:hint="default"/>
      </w:rPr>
    </w:lvl>
    <w:lvl w:ilvl="5" w:tplc="640EDE3A" w:tentative="1">
      <w:start w:val="1"/>
      <w:numFmt w:val="bullet"/>
      <w:lvlText w:val=""/>
      <w:lvlJc w:val="left"/>
      <w:pPr>
        <w:tabs>
          <w:tab w:val="num" w:pos="4320"/>
        </w:tabs>
        <w:ind w:left="4320" w:hanging="360"/>
      </w:pPr>
      <w:rPr>
        <w:rFonts w:ascii="Wingdings" w:hAnsi="Wingdings" w:hint="default"/>
      </w:rPr>
    </w:lvl>
    <w:lvl w:ilvl="6" w:tplc="F75C076E" w:tentative="1">
      <w:start w:val="1"/>
      <w:numFmt w:val="bullet"/>
      <w:lvlText w:val=""/>
      <w:lvlJc w:val="left"/>
      <w:pPr>
        <w:tabs>
          <w:tab w:val="num" w:pos="5040"/>
        </w:tabs>
        <w:ind w:left="5040" w:hanging="360"/>
      </w:pPr>
      <w:rPr>
        <w:rFonts w:ascii="Symbol" w:hAnsi="Symbol" w:hint="default"/>
      </w:rPr>
    </w:lvl>
    <w:lvl w:ilvl="7" w:tplc="5C1C1E70" w:tentative="1">
      <w:start w:val="1"/>
      <w:numFmt w:val="bullet"/>
      <w:lvlText w:val="o"/>
      <w:lvlJc w:val="left"/>
      <w:pPr>
        <w:tabs>
          <w:tab w:val="num" w:pos="5760"/>
        </w:tabs>
        <w:ind w:left="5760" w:hanging="360"/>
      </w:pPr>
      <w:rPr>
        <w:rFonts w:ascii="Courier New" w:hAnsi="Courier New" w:hint="default"/>
      </w:rPr>
    </w:lvl>
    <w:lvl w:ilvl="8" w:tplc="3856A9B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065A78"/>
    <w:multiLevelType w:val="hybridMultilevel"/>
    <w:tmpl w:val="EF18131E"/>
    <w:lvl w:ilvl="0" w:tplc="DAEC4F66">
      <w:start w:val="1"/>
      <w:numFmt w:val="bullet"/>
      <w:lvlText w:val=""/>
      <w:lvlJc w:val="left"/>
      <w:pPr>
        <w:ind w:left="720" w:hanging="360"/>
      </w:pPr>
      <w:rPr>
        <w:rFonts w:ascii="Symbol" w:hAnsi="Symbol" w:hint="default"/>
      </w:rPr>
    </w:lvl>
    <w:lvl w:ilvl="1" w:tplc="8ADE097A" w:tentative="1">
      <w:start w:val="1"/>
      <w:numFmt w:val="bullet"/>
      <w:lvlText w:val="o"/>
      <w:lvlJc w:val="left"/>
      <w:pPr>
        <w:ind w:left="1440" w:hanging="360"/>
      </w:pPr>
      <w:rPr>
        <w:rFonts w:ascii="Courier New" w:hAnsi="Courier New" w:cs="Courier New" w:hint="default"/>
      </w:rPr>
    </w:lvl>
    <w:lvl w:ilvl="2" w:tplc="E904F822" w:tentative="1">
      <w:start w:val="1"/>
      <w:numFmt w:val="bullet"/>
      <w:lvlText w:val=""/>
      <w:lvlJc w:val="left"/>
      <w:pPr>
        <w:ind w:left="2160" w:hanging="360"/>
      </w:pPr>
      <w:rPr>
        <w:rFonts w:ascii="Wingdings" w:hAnsi="Wingdings" w:hint="default"/>
      </w:rPr>
    </w:lvl>
    <w:lvl w:ilvl="3" w:tplc="F93C19E2" w:tentative="1">
      <w:start w:val="1"/>
      <w:numFmt w:val="bullet"/>
      <w:lvlText w:val=""/>
      <w:lvlJc w:val="left"/>
      <w:pPr>
        <w:ind w:left="2880" w:hanging="360"/>
      </w:pPr>
      <w:rPr>
        <w:rFonts w:ascii="Symbol" w:hAnsi="Symbol" w:hint="default"/>
      </w:rPr>
    </w:lvl>
    <w:lvl w:ilvl="4" w:tplc="550AF922" w:tentative="1">
      <w:start w:val="1"/>
      <w:numFmt w:val="bullet"/>
      <w:lvlText w:val="o"/>
      <w:lvlJc w:val="left"/>
      <w:pPr>
        <w:ind w:left="3600" w:hanging="360"/>
      </w:pPr>
      <w:rPr>
        <w:rFonts w:ascii="Courier New" w:hAnsi="Courier New" w:cs="Courier New" w:hint="default"/>
      </w:rPr>
    </w:lvl>
    <w:lvl w:ilvl="5" w:tplc="2A3803F6" w:tentative="1">
      <w:start w:val="1"/>
      <w:numFmt w:val="bullet"/>
      <w:lvlText w:val=""/>
      <w:lvlJc w:val="left"/>
      <w:pPr>
        <w:ind w:left="4320" w:hanging="360"/>
      </w:pPr>
      <w:rPr>
        <w:rFonts w:ascii="Wingdings" w:hAnsi="Wingdings" w:hint="default"/>
      </w:rPr>
    </w:lvl>
    <w:lvl w:ilvl="6" w:tplc="3C40DCBE" w:tentative="1">
      <w:start w:val="1"/>
      <w:numFmt w:val="bullet"/>
      <w:lvlText w:val=""/>
      <w:lvlJc w:val="left"/>
      <w:pPr>
        <w:ind w:left="5040" w:hanging="360"/>
      </w:pPr>
      <w:rPr>
        <w:rFonts w:ascii="Symbol" w:hAnsi="Symbol" w:hint="default"/>
      </w:rPr>
    </w:lvl>
    <w:lvl w:ilvl="7" w:tplc="F000F49C" w:tentative="1">
      <w:start w:val="1"/>
      <w:numFmt w:val="bullet"/>
      <w:lvlText w:val="o"/>
      <w:lvlJc w:val="left"/>
      <w:pPr>
        <w:ind w:left="5760" w:hanging="360"/>
      </w:pPr>
      <w:rPr>
        <w:rFonts w:ascii="Courier New" w:hAnsi="Courier New" w:cs="Courier New" w:hint="default"/>
      </w:rPr>
    </w:lvl>
    <w:lvl w:ilvl="8" w:tplc="CFEAF6F6" w:tentative="1">
      <w:start w:val="1"/>
      <w:numFmt w:val="bullet"/>
      <w:lvlText w:val=""/>
      <w:lvlJc w:val="left"/>
      <w:pPr>
        <w:ind w:left="6480" w:hanging="360"/>
      </w:pPr>
      <w:rPr>
        <w:rFonts w:ascii="Wingdings" w:hAnsi="Wingdings" w:hint="default"/>
      </w:rPr>
    </w:lvl>
  </w:abstractNum>
  <w:abstractNum w:abstractNumId="17" w15:restartNumberingAfterBreak="0">
    <w:nsid w:val="54BE4A49"/>
    <w:multiLevelType w:val="hybridMultilevel"/>
    <w:tmpl w:val="2C9A9966"/>
    <w:lvl w:ilvl="0" w:tplc="E738D8AA">
      <w:start w:val="1"/>
      <w:numFmt w:val="bullet"/>
      <w:lvlText w:val=""/>
      <w:lvlJc w:val="left"/>
      <w:pPr>
        <w:ind w:left="720" w:hanging="360"/>
      </w:pPr>
      <w:rPr>
        <w:rFonts w:ascii="Symbol" w:hAnsi="Symbol" w:hint="default"/>
      </w:rPr>
    </w:lvl>
    <w:lvl w:ilvl="1" w:tplc="6C349EB0" w:tentative="1">
      <w:start w:val="1"/>
      <w:numFmt w:val="bullet"/>
      <w:lvlText w:val="o"/>
      <w:lvlJc w:val="left"/>
      <w:pPr>
        <w:ind w:left="1440" w:hanging="360"/>
      </w:pPr>
      <w:rPr>
        <w:rFonts w:ascii="Courier New" w:hAnsi="Courier New" w:cs="Courier New" w:hint="default"/>
      </w:rPr>
    </w:lvl>
    <w:lvl w:ilvl="2" w:tplc="68145298" w:tentative="1">
      <w:start w:val="1"/>
      <w:numFmt w:val="bullet"/>
      <w:lvlText w:val=""/>
      <w:lvlJc w:val="left"/>
      <w:pPr>
        <w:ind w:left="2160" w:hanging="360"/>
      </w:pPr>
      <w:rPr>
        <w:rFonts w:ascii="Wingdings" w:hAnsi="Wingdings" w:hint="default"/>
      </w:rPr>
    </w:lvl>
    <w:lvl w:ilvl="3" w:tplc="167258DA" w:tentative="1">
      <w:start w:val="1"/>
      <w:numFmt w:val="bullet"/>
      <w:lvlText w:val=""/>
      <w:lvlJc w:val="left"/>
      <w:pPr>
        <w:ind w:left="2880" w:hanging="360"/>
      </w:pPr>
      <w:rPr>
        <w:rFonts w:ascii="Symbol" w:hAnsi="Symbol" w:hint="default"/>
      </w:rPr>
    </w:lvl>
    <w:lvl w:ilvl="4" w:tplc="3A2277E6" w:tentative="1">
      <w:start w:val="1"/>
      <w:numFmt w:val="bullet"/>
      <w:lvlText w:val="o"/>
      <w:lvlJc w:val="left"/>
      <w:pPr>
        <w:ind w:left="3600" w:hanging="360"/>
      </w:pPr>
      <w:rPr>
        <w:rFonts w:ascii="Courier New" w:hAnsi="Courier New" w:cs="Courier New" w:hint="default"/>
      </w:rPr>
    </w:lvl>
    <w:lvl w:ilvl="5" w:tplc="35405588" w:tentative="1">
      <w:start w:val="1"/>
      <w:numFmt w:val="bullet"/>
      <w:lvlText w:val=""/>
      <w:lvlJc w:val="left"/>
      <w:pPr>
        <w:ind w:left="4320" w:hanging="360"/>
      </w:pPr>
      <w:rPr>
        <w:rFonts w:ascii="Wingdings" w:hAnsi="Wingdings" w:hint="default"/>
      </w:rPr>
    </w:lvl>
    <w:lvl w:ilvl="6" w:tplc="B064871A" w:tentative="1">
      <w:start w:val="1"/>
      <w:numFmt w:val="bullet"/>
      <w:lvlText w:val=""/>
      <w:lvlJc w:val="left"/>
      <w:pPr>
        <w:ind w:left="5040" w:hanging="360"/>
      </w:pPr>
      <w:rPr>
        <w:rFonts w:ascii="Symbol" w:hAnsi="Symbol" w:hint="default"/>
      </w:rPr>
    </w:lvl>
    <w:lvl w:ilvl="7" w:tplc="9424BCE8" w:tentative="1">
      <w:start w:val="1"/>
      <w:numFmt w:val="bullet"/>
      <w:lvlText w:val="o"/>
      <w:lvlJc w:val="left"/>
      <w:pPr>
        <w:ind w:left="5760" w:hanging="360"/>
      </w:pPr>
      <w:rPr>
        <w:rFonts w:ascii="Courier New" w:hAnsi="Courier New" w:cs="Courier New" w:hint="default"/>
      </w:rPr>
    </w:lvl>
    <w:lvl w:ilvl="8" w:tplc="9C1427E4" w:tentative="1">
      <w:start w:val="1"/>
      <w:numFmt w:val="bullet"/>
      <w:lvlText w:val=""/>
      <w:lvlJc w:val="left"/>
      <w:pPr>
        <w:ind w:left="6480" w:hanging="360"/>
      </w:pPr>
      <w:rPr>
        <w:rFonts w:ascii="Wingdings" w:hAnsi="Wingdings" w:hint="default"/>
      </w:rPr>
    </w:lvl>
  </w:abstractNum>
  <w:abstractNum w:abstractNumId="18" w15:restartNumberingAfterBreak="0">
    <w:nsid w:val="54C25AA4"/>
    <w:multiLevelType w:val="hybridMultilevel"/>
    <w:tmpl w:val="F7341588"/>
    <w:lvl w:ilvl="0" w:tplc="433E1ABA">
      <w:start w:val="8"/>
      <w:numFmt w:val="lowerLetter"/>
      <w:lvlText w:val="%1)"/>
      <w:lvlJc w:val="left"/>
      <w:pPr>
        <w:ind w:left="786" w:hanging="360"/>
      </w:pPr>
      <w:rPr>
        <w:rFonts w:hint="default"/>
        <w:b w:val="0"/>
      </w:rPr>
    </w:lvl>
    <w:lvl w:ilvl="1" w:tplc="979EF2B0" w:tentative="1">
      <w:start w:val="1"/>
      <w:numFmt w:val="lowerLetter"/>
      <w:lvlText w:val="%2."/>
      <w:lvlJc w:val="left"/>
      <w:pPr>
        <w:ind w:left="1506" w:hanging="360"/>
      </w:pPr>
    </w:lvl>
    <w:lvl w:ilvl="2" w:tplc="E4541078" w:tentative="1">
      <w:start w:val="1"/>
      <w:numFmt w:val="lowerRoman"/>
      <w:lvlText w:val="%3."/>
      <w:lvlJc w:val="right"/>
      <w:pPr>
        <w:ind w:left="2226" w:hanging="180"/>
      </w:pPr>
    </w:lvl>
    <w:lvl w:ilvl="3" w:tplc="446C428A" w:tentative="1">
      <w:start w:val="1"/>
      <w:numFmt w:val="decimal"/>
      <w:lvlText w:val="%4."/>
      <w:lvlJc w:val="left"/>
      <w:pPr>
        <w:ind w:left="2946" w:hanging="360"/>
      </w:pPr>
    </w:lvl>
    <w:lvl w:ilvl="4" w:tplc="27E026CA" w:tentative="1">
      <w:start w:val="1"/>
      <w:numFmt w:val="lowerLetter"/>
      <w:lvlText w:val="%5."/>
      <w:lvlJc w:val="left"/>
      <w:pPr>
        <w:ind w:left="3666" w:hanging="360"/>
      </w:pPr>
    </w:lvl>
    <w:lvl w:ilvl="5" w:tplc="92AEA5E6" w:tentative="1">
      <w:start w:val="1"/>
      <w:numFmt w:val="lowerRoman"/>
      <w:lvlText w:val="%6."/>
      <w:lvlJc w:val="right"/>
      <w:pPr>
        <w:ind w:left="4386" w:hanging="180"/>
      </w:pPr>
    </w:lvl>
    <w:lvl w:ilvl="6" w:tplc="0A6E92BA" w:tentative="1">
      <w:start w:val="1"/>
      <w:numFmt w:val="decimal"/>
      <w:lvlText w:val="%7."/>
      <w:lvlJc w:val="left"/>
      <w:pPr>
        <w:ind w:left="5106" w:hanging="360"/>
      </w:pPr>
    </w:lvl>
    <w:lvl w:ilvl="7" w:tplc="8710F010" w:tentative="1">
      <w:start w:val="1"/>
      <w:numFmt w:val="lowerLetter"/>
      <w:lvlText w:val="%8."/>
      <w:lvlJc w:val="left"/>
      <w:pPr>
        <w:ind w:left="5826" w:hanging="360"/>
      </w:pPr>
    </w:lvl>
    <w:lvl w:ilvl="8" w:tplc="23C6D3E2" w:tentative="1">
      <w:start w:val="1"/>
      <w:numFmt w:val="lowerRoman"/>
      <w:lvlText w:val="%9."/>
      <w:lvlJc w:val="right"/>
      <w:pPr>
        <w:ind w:left="6546" w:hanging="180"/>
      </w:pPr>
    </w:lvl>
  </w:abstractNum>
  <w:abstractNum w:abstractNumId="19" w15:restartNumberingAfterBreak="0">
    <w:nsid w:val="5FFD33B3"/>
    <w:multiLevelType w:val="hybridMultilevel"/>
    <w:tmpl w:val="4F9EDCA2"/>
    <w:lvl w:ilvl="0" w:tplc="EF727588">
      <w:start w:val="1"/>
      <w:numFmt w:val="lowerLetter"/>
      <w:lvlText w:val="%1)"/>
      <w:lvlJc w:val="left"/>
      <w:pPr>
        <w:ind w:left="720" w:hanging="360"/>
      </w:pPr>
      <w:rPr>
        <w:rFonts w:hint="default"/>
      </w:rPr>
    </w:lvl>
    <w:lvl w:ilvl="1" w:tplc="48F692B6" w:tentative="1">
      <w:start w:val="1"/>
      <w:numFmt w:val="bullet"/>
      <w:lvlText w:val="o"/>
      <w:lvlJc w:val="left"/>
      <w:pPr>
        <w:ind w:left="1440" w:hanging="360"/>
      </w:pPr>
      <w:rPr>
        <w:rFonts w:ascii="Courier New" w:hAnsi="Courier New" w:cs="Courier New" w:hint="default"/>
      </w:rPr>
    </w:lvl>
    <w:lvl w:ilvl="2" w:tplc="E8349CE8" w:tentative="1">
      <w:start w:val="1"/>
      <w:numFmt w:val="bullet"/>
      <w:lvlText w:val=""/>
      <w:lvlJc w:val="left"/>
      <w:pPr>
        <w:ind w:left="2160" w:hanging="360"/>
      </w:pPr>
      <w:rPr>
        <w:rFonts w:ascii="Wingdings" w:hAnsi="Wingdings" w:hint="default"/>
      </w:rPr>
    </w:lvl>
    <w:lvl w:ilvl="3" w:tplc="097E6406" w:tentative="1">
      <w:start w:val="1"/>
      <w:numFmt w:val="bullet"/>
      <w:lvlText w:val=""/>
      <w:lvlJc w:val="left"/>
      <w:pPr>
        <w:ind w:left="2880" w:hanging="360"/>
      </w:pPr>
      <w:rPr>
        <w:rFonts w:ascii="Symbol" w:hAnsi="Symbol" w:hint="default"/>
      </w:rPr>
    </w:lvl>
    <w:lvl w:ilvl="4" w:tplc="BB1C9240" w:tentative="1">
      <w:start w:val="1"/>
      <w:numFmt w:val="bullet"/>
      <w:lvlText w:val="o"/>
      <w:lvlJc w:val="left"/>
      <w:pPr>
        <w:ind w:left="3600" w:hanging="360"/>
      </w:pPr>
      <w:rPr>
        <w:rFonts w:ascii="Courier New" w:hAnsi="Courier New" w:cs="Courier New" w:hint="default"/>
      </w:rPr>
    </w:lvl>
    <w:lvl w:ilvl="5" w:tplc="20769C54" w:tentative="1">
      <w:start w:val="1"/>
      <w:numFmt w:val="bullet"/>
      <w:lvlText w:val=""/>
      <w:lvlJc w:val="left"/>
      <w:pPr>
        <w:ind w:left="4320" w:hanging="360"/>
      </w:pPr>
      <w:rPr>
        <w:rFonts w:ascii="Wingdings" w:hAnsi="Wingdings" w:hint="default"/>
      </w:rPr>
    </w:lvl>
    <w:lvl w:ilvl="6" w:tplc="D6727500" w:tentative="1">
      <w:start w:val="1"/>
      <w:numFmt w:val="bullet"/>
      <w:lvlText w:val=""/>
      <w:lvlJc w:val="left"/>
      <w:pPr>
        <w:ind w:left="5040" w:hanging="360"/>
      </w:pPr>
      <w:rPr>
        <w:rFonts w:ascii="Symbol" w:hAnsi="Symbol" w:hint="default"/>
      </w:rPr>
    </w:lvl>
    <w:lvl w:ilvl="7" w:tplc="EFF40A28" w:tentative="1">
      <w:start w:val="1"/>
      <w:numFmt w:val="bullet"/>
      <w:lvlText w:val="o"/>
      <w:lvlJc w:val="left"/>
      <w:pPr>
        <w:ind w:left="5760" w:hanging="360"/>
      </w:pPr>
      <w:rPr>
        <w:rFonts w:ascii="Courier New" w:hAnsi="Courier New" w:cs="Courier New" w:hint="default"/>
      </w:rPr>
    </w:lvl>
    <w:lvl w:ilvl="8" w:tplc="FE38539E" w:tentative="1">
      <w:start w:val="1"/>
      <w:numFmt w:val="bullet"/>
      <w:lvlText w:val=""/>
      <w:lvlJc w:val="left"/>
      <w:pPr>
        <w:ind w:left="6480" w:hanging="360"/>
      </w:pPr>
      <w:rPr>
        <w:rFonts w:ascii="Wingdings" w:hAnsi="Wingdings" w:hint="default"/>
      </w:rPr>
    </w:lvl>
  </w:abstractNum>
  <w:abstractNum w:abstractNumId="20" w15:restartNumberingAfterBreak="0">
    <w:nsid w:val="607773A7"/>
    <w:multiLevelType w:val="hybridMultilevel"/>
    <w:tmpl w:val="CD20E1F8"/>
    <w:lvl w:ilvl="0" w:tplc="181E9D70">
      <w:start w:val="1"/>
      <w:numFmt w:val="upperLetter"/>
      <w:lvlText w:val="%1)"/>
      <w:lvlJc w:val="left"/>
      <w:pPr>
        <w:ind w:left="720" w:hanging="360"/>
      </w:pPr>
      <w:rPr>
        <w:rFonts w:hint="default"/>
      </w:rPr>
    </w:lvl>
    <w:lvl w:ilvl="1" w:tplc="667E80E4" w:tentative="1">
      <w:start w:val="1"/>
      <w:numFmt w:val="lowerLetter"/>
      <w:lvlText w:val="%2."/>
      <w:lvlJc w:val="left"/>
      <w:pPr>
        <w:ind w:left="1440" w:hanging="360"/>
      </w:pPr>
    </w:lvl>
    <w:lvl w:ilvl="2" w:tplc="317E1160" w:tentative="1">
      <w:start w:val="1"/>
      <w:numFmt w:val="lowerRoman"/>
      <w:lvlText w:val="%3."/>
      <w:lvlJc w:val="right"/>
      <w:pPr>
        <w:ind w:left="2160" w:hanging="180"/>
      </w:pPr>
    </w:lvl>
    <w:lvl w:ilvl="3" w:tplc="0AE07668" w:tentative="1">
      <w:start w:val="1"/>
      <w:numFmt w:val="decimal"/>
      <w:lvlText w:val="%4."/>
      <w:lvlJc w:val="left"/>
      <w:pPr>
        <w:ind w:left="2880" w:hanging="360"/>
      </w:pPr>
    </w:lvl>
    <w:lvl w:ilvl="4" w:tplc="0B401B00" w:tentative="1">
      <w:start w:val="1"/>
      <w:numFmt w:val="lowerLetter"/>
      <w:lvlText w:val="%5."/>
      <w:lvlJc w:val="left"/>
      <w:pPr>
        <w:ind w:left="3600" w:hanging="360"/>
      </w:pPr>
    </w:lvl>
    <w:lvl w:ilvl="5" w:tplc="52E235E8" w:tentative="1">
      <w:start w:val="1"/>
      <w:numFmt w:val="lowerRoman"/>
      <w:lvlText w:val="%6."/>
      <w:lvlJc w:val="right"/>
      <w:pPr>
        <w:ind w:left="4320" w:hanging="180"/>
      </w:pPr>
    </w:lvl>
    <w:lvl w:ilvl="6" w:tplc="6BC03142" w:tentative="1">
      <w:start w:val="1"/>
      <w:numFmt w:val="decimal"/>
      <w:lvlText w:val="%7."/>
      <w:lvlJc w:val="left"/>
      <w:pPr>
        <w:ind w:left="5040" w:hanging="360"/>
      </w:pPr>
    </w:lvl>
    <w:lvl w:ilvl="7" w:tplc="2312F654" w:tentative="1">
      <w:start w:val="1"/>
      <w:numFmt w:val="lowerLetter"/>
      <w:lvlText w:val="%8."/>
      <w:lvlJc w:val="left"/>
      <w:pPr>
        <w:ind w:left="5760" w:hanging="360"/>
      </w:pPr>
    </w:lvl>
    <w:lvl w:ilvl="8" w:tplc="8A1A861A" w:tentative="1">
      <w:start w:val="1"/>
      <w:numFmt w:val="lowerRoman"/>
      <w:lvlText w:val="%9."/>
      <w:lvlJc w:val="right"/>
      <w:pPr>
        <w:ind w:left="6480" w:hanging="180"/>
      </w:pPr>
    </w:lvl>
  </w:abstractNum>
  <w:abstractNum w:abstractNumId="21" w15:restartNumberingAfterBreak="0">
    <w:nsid w:val="67F0405B"/>
    <w:multiLevelType w:val="singleLevel"/>
    <w:tmpl w:val="526A1BF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780058AD"/>
    <w:multiLevelType w:val="multilevel"/>
    <w:tmpl w:val="6E703E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2"/>
  </w:num>
  <w:num w:numId="3">
    <w:abstractNumId w:val="6"/>
  </w:num>
  <w:num w:numId="4">
    <w:abstractNumId w:val="0"/>
  </w:num>
  <w:num w:numId="5">
    <w:abstractNumId w:val="1"/>
  </w:num>
  <w:num w:numId="6">
    <w:abstractNumId w:val="13"/>
  </w:num>
  <w:num w:numId="7">
    <w:abstractNumId w:val="3"/>
  </w:num>
  <w:num w:numId="8">
    <w:abstractNumId w:val="22"/>
  </w:num>
  <w:num w:numId="9">
    <w:abstractNumId w:val="13"/>
    <w:lvlOverride w:ilvl="0">
      <w:startOverride w:val="1"/>
    </w:lvlOverride>
  </w:num>
  <w:num w:numId="10">
    <w:abstractNumId w:val="23"/>
  </w:num>
  <w:num w:numId="11">
    <w:abstractNumId w:val="14"/>
  </w:num>
  <w:num w:numId="12">
    <w:abstractNumId w:val="8"/>
  </w:num>
  <w:num w:numId="13">
    <w:abstractNumId w:val="6"/>
  </w:num>
  <w:num w:numId="14">
    <w:abstractNumId w:val="6"/>
  </w:num>
  <w:num w:numId="15">
    <w:abstractNumId w:val="6"/>
  </w:num>
  <w:num w:numId="16">
    <w:abstractNumId w:val="6"/>
  </w:num>
  <w:num w:numId="17">
    <w:abstractNumId w:val="6"/>
  </w:num>
  <w:num w:numId="18">
    <w:abstractNumId w:val="6"/>
  </w:num>
  <w:num w:numId="19">
    <w:abstractNumId w:val="7"/>
  </w:num>
  <w:num w:numId="20">
    <w:abstractNumId w:val="21"/>
  </w:num>
  <w:num w:numId="21">
    <w:abstractNumId w:val="9"/>
  </w:num>
  <w:num w:numId="22">
    <w:abstractNumId w:val="19"/>
  </w:num>
  <w:num w:numId="23">
    <w:abstractNumId w:val="15"/>
  </w:num>
  <w:num w:numId="24">
    <w:abstractNumId w:val="4"/>
  </w:num>
  <w:num w:numId="25">
    <w:abstractNumId w:val="16"/>
  </w:num>
  <w:num w:numId="26">
    <w:abstractNumId w:val="24"/>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0"/>
  </w:num>
  <w:num w:numId="31">
    <w:abstractNumId w:val="12"/>
  </w:num>
  <w:num w:numId="32">
    <w:abstractNumId w:val="13"/>
    <w:lvlOverride w:ilvl="0">
      <w:startOverride w:val="1"/>
    </w:lvlOverride>
  </w:num>
  <w:num w:numId="33">
    <w:abstractNumId w:val="20"/>
  </w:num>
  <w:num w:numId="34">
    <w:abstractNumId w:val="13"/>
    <w:lvlOverride w:ilvl="0">
      <w:startOverride w:val="1"/>
    </w:lvlOverride>
  </w:num>
  <w:num w:numId="35">
    <w:abstractNumId w:val="11"/>
  </w:num>
  <w:num w:numId="36">
    <w:abstractNumId w:val="13"/>
    <w:lvlOverride w:ilvl="0">
      <w:startOverride w:val="1"/>
    </w:lvlOverride>
  </w:num>
  <w:num w:numId="37">
    <w:abstractNumId w:val="13"/>
    <w:lvlOverride w:ilvl="0">
      <w:startOverride w:val="1"/>
    </w:lvlOverride>
  </w:num>
  <w:num w:numId="38">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79D"/>
    <w:rsid w:val="0000273C"/>
    <w:rsid w:val="00006ACC"/>
    <w:rsid w:val="00017B1B"/>
    <w:rsid w:val="000211D7"/>
    <w:rsid w:val="0002350F"/>
    <w:rsid w:val="0002498B"/>
    <w:rsid w:val="000250E6"/>
    <w:rsid w:val="000274C4"/>
    <w:rsid w:val="00027695"/>
    <w:rsid w:val="00027B62"/>
    <w:rsid w:val="0003223E"/>
    <w:rsid w:val="00033357"/>
    <w:rsid w:val="00035697"/>
    <w:rsid w:val="000510D0"/>
    <w:rsid w:val="0005577F"/>
    <w:rsid w:val="00055E19"/>
    <w:rsid w:val="00060148"/>
    <w:rsid w:val="00063216"/>
    <w:rsid w:val="0006374F"/>
    <w:rsid w:val="000639B2"/>
    <w:rsid w:val="00064546"/>
    <w:rsid w:val="000674BE"/>
    <w:rsid w:val="00067BE2"/>
    <w:rsid w:val="00067C0C"/>
    <w:rsid w:val="00074367"/>
    <w:rsid w:val="0008131E"/>
    <w:rsid w:val="00081934"/>
    <w:rsid w:val="000831EC"/>
    <w:rsid w:val="00083F1E"/>
    <w:rsid w:val="0008422A"/>
    <w:rsid w:val="00084E95"/>
    <w:rsid w:val="00087E97"/>
    <w:rsid w:val="000904C4"/>
    <w:rsid w:val="00096481"/>
    <w:rsid w:val="000A3A63"/>
    <w:rsid w:val="000A71F3"/>
    <w:rsid w:val="000A7987"/>
    <w:rsid w:val="000B58B9"/>
    <w:rsid w:val="000C2918"/>
    <w:rsid w:val="000C3019"/>
    <w:rsid w:val="000C34D3"/>
    <w:rsid w:val="000C701E"/>
    <w:rsid w:val="000C701F"/>
    <w:rsid w:val="000C72AC"/>
    <w:rsid w:val="000D1C8B"/>
    <w:rsid w:val="000D1E44"/>
    <w:rsid w:val="000D2604"/>
    <w:rsid w:val="000D40AE"/>
    <w:rsid w:val="000D4312"/>
    <w:rsid w:val="000D4CFC"/>
    <w:rsid w:val="000D4F61"/>
    <w:rsid w:val="000D5F26"/>
    <w:rsid w:val="000E1F53"/>
    <w:rsid w:val="000E2CBD"/>
    <w:rsid w:val="000E4EE3"/>
    <w:rsid w:val="000F2858"/>
    <w:rsid w:val="000F2AE0"/>
    <w:rsid w:val="000F30B8"/>
    <w:rsid w:val="000F3FF9"/>
    <w:rsid w:val="000F4D8B"/>
    <w:rsid w:val="000F68FE"/>
    <w:rsid w:val="000F799E"/>
    <w:rsid w:val="00101654"/>
    <w:rsid w:val="00101719"/>
    <w:rsid w:val="00103B1C"/>
    <w:rsid w:val="0010447E"/>
    <w:rsid w:val="0010496C"/>
    <w:rsid w:val="00110868"/>
    <w:rsid w:val="00110886"/>
    <w:rsid w:val="00113C88"/>
    <w:rsid w:val="0012018C"/>
    <w:rsid w:val="001207A0"/>
    <w:rsid w:val="001255A4"/>
    <w:rsid w:val="00132124"/>
    <w:rsid w:val="00132260"/>
    <w:rsid w:val="00133A51"/>
    <w:rsid w:val="001356A6"/>
    <w:rsid w:val="001357D0"/>
    <w:rsid w:val="00136260"/>
    <w:rsid w:val="001421CC"/>
    <w:rsid w:val="00143691"/>
    <w:rsid w:val="00150045"/>
    <w:rsid w:val="00152AF0"/>
    <w:rsid w:val="00152DBF"/>
    <w:rsid w:val="001556E1"/>
    <w:rsid w:val="00166F6C"/>
    <w:rsid w:val="001747F6"/>
    <w:rsid w:val="00176757"/>
    <w:rsid w:val="001823B2"/>
    <w:rsid w:val="00182B47"/>
    <w:rsid w:val="0018359E"/>
    <w:rsid w:val="00184B02"/>
    <w:rsid w:val="0018619A"/>
    <w:rsid w:val="00186937"/>
    <w:rsid w:val="00186E57"/>
    <w:rsid w:val="001870A7"/>
    <w:rsid w:val="001947A4"/>
    <w:rsid w:val="00197350"/>
    <w:rsid w:val="001A2BAA"/>
    <w:rsid w:val="001A32FB"/>
    <w:rsid w:val="001A33C7"/>
    <w:rsid w:val="001A6314"/>
    <w:rsid w:val="001B3486"/>
    <w:rsid w:val="001B4B80"/>
    <w:rsid w:val="001B6CDA"/>
    <w:rsid w:val="001C0FAA"/>
    <w:rsid w:val="001C24F1"/>
    <w:rsid w:val="001C466F"/>
    <w:rsid w:val="001C47CA"/>
    <w:rsid w:val="001C5C33"/>
    <w:rsid w:val="001C6545"/>
    <w:rsid w:val="001C7565"/>
    <w:rsid w:val="001D4211"/>
    <w:rsid w:val="001D5999"/>
    <w:rsid w:val="001D59FD"/>
    <w:rsid w:val="001D60A8"/>
    <w:rsid w:val="001D644F"/>
    <w:rsid w:val="001D7401"/>
    <w:rsid w:val="001E34FF"/>
    <w:rsid w:val="001E4231"/>
    <w:rsid w:val="001E621D"/>
    <w:rsid w:val="001E7A33"/>
    <w:rsid w:val="001F0E5D"/>
    <w:rsid w:val="001F1610"/>
    <w:rsid w:val="001F655F"/>
    <w:rsid w:val="002003D7"/>
    <w:rsid w:val="002012AD"/>
    <w:rsid w:val="002044C9"/>
    <w:rsid w:val="002048AA"/>
    <w:rsid w:val="00206642"/>
    <w:rsid w:val="00207028"/>
    <w:rsid w:val="00214230"/>
    <w:rsid w:val="0021484C"/>
    <w:rsid w:val="002154DD"/>
    <w:rsid w:val="00216A8B"/>
    <w:rsid w:val="0022056B"/>
    <w:rsid w:val="00220811"/>
    <w:rsid w:val="002225A7"/>
    <w:rsid w:val="00223CFA"/>
    <w:rsid w:val="002272D3"/>
    <w:rsid w:val="0022764E"/>
    <w:rsid w:val="00232A79"/>
    <w:rsid w:val="002344AF"/>
    <w:rsid w:val="00240C97"/>
    <w:rsid w:val="0024525F"/>
    <w:rsid w:val="00245BCF"/>
    <w:rsid w:val="002522F1"/>
    <w:rsid w:val="002602F5"/>
    <w:rsid w:val="002611AE"/>
    <w:rsid w:val="0026180A"/>
    <w:rsid w:val="0026193D"/>
    <w:rsid w:val="002619D7"/>
    <w:rsid w:val="002627F2"/>
    <w:rsid w:val="002635D9"/>
    <w:rsid w:val="00263CAB"/>
    <w:rsid w:val="00270724"/>
    <w:rsid w:val="00271371"/>
    <w:rsid w:val="00273052"/>
    <w:rsid w:val="00273AE0"/>
    <w:rsid w:val="0027402D"/>
    <w:rsid w:val="00274766"/>
    <w:rsid w:val="002751D4"/>
    <w:rsid w:val="00275CF1"/>
    <w:rsid w:val="00276815"/>
    <w:rsid w:val="002811B3"/>
    <w:rsid w:val="002840AB"/>
    <w:rsid w:val="002866DE"/>
    <w:rsid w:val="00287504"/>
    <w:rsid w:val="00287D15"/>
    <w:rsid w:val="00290D47"/>
    <w:rsid w:val="00292177"/>
    <w:rsid w:val="00292E10"/>
    <w:rsid w:val="00293B6F"/>
    <w:rsid w:val="002A3B0E"/>
    <w:rsid w:val="002B34D6"/>
    <w:rsid w:val="002B3674"/>
    <w:rsid w:val="002B4D45"/>
    <w:rsid w:val="002B6727"/>
    <w:rsid w:val="002B6B78"/>
    <w:rsid w:val="002B6D25"/>
    <w:rsid w:val="002B78E0"/>
    <w:rsid w:val="002C0B7B"/>
    <w:rsid w:val="002C168D"/>
    <w:rsid w:val="002C1DC9"/>
    <w:rsid w:val="002C6CC6"/>
    <w:rsid w:val="002C728F"/>
    <w:rsid w:val="002C77A2"/>
    <w:rsid w:val="002C7AB8"/>
    <w:rsid w:val="002C7D4D"/>
    <w:rsid w:val="002C7DD0"/>
    <w:rsid w:val="002D07D8"/>
    <w:rsid w:val="002D28AD"/>
    <w:rsid w:val="002D3804"/>
    <w:rsid w:val="002D5E55"/>
    <w:rsid w:val="002F34ED"/>
    <w:rsid w:val="002F5D44"/>
    <w:rsid w:val="002F602F"/>
    <w:rsid w:val="00300EE3"/>
    <w:rsid w:val="00301D03"/>
    <w:rsid w:val="00302136"/>
    <w:rsid w:val="00312D33"/>
    <w:rsid w:val="00313246"/>
    <w:rsid w:val="003231ED"/>
    <w:rsid w:val="003246A1"/>
    <w:rsid w:val="00325E6E"/>
    <w:rsid w:val="003268AB"/>
    <w:rsid w:val="00327A74"/>
    <w:rsid w:val="00327E86"/>
    <w:rsid w:val="00332AB7"/>
    <w:rsid w:val="00333C34"/>
    <w:rsid w:val="00336133"/>
    <w:rsid w:val="00341BB5"/>
    <w:rsid w:val="00341C78"/>
    <w:rsid w:val="00343614"/>
    <w:rsid w:val="00344B22"/>
    <w:rsid w:val="00346DCB"/>
    <w:rsid w:val="0035153B"/>
    <w:rsid w:val="00351C1F"/>
    <w:rsid w:val="003524A6"/>
    <w:rsid w:val="003526FD"/>
    <w:rsid w:val="003548F7"/>
    <w:rsid w:val="00356A96"/>
    <w:rsid w:val="00356CA8"/>
    <w:rsid w:val="003630FF"/>
    <w:rsid w:val="00363DFE"/>
    <w:rsid w:val="003701D4"/>
    <w:rsid w:val="003704B1"/>
    <w:rsid w:val="003728FE"/>
    <w:rsid w:val="00373BD2"/>
    <w:rsid w:val="003751EC"/>
    <w:rsid w:val="0037696F"/>
    <w:rsid w:val="00380643"/>
    <w:rsid w:val="003824BF"/>
    <w:rsid w:val="003827F0"/>
    <w:rsid w:val="003833E6"/>
    <w:rsid w:val="00391B59"/>
    <w:rsid w:val="00394363"/>
    <w:rsid w:val="00395B14"/>
    <w:rsid w:val="00395D13"/>
    <w:rsid w:val="0039640C"/>
    <w:rsid w:val="00397F34"/>
    <w:rsid w:val="003B090C"/>
    <w:rsid w:val="003B0D86"/>
    <w:rsid w:val="003B12B2"/>
    <w:rsid w:val="003B46BE"/>
    <w:rsid w:val="003C5699"/>
    <w:rsid w:val="003C73C2"/>
    <w:rsid w:val="003D04DD"/>
    <w:rsid w:val="003D52BC"/>
    <w:rsid w:val="003E289C"/>
    <w:rsid w:val="003E6E27"/>
    <w:rsid w:val="003F128A"/>
    <w:rsid w:val="003F4010"/>
    <w:rsid w:val="003F54FA"/>
    <w:rsid w:val="00405662"/>
    <w:rsid w:val="004100CC"/>
    <w:rsid w:val="00413F8F"/>
    <w:rsid w:val="0041484F"/>
    <w:rsid w:val="00417F25"/>
    <w:rsid w:val="00420680"/>
    <w:rsid w:val="004222C9"/>
    <w:rsid w:val="00422842"/>
    <w:rsid w:val="00423D50"/>
    <w:rsid w:val="00431597"/>
    <w:rsid w:val="0043276D"/>
    <w:rsid w:val="004330EA"/>
    <w:rsid w:val="00434DC6"/>
    <w:rsid w:val="00436051"/>
    <w:rsid w:val="00437876"/>
    <w:rsid w:val="004413FF"/>
    <w:rsid w:val="004421C0"/>
    <w:rsid w:val="00442ABF"/>
    <w:rsid w:val="004446C7"/>
    <w:rsid w:val="004451FE"/>
    <w:rsid w:val="00447EFB"/>
    <w:rsid w:val="00453087"/>
    <w:rsid w:val="0045398D"/>
    <w:rsid w:val="00454BCC"/>
    <w:rsid w:val="00455A38"/>
    <w:rsid w:val="00457FA9"/>
    <w:rsid w:val="00465939"/>
    <w:rsid w:val="004675B6"/>
    <w:rsid w:val="0047029F"/>
    <w:rsid w:val="00470C59"/>
    <w:rsid w:val="004729CE"/>
    <w:rsid w:val="00474131"/>
    <w:rsid w:val="0048068A"/>
    <w:rsid w:val="0048183A"/>
    <w:rsid w:val="00482547"/>
    <w:rsid w:val="00491483"/>
    <w:rsid w:val="004919C2"/>
    <w:rsid w:val="004924CA"/>
    <w:rsid w:val="00494AE3"/>
    <w:rsid w:val="00494C89"/>
    <w:rsid w:val="004A49F9"/>
    <w:rsid w:val="004A58E3"/>
    <w:rsid w:val="004A5F09"/>
    <w:rsid w:val="004B1A68"/>
    <w:rsid w:val="004B48F8"/>
    <w:rsid w:val="004B5330"/>
    <w:rsid w:val="004D270F"/>
    <w:rsid w:val="004D455D"/>
    <w:rsid w:val="004D4728"/>
    <w:rsid w:val="004D7635"/>
    <w:rsid w:val="004E2BA2"/>
    <w:rsid w:val="004F0396"/>
    <w:rsid w:val="004F1BAA"/>
    <w:rsid w:val="004F234A"/>
    <w:rsid w:val="004F42D5"/>
    <w:rsid w:val="004F6525"/>
    <w:rsid w:val="004F72B9"/>
    <w:rsid w:val="0050045B"/>
    <w:rsid w:val="00501172"/>
    <w:rsid w:val="0050359D"/>
    <w:rsid w:val="00503A99"/>
    <w:rsid w:val="0050657B"/>
    <w:rsid w:val="00513B1F"/>
    <w:rsid w:val="0051486A"/>
    <w:rsid w:val="005149CD"/>
    <w:rsid w:val="00516455"/>
    <w:rsid w:val="00517847"/>
    <w:rsid w:val="00522FE2"/>
    <w:rsid w:val="00524C21"/>
    <w:rsid w:val="0052546E"/>
    <w:rsid w:val="0052584F"/>
    <w:rsid w:val="005312FD"/>
    <w:rsid w:val="00544934"/>
    <w:rsid w:val="00550DD7"/>
    <w:rsid w:val="00553718"/>
    <w:rsid w:val="00553F4A"/>
    <w:rsid w:val="00555722"/>
    <w:rsid w:val="00557A68"/>
    <w:rsid w:val="00557BC1"/>
    <w:rsid w:val="00561175"/>
    <w:rsid w:val="00562A8C"/>
    <w:rsid w:val="00562DF9"/>
    <w:rsid w:val="005648EE"/>
    <w:rsid w:val="0056567B"/>
    <w:rsid w:val="00571721"/>
    <w:rsid w:val="00571C3C"/>
    <w:rsid w:val="005763C5"/>
    <w:rsid w:val="005767AA"/>
    <w:rsid w:val="00581D24"/>
    <w:rsid w:val="005831A2"/>
    <w:rsid w:val="0058459E"/>
    <w:rsid w:val="00586D4D"/>
    <w:rsid w:val="0059130F"/>
    <w:rsid w:val="00593EF8"/>
    <w:rsid w:val="005A011E"/>
    <w:rsid w:val="005A07D0"/>
    <w:rsid w:val="005A0F8D"/>
    <w:rsid w:val="005A3531"/>
    <w:rsid w:val="005A3DDE"/>
    <w:rsid w:val="005A4E0B"/>
    <w:rsid w:val="005A5474"/>
    <w:rsid w:val="005A60DF"/>
    <w:rsid w:val="005A788E"/>
    <w:rsid w:val="005B0A26"/>
    <w:rsid w:val="005C3F73"/>
    <w:rsid w:val="005C498A"/>
    <w:rsid w:val="005C57BA"/>
    <w:rsid w:val="005C5BB7"/>
    <w:rsid w:val="005D1A2C"/>
    <w:rsid w:val="005E042F"/>
    <w:rsid w:val="005F36AD"/>
    <w:rsid w:val="005F3818"/>
    <w:rsid w:val="005F3BEE"/>
    <w:rsid w:val="005F3E3D"/>
    <w:rsid w:val="005F6EA6"/>
    <w:rsid w:val="00600135"/>
    <w:rsid w:val="00602F0C"/>
    <w:rsid w:val="00603723"/>
    <w:rsid w:val="0060550B"/>
    <w:rsid w:val="00610E45"/>
    <w:rsid w:val="0061251C"/>
    <w:rsid w:val="00612BE1"/>
    <w:rsid w:val="0061393C"/>
    <w:rsid w:val="00613DCD"/>
    <w:rsid w:val="0061661D"/>
    <w:rsid w:val="00627BFA"/>
    <w:rsid w:val="006347EA"/>
    <w:rsid w:val="006408F5"/>
    <w:rsid w:val="00642A07"/>
    <w:rsid w:val="00643529"/>
    <w:rsid w:val="00643CB4"/>
    <w:rsid w:val="00644BE4"/>
    <w:rsid w:val="006451BD"/>
    <w:rsid w:val="00651E28"/>
    <w:rsid w:val="00653570"/>
    <w:rsid w:val="00663622"/>
    <w:rsid w:val="006663A3"/>
    <w:rsid w:val="0067037E"/>
    <w:rsid w:val="0067570F"/>
    <w:rsid w:val="00680053"/>
    <w:rsid w:val="00681108"/>
    <w:rsid w:val="00684BD4"/>
    <w:rsid w:val="006906D3"/>
    <w:rsid w:val="00690C97"/>
    <w:rsid w:val="0069441B"/>
    <w:rsid w:val="006A118F"/>
    <w:rsid w:val="006A2AB0"/>
    <w:rsid w:val="006A3BDA"/>
    <w:rsid w:val="006A422D"/>
    <w:rsid w:val="006A44A0"/>
    <w:rsid w:val="006A54BA"/>
    <w:rsid w:val="006A66EB"/>
    <w:rsid w:val="006B0392"/>
    <w:rsid w:val="006B2726"/>
    <w:rsid w:val="006B4271"/>
    <w:rsid w:val="006C02C4"/>
    <w:rsid w:val="006C0810"/>
    <w:rsid w:val="006C2C3D"/>
    <w:rsid w:val="006C33AE"/>
    <w:rsid w:val="006C4871"/>
    <w:rsid w:val="006C6F0F"/>
    <w:rsid w:val="006C700F"/>
    <w:rsid w:val="006C7B7A"/>
    <w:rsid w:val="006C7C9F"/>
    <w:rsid w:val="006D0881"/>
    <w:rsid w:val="006D16D8"/>
    <w:rsid w:val="006D3867"/>
    <w:rsid w:val="006D4EEC"/>
    <w:rsid w:val="006E1907"/>
    <w:rsid w:val="006E2785"/>
    <w:rsid w:val="006E2FD9"/>
    <w:rsid w:val="006E3C7C"/>
    <w:rsid w:val="006E443B"/>
    <w:rsid w:val="006E45F8"/>
    <w:rsid w:val="006E5F78"/>
    <w:rsid w:val="006E7765"/>
    <w:rsid w:val="006F0376"/>
    <w:rsid w:val="006F39C8"/>
    <w:rsid w:val="006F5D02"/>
    <w:rsid w:val="006F6144"/>
    <w:rsid w:val="00702E90"/>
    <w:rsid w:val="0070379D"/>
    <w:rsid w:val="00703E97"/>
    <w:rsid w:val="0070653D"/>
    <w:rsid w:val="007079A6"/>
    <w:rsid w:val="00707C38"/>
    <w:rsid w:val="007223E7"/>
    <w:rsid w:val="007236B8"/>
    <w:rsid w:val="0072398E"/>
    <w:rsid w:val="00723B06"/>
    <w:rsid w:val="00732174"/>
    <w:rsid w:val="00732D87"/>
    <w:rsid w:val="00734FEF"/>
    <w:rsid w:val="00737660"/>
    <w:rsid w:val="007376E0"/>
    <w:rsid w:val="007445F5"/>
    <w:rsid w:val="00744A1F"/>
    <w:rsid w:val="00746D82"/>
    <w:rsid w:val="00746FA0"/>
    <w:rsid w:val="007474DD"/>
    <w:rsid w:val="00751AD4"/>
    <w:rsid w:val="00754A11"/>
    <w:rsid w:val="00762898"/>
    <w:rsid w:val="007632FD"/>
    <w:rsid w:val="00764ABE"/>
    <w:rsid w:val="00767D3F"/>
    <w:rsid w:val="00772289"/>
    <w:rsid w:val="00772EA9"/>
    <w:rsid w:val="00774306"/>
    <w:rsid w:val="0077769D"/>
    <w:rsid w:val="00782B80"/>
    <w:rsid w:val="00786EF4"/>
    <w:rsid w:val="0078719F"/>
    <w:rsid w:val="00791092"/>
    <w:rsid w:val="007913EE"/>
    <w:rsid w:val="00792C7B"/>
    <w:rsid w:val="00794E52"/>
    <w:rsid w:val="007A246B"/>
    <w:rsid w:val="007A2BE7"/>
    <w:rsid w:val="007A3426"/>
    <w:rsid w:val="007A388C"/>
    <w:rsid w:val="007B1174"/>
    <w:rsid w:val="007B1F63"/>
    <w:rsid w:val="007B24DF"/>
    <w:rsid w:val="007B39B9"/>
    <w:rsid w:val="007B41D1"/>
    <w:rsid w:val="007B42CD"/>
    <w:rsid w:val="007B7FC8"/>
    <w:rsid w:val="007C3E6F"/>
    <w:rsid w:val="007C7E0B"/>
    <w:rsid w:val="007D67A3"/>
    <w:rsid w:val="007D7E92"/>
    <w:rsid w:val="007E0286"/>
    <w:rsid w:val="007E10A9"/>
    <w:rsid w:val="007F197C"/>
    <w:rsid w:val="007F1D57"/>
    <w:rsid w:val="007F39FC"/>
    <w:rsid w:val="007F7E59"/>
    <w:rsid w:val="00823B7E"/>
    <w:rsid w:val="00827128"/>
    <w:rsid w:val="00827420"/>
    <w:rsid w:val="008309A4"/>
    <w:rsid w:val="0083252A"/>
    <w:rsid w:val="008349B3"/>
    <w:rsid w:val="00835893"/>
    <w:rsid w:val="0083670C"/>
    <w:rsid w:val="008370C0"/>
    <w:rsid w:val="00840065"/>
    <w:rsid w:val="0084181B"/>
    <w:rsid w:val="00844283"/>
    <w:rsid w:val="0084582F"/>
    <w:rsid w:val="0084771D"/>
    <w:rsid w:val="00847C0A"/>
    <w:rsid w:val="008512C4"/>
    <w:rsid w:val="008528A0"/>
    <w:rsid w:val="00854C65"/>
    <w:rsid w:val="00860131"/>
    <w:rsid w:val="00860860"/>
    <w:rsid w:val="00862D0C"/>
    <w:rsid w:val="00864132"/>
    <w:rsid w:val="00864147"/>
    <w:rsid w:val="00864468"/>
    <w:rsid w:val="00866547"/>
    <w:rsid w:val="00866E71"/>
    <w:rsid w:val="008700B7"/>
    <w:rsid w:val="00876165"/>
    <w:rsid w:val="008761CB"/>
    <w:rsid w:val="00881358"/>
    <w:rsid w:val="00882929"/>
    <w:rsid w:val="0088453D"/>
    <w:rsid w:val="00884FD6"/>
    <w:rsid w:val="0088756A"/>
    <w:rsid w:val="008876A9"/>
    <w:rsid w:val="008935BD"/>
    <w:rsid w:val="008936DF"/>
    <w:rsid w:val="00894603"/>
    <w:rsid w:val="00897C94"/>
    <w:rsid w:val="008A1C40"/>
    <w:rsid w:val="008B2421"/>
    <w:rsid w:val="008B342C"/>
    <w:rsid w:val="008B61E3"/>
    <w:rsid w:val="008C474C"/>
    <w:rsid w:val="008C4EAD"/>
    <w:rsid w:val="008C56D8"/>
    <w:rsid w:val="008D6221"/>
    <w:rsid w:val="008E129C"/>
    <w:rsid w:val="008E26A3"/>
    <w:rsid w:val="008E26F2"/>
    <w:rsid w:val="008E3579"/>
    <w:rsid w:val="008F2C93"/>
    <w:rsid w:val="008F3F9B"/>
    <w:rsid w:val="00902374"/>
    <w:rsid w:val="00902BC6"/>
    <w:rsid w:val="00903AC3"/>
    <w:rsid w:val="009052C1"/>
    <w:rsid w:val="00906423"/>
    <w:rsid w:val="00906B46"/>
    <w:rsid w:val="00911AB7"/>
    <w:rsid w:val="00911B3F"/>
    <w:rsid w:val="00912B81"/>
    <w:rsid w:val="00917BBB"/>
    <w:rsid w:val="009228DF"/>
    <w:rsid w:val="00925712"/>
    <w:rsid w:val="00926EA9"/>
    <w:rsid w:val="00930F98"/>
    <w:rsid w:val="0093369D"/>
    <w:rsid w:val="00933E50"/>
    <w:rsid w:val="00934193"/>
    <w:rsid w:val="00934F6E"/>
    <w:rsid w:val="00937A0B"/>
    <w:rsid w:val="0094233D"/>
    <w:rsid w:val="00950ACA"/>
    <w:rsid w:val="00951B8A"/>
    <w:rsid w:val="00951E97"/>
    <w:rsid w:val="00957F22"/>
    <w:rsid w:val="00961F15"/>
    <w:rsid w:val="00962FE4"/>
    <w:rsid w:val="00964D22"/>
    <w:rsid w:val="009665AC"/>
    <w:rsid w:val="00972375"/>
    <w:rsid w:val="009770E6"/>
    <w:rsid w:val="00981299"/>
    <w:rsid w:val="0098587E"/>
    <w:rsid w:val="00990B18"/>
    <w:rsid w:val="00991E3A"/>
    <w:rsid w:val="009974D0"/>
    <w:rsid w:val="009A4F0C"/>
    <w:rsid w:val="009B050C"/>
    <w:rsid w:val="009B0D85"/>
    <w:rsid w:val="009B2208"/>
    <w:rsid w:val="009B7F1B"/>
    <w:rsid w:val="009C09A6"/>
    <w:rsid w:val="009C2886"/>
    <w:rsid w:val="009C4783"/>
    <w:rsid w:val="009C6632"/>
    <w:rsid w:val="009D0800"/>
    <w:rsid w:val="009D1272"/>
    <w:rsid w:val="009D2629"/>
    <w:rsid w:val="009D3B3D"/>
    <w:rsid w:val="009D4156"/>
    <w:rsid w:val="009D4559"/>
    <w:rsid w:val="009D7429"/>
    <w:rsid w:val="009E2A65"/>
    <w:rsid w:val="009E3A57"/>
    <w:rsid w:val="009E709C"/>
    <w:rsid w:val="009E7AC9"/>
    <w:rsid w:val="009F23BA"/>
    <w:rsid w:val="009F413A"/>
    <w:rsid w:val="00A00F2A"/>
    <w:rsid w:val="00A03212"/>
    <w:rsid w:val="00A114DD"/>
    <w:rsid w:val="00A1246A"/>
    <w:rsid w:val="00A1404F"/>
    <w:rsid w:val="00A155FF"/>
    <w:rsid w:val="00A16867"/>
    <w:rsid w:val="00A17909"/>
    <w:rsid w:val="00A2076F"/>
    <w:rsid w:val="00A2173F"/>
    <w:rsid w:val="00A244C7"/>
    <w:rsid w:val="00A26654"/>
    <w:rsid w:val="00A26ED3"/>
    <w:rsid w:val="00A27CEA"/>
    <w:rsid w:val="00A3105B"/>
    <w:rsid w:val="00A3139E"/>
    <w:rsid w:val="00A33CA8"/>
    <w:rsid w:val="00A33CEC"/>
    <w:rsid w:val="00A34F95"/>
    <w:rsid w:val="00A367DA"/>
    <w:rsid w:val="00A36FB4"/>
    <w:rsid w:val="00A41894"/>
    <w:rsid w:val="00A44C60"/>
    <w:rsid w:val="00A46694"/>
    <w:rsid w:val="00A5096A"/>
    <w:rsid w:val="00A5155D"/>
    <w:rsid w:val="00A53BD3"/>
    <w:rsid w:val="00A53C33"/>
    <w:rsid w:val="00A558D8"/>
    <w:rsid w:val="00A56BCD"/>
    <w:rsid w:val="00A57B77"/>
    <w:rsid w:val="00A57D44"/>
    <w:rsid w:val="00A60012"/>
    <w:rsid w:val="00A6197B"/>
    <w:rsid w:val="00A76290"/>
    <w:rsid w:val="00A77604"/>
    <w:rsid w:val="00A800A3"/>
    <w:rsid w:val="00A8495F"/>
    <w:rsid w:val="00A85149"/>
    <w:rsid w:val="00A917E0"/>
    <w:rsid w:val="00A93672"/>
    <w:rsid w:val="00A94C01"/>
    <w:rsid w:val="00A973DB"/>
    <w:rsid w:val="00AA282E"/>
    <w:rsid w:val="00AA33AB"/>
    <w:rsid w:val="00AA397E"/>
    <w:rsid w:val="00AA779D"/>
    <w:rsid w:val="00AA7D28"/>
    <w:rsid w:val="00AB386C"/>
    <w:rsid w:val="00AB3E83"/>
    <w:rsid w:val="00AB58A5"/>
    <w:rsid w:val="00AB5B26"/>
    <w:rsid w:val="00AB6536"/>
    <w:rsid w:val="00AB6859"/>
    <w:rsid w:val="00AB7ADA"/>
    <w:rsid w:val="00AB7DBF"/>
    <w:rsid w:val="00AC3654"/>
    <w:rsid w:val="00AC6950"/>
    <w:rsid w:val="00AD3D31"/>
    <w:rsid w:val="00AE3CD1"/>
    <w:rsid w:val="00AE41D5"/>
    <w:rsid w:val="00AE4D73"/>
    <w:rsid w:val="00AF176B"/>
    <w:rsid w:val="00AF1C92"/>
    <w:rsid w:val="00AF49AB"/>
    <w:rsid w:val="00AF5AD5"/>
    <w:rsid w:val="00AF7B9B"/>
    <w:rsid w:val="00B046C4"/>
    <w:rsid w:val="00B0645B"/>
    <w:rsid w:val="00B06F8B"/>
    <w:rsid w:val="00B15880"/>
    <w:rsid w:val="00B15FE8"/>
    <w:rsid w:val="00B165B4"/>
    <w:rsid w:val="00B1673D"/>
    <w:rsid w:val="00B16A84"/>
    <w:rsid w:val="00B224F9"/>
    <w:rsid w:val="00B250ED"/>
    <w:rsid w:val="00B25C26"/>
    <w:rsid w:val="00B261BA"/>
    <w:rsid w:val="00B27600"/>
    <w:rsid w:val="00B3059B"/>
    <w:rsid w:val="00B3064A"/>
    <w:rsid w:val="00B30E60"/>
    <w:rsid w:val="00B32366"/>
    <w:rsid w:val="00B324CF"/>
    <w:rsid w:val="00B3473A"/>
    <w:rsid w:val="00B36061"/>
    <w:rsid w:val="00B36A9C"/>
    <w:rsid w:val="00B37787"/>
    <w:rsid w:val="00B4128B"/>
    <w:rsid w:val="00B4230E"/>
    <w:rsid w:val="00B4506F"/>
    <w:rsid w:val="00B45255"/>
    <w:rsid w:val="00B45D0C"/>
    <w:rsid w:val="00B46E50"/>
    <w:rsid w:val="00B46F92"/>
    <w:rsid w:val="00B4727E"/>
    <w:rsid w:val="00B474B4"/>
    <w:rsid w:val="00B500E2"/>
    <w:rsid w:val="00B51E64"/>
    <w:rsid w:val="00B53C3B"/>
    <w:rsid w:val="00B54E70"/>
    <w:rsid w:val="00B55827"/>
    <w:rsid w:val="00B56865"/>
    <w:rsid w:val="00B602C9"/>
    <w:rsid w:val="00B62845"/>
    <w:rsid w:val="00B62C56"/>
    <w:rsid w:val="00B64835"/>
    <w:rsid w:val="00B657A0"/>
    <w:rsid w:val="00B65A9F"/>
    <w:rsid w:val="00B66A7E"/>
    <w:rsid w:val="00B702D5"/>
    <w:rsid w:val="00B723C6"/>
    <w:rsid w:val="00B751D8"/>
    <w:rsid w:val="00B800CB"/>
    <w:rsid w:val="00B8074B"/>
    <w:rsid w:val="00B8101A"/>
    <w:rsid w:val="00B8201F"/>
    <w:rsid w:val="00B8586A"/>
    <w:rsid w:val="00B861AB"/>
    <w:rsid w:val="00B87611"/>
    <w:rsid w:val="00B944EB"/>
    <w:rsid w:val="00B94D2B"/>
    <w:rsid w:val="00B95F2B"/>
    <w:rsid w:val="00BA2471"/>
    <w:rsid w:val="00BA2A45"/>
    <w:rsid w:val="00BA5C89"/>
    <w:rsid w:val="00BB27C2"/>
    <w:rsid w:val="00BB28DC"/>
    <w:rsid w:val="00BB7D50"/>
    <w:rsid w:val="00BC77AE"/>
    <w:rsid w:val="00BD0575"/>
    <w:rsid w:val="00BD12AC"/>
    <w:rsid w:val="00BD29BB"/>
    <w:rsid w:val="00BD2A08"/>
    <w:rsid w:val="00BD5E7E"/>
    <w:rsid w:val="00BD75B8"/>
    <w:rsid w:val="00BE125E"/>
    <w:rsid w:val="00BE18CE"/>
    <w:rsid w:val="00BE34C2"/>
    <w:rsid w:val="00BE5440"/>
    <w:rsid w:val="00BE5843"/>
    <w:rsid w:val="00BF0359"/>
    <w:rsid w:val="00BF3AF0"/>
    <w:rsid w:val="00BF775C"/>
    <w:rsid w:val="00C01E8F"/>
    <w:rsid w:val="00C02389"/>
    <w:rsid w:val="00C04169"/>
    <w:rsid w:val="00C0501F"/>
    <w:rsid w:val="00C06F2F"/>
    <w:rsid w:val="00C07885"/>
    <w:rsid w:val="00C136F8"/>
    <w:rsid w:val="00C146F6"/>
    <w:rsid w:val="00C1563C"/>
    <w:rsid w:val="00C17469"/>
    <w:rsid w:val="00C2071A"/>
    <w:rsid w:val="00C20799"/>
    <w:rsid w:val="00C22FB8"/>
    <w:rsid w:val="00C27CE9"/>
    <w:rsid w:val="00C31F64"/>
    <w:rsid w:val="00C3425F"/>
    <w:rsid w:val="00C36279"/>
    <w:rsid w:val="00C40226"/>
    <w:rsid w:val="00C43AC5"/>
    <w:rsid w:val="00C522BD"/>
    <w:rsid w:val="00C53412"/>
    <w:rsid w:val="00C54631"/>
    <w:rsid w:val="00C63F2A"/>
    <w:rsid w:val="00C64F11"/>
    <w:rsid w:val="00C72FB8"/>
    <w:rsid w:val="00C73765"/>
    <w:rsid w:val="00C7412A"/>
    <w:rsid w:val="00C76B21"/>
    <w:rsid w:val="00C907C0"/>
    <w:rsid w:val="00C93837"/>
    <w:rsid w:val="00C950F0"/>
    <w:rsid w:val="00CA398B"/>
    <w:rsid w:val="00CA42D9"/>
    <w:rsid w:val="00CB01CA"/>
    <w:rsid w:val="00CB6473"/>
    <w:rsid w:val="00CB67B4"/>
    <w:rsid w:val="00CB7876"/>
    <w:rsid w:val="00CC3853"/>
    <w:rsid w:val="00CC4CB1"/>
    <w:rsid w:val="00CD08E3"/>
    <w:rsid w:val="00CD36BC"/>
    <w:rsid w:val="00CD6E8D"/>
    <w:rsid w:val="00CD724F"/>
    <w:rsid w:val="00CE188C"/>
    <w:rsid w:val="00CE438C"/>
    <w:rsid w:val="00CF148C"/>
    <w:rsid w:val="00D00D53"/>
    <w:rsid w:val="00D00E0E"/>
    <w:rsid w:val="00D02170"/>
    <w:rsid w:val="00D03058"/>
    <w:rsid w:val="00D0775C"/>
    <w:rsid w:val="00D10FCB"/>
    <w:rsid w:val="00D11D8B"/>
    <w:rsid w:val="00D144FA"/>
    <w:rsid w:val="00D14F92"/>
    <w:rsid w:val="00D15918"/>
    <w:rsid w:val="00D21043"/>
    <w:rsid w:val="00D2211C"/>
    <w:rsid w:val="00D25939"/>
    <w:rsid w:val="00D265EF"/>
    <w:rsid w:val="00D2761D"/>
    <w:rsid w:val="00D463F1"/>
    <w:rsid w:val="00D52109"/>
    <w:rsid w:val="00D524BB"/>
    <w:rsid w:val="00D531F1"/>
    <w:rsid w:val="00D55E91"/>
    <w:rsid w:val="00D561C8"/>
    <w:rsid w:val="00D57CCE"/>
    <w:rsid w:val="00D62DC0"/>
    <w:rsid w:val="00D634C4"/>
    <w:rsid w:val="00D6518B"/>
    <w:rsid w:val="00D65E8E"/>
    <w:rsid w:val="00D66577"/>
    <w:rsid w:val="00D6703D"/>
    <w:rsid w:val="00D70135"/>
    <w:rsid w:val="00D70689"/>
    <w:rsid w:val="00D717DA"/>
    <w:rsid w:val="00D74206"/>
    <w:rsid w:val="00D7659E"/>
    <w:rsid w:val="00D807F8"/>
    <w:rsid w:val="00D815CF"/>
    <w:rsid w:val="00D84BA5"/>
    <w:rsid w:val="00D908A9"/>
    <w:rsid w:val="00D90DD3"/>
    <w:rsid w:val="00D913FB"/>
    <w:rsid w:val="00D946B0"/>
    <w:rsid w:val="00DA2679"/>
    <w:rsid w:val="00DA3039"/>
    <w:rsid w:val="00DA6B88"/>
    <w:rsid w:val="00DA73B6"/>
    <w:rsid w:val="00DB127D"/>
    <w:rsid w:val="00DB1F34"/>
    <w:rsid w:val="00DB2878"/>
    <w:rsid w:val="00DB29ED"/>
    <w:rsid w:val="00DB4432"/>
    <w:rsid w:val="00DB6573"/>
    <w:rsid w:val="00DD0FEE"/>
    <w:rsid w:val="00DD5239"/>
    <w:rsid w:val="00DD62AD"/>
    <w:rsid w:val="00DD7153"/>
    <w:rsid w:val="00DE024A"/>
    <w:rsid w:val="00DE1763"/>
    <w:rsid w:val="00DE2023"/>
    <w:rsid w:val="00DE62FB"/>
    <w:rsid w:val="00DF4F58"/>
    <w:rsid w:val="00DF66FA"/>
    <w:rsid w:val="00E0047A"/>
    <w:rsid w:val="00E0327C"/>
    <w:rsid w:val="00E048AA"/>
    <w:rsid w:val="00E05245"/>
    <w:rsid w:val="00E07895"/>
    <w:rsid w:val="00E11F2F"/>
    <w:rsid w:val="00E13A3A"/>
    <w:rsid w:val="00E14CD2"/>
    <w:rsid w:val="00E15D50"/>
    <w:rsid w:val="00E1722D"/>
    <w:rsid w:val="00E20206"/>
    <w:rsid w:val="00E22C4A"/>
    <w:rsid w:val="00E301AE"/>
    <w:rsid w:val="00E315BC"/>
    <w:rsid w:val="00E334FA"/>
    <w:rsid w:val="00E33610"/>
    <w:rsid w:val="00E35139"/>
    <w:rsid w:val="00E36452"/>
    <w:rsid w:val="00E40271"/>
    <w:rsid w:val="00E42DB3"/>
    <w:rsid w:val="00E44555"/>
    <w:rsid w:val="00E4526A"/>
    <w:rsid w:val="00E50349"/>
    <w:rsid w:val="00E50608"/>
    <w:rsid w:val="00E5165B"/>
    <w:rsid w:val="00E52ABA"/>
    <w:rsid w:val="00E5314F"/>
    <w:rsid w:val="00E53234"/>
    <w:rsid w:val="00E57196"/>
    <w:rsid w:val="00E57812"/>
    <w:rsid w:val="00E63129"/>
    <w:rsid w:val="00E653E3"/>
    <w:rsid w:val="00E66AEE"/>
    <w:rsid w:val="00E70FF5"/>
    <w:rsid w:val="00E736A7"/>
    <w:rsid w:val="00E73D82"/>
    <w:rsid w:val="00E87C26"/>
    <w:rsid w:val="00E87CCD"/>
    <w:rsid w:val="00EA102E"/>
    <w:rsid w:val="00EA2361"/>
    <w:rsid w:val="00EB0987"/>
    <w:rsid w:val="00EB0DFB"/>
    <w:rsid w:val="00EB11D4"/>
    <w:rsid w:val="00EB2042"/>
    <w:rsid w:val="00EB2886"/>
    <w:rsid w:val="00EB398E"/>
    <w:rsid w:val="00EB7271"/>
    <w:rsid w:val="00EC3220"/>
    <w:rsid w:val="00EC4096"/>
    <w:rsid w:val="00EC429C"/>
    <w:rsid w:val="00EC6A51"/>
    <w:rsid w:val="00EC7D5D"/>
    <w:rsid w:val="00ED0199"/>
    <w:rsid w:val="00ED05AC"/>
    <w:rsid w:val="00ED10E2"/>
    <w:rsid w:val="00ED1C40"/>
    <w:rsid w:val="00ED1C6A"/>
    <w:rsid w:val="00EE1BB4"/>
    <w:rsid w:val="00EE4050"/>
    <w:rsid w:val="00EE4149"/>
    <w:rsid w:val="00EE5B17"/>
    <w:rsid w:val="00F04867"/>
    <w:rsid w:val="00F04E3E"/>
    <w:rsid w:val="00F07B35"/>
    <w:rsid w:val="00F10771"/>
    <w:rsid w:val="00F1538C"/>
    <w:rsid w:val="00F1700D"/>
    <w:rsid w:val="00F205E5"/>
    <w:rsid w:val="00F22F29"/>
    <w:rsid w:val="00F240F8"/>
    <w:rsid w:val="00F26B2E"/>
    <w:rsid w:val="00F27A47"/>
    <w:rsid w:val="00F4661E"/>
    <w:rsid w:val="00F51039"/>
    <w:rsid w:val="00F512A3"/>
    <w:rsid w:val="00F51AB4"/>
    <w:rsid w:val="00F520D6"/>
    <w:rsid w:val="00F523A8"/>
    <w:rsid w:val="00F54723"/>
    <w:rsid w:val="00F55356"/>
    <w:rsid w:val="00F57359"/>
    <w:rsid w:val="00F57AF5"/>
    <w:rsid w:val="00F60A86"/>
    <w:rsid w:val="00F62B87"/>
    <w:rsid w:val="00F65208"/>
    <w:rsid w:val="00F67BE6"/>
    <w:rsid w:val="00F702E1"/>
    <w:rsid w:val="00F83726"/>
    <w:rsid w:val="00F846EA"/>
    <w:rsid w:val="00F8481F"/>
    <w:rsid w:val="00F84E5A"/>
    <w:rsid w:val="00F86B33"/>
    <w:rsid w:val="00F9109F"/>
    <w:rsid w:val="00F91C17"/>
    <w:rsid w:val="00F9430F"/>
    <w:rsid w:val="00F949B1"/>
    <w:rsid w:val="00F958EE"/>
    <w:rsid w:val="00F96EEB"/>
    <w:rsid w:val="00F96F8A"/>
    <w:rsid w:val="00F9761F"/>
    <w:rsid w:val="00FA102C"/>
    <w:rsid w:val="00FA504E"/>
    <w:rsid w:val="00FA7C1D"/>
    <w:rsid w:val="00FB0BBE"/>
    <w:rsid w:val="00FB3124"/>
    <w:rsid w:val="00FB32EE"/>
    <w:rsid w:val="00FC5616"/>
    <w:rsid w:val="00FD328C"/>
    <w:rsid w:val="00FD7299"/>
    <w:rsid w:val="00FE2094"/>
    <w:rsid w:val="00FE340E"/>
    <w:rsid w:val="00FE353F"/>
    <w:rsid w:val="00FE764B"/>
    <w:rsid w:val="00FF0A29"/>
    <w:rsid w:val="00FF3617"/>
    <w:rsid w:val="00FF3887"/>
    <w:rsid w:val="00FF3A1F"/>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EF3107-6EBA-4FEE-BAEF-847E5F4A5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52AF0"/>
    <w:pPr>
      <w:spacing w:after="150" w:line="276" w:lineRule="auto"/>
      <w:jc w:val="both"/>
    </w:pPr>
  </w:style>
  <w:style w:type="paragraph" w:styleId="Cmsor1">
    <w:name w:val="heading 1"/>
    <w:aliases w:val=" Char Char,Char Char"/>
    <w:basedOn w:val="Norml"/>
    <w:next w:val="Norml"/>
    <w:link w:val="Cmsor1Char"/>
    <w:qFormat/>
    <w:rsid w:val="00152AF0"/>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152AF0"/>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152AF0"/>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152AF0"/>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152AF0"/>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152AF0"/>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unhideWhenUsed/>
    <w:qFormat/>
    <w:rsid w:val="00152AF0"/>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152AF0"/>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unhideWhenUsed/>
    <w:qFormat/>
    <w:rsid w:val="00152AF0"/>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152AF0"/>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152AF0"/>
  </w:style>
  <w:style w:type="table" w:customStyle="1" w:styleId="tblzat-mtrix">
    <w:name w:val="táblázat - mátrix"/>
    <w:basedOn w:val="Normltblzat"/>
    <w:uiPriority w:val="2"/>
    <w:qFormat/>
    <w:rsid w:val="00152AF0"/>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152AF0"/>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152AF0"/>
    <w:pPr>
      <w:numPr>
        <w:numId w:val="9"/>
      </w:numPr>
      <w:contextualSpacing/>
    </w:pPr>
  </w:style>
  <w:style w:type="character" w:styleId="Hiperhivatkozs">
    <w:name w:val="Hyperlink"/>
    <w:basedOn w:val="Vgjegyzet-hivatkozs"/>
    <w:uiPriority w:val="99"/>
    <w:rsid w:val="00152AF0"/>
    <w:rPr>
      <w:rFonts w:ascii="Calibri" w:hAnsi="Calibri"/>
      <w:color w:val="0000FF"/>
      <w:sz w:val="20"/>
      <w:u w:val="single"/>
      <w:vertAlign w:val="superscript"/>
    </w:rPr>
  </w:style>
  <w:style w:type="table" w:customStyle="1" w:styleId="tblzat-oldallces">
    <w:name w:val="táblázat - oldalléces"/>
    <w:basedOn w:val="Normltblzat"/>
    <w:uiPriority w:val="3"/>
    <w:qFormat/>
    <w:rsid w:val="00152AF0"/>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152AF0"/>
    <w:rPr>
      <w:vertAlign w:val="superscript"/>
    </w:rPr>
  </w:style>
  <w:style w:type="paragraph" w:styleId="Buborkszveg">
    <w:name w:val="Balloon Text"/>
    <w:basedOn w:val="Norml"/>
    <w:link w:val="BuborkszvegChar"/>
    <w:uiPriority w:val="99"/>
    <w:semiHidden/>
    <w:unhideWhenUsed/>
    <w:rsid w:val="00152AF0"/>
    <w:rPr>
      <w:rFonts w:ascii="Tahoma" w:hAnsi="Tahoma" w:cs="Tahoma"/>
      <w:sz w:val="16"/>
      <w:szCs w:val="16"/>
    </w:rPr>
  </w:style>
  <w:style w:type="paragraph" w:customStyle="1" w:styleId="Magyarzszveg">
    <w:name w:val="Magyarázó szöveg"/>
    <w:basedOn w:val="Norml"/>
    <w:next w:val="Norml"/>
    <w:uiPriority w:val="7"/>
    <w:rsid w:val="00152AF0"/>
    <w:rPr>
      <w:color w:val="F6A800" w:themeColor="accent5"/>
      <w:sz w:val="18"/>
    </w:rPr>
  </w:style>
  <w:style w:type="character" w:customStyle="1" w:styleId="BuborkszvegChar">
    <w:name w:val="Buborékszöveg Char"/>
    <w:basedOn w:val="Bekezdsalapbettpusa"/>
    <w:link w:val="Buborkszveg"/>
    <w:uiPriority w:val="99"/>
    <w:semiHidden/>
    <w:rsid w:val="00152AF0"/>
    <w:rPr>
      <w:rFonts w:ascii="Tahoma" w:hAnsi="Tahoma" w:cs="Tahoma"/>
      <w:sz w:val="16"/>
      <w:szCs w:val="16"/>
    </w:rPr>
  </w:style>
  <w:style w:type="paragraph" w:styleId="lfej">
    <w:name w:val="header"/>
    <w:basedOn w:val="Norml"/>
    <w:link w:val="lfejChar"/>
    <w:uiPriority w:val="99"/>
    <w:unhideWhenUsed/>
    <w:rsid w:val="00152AF0"/>
    <w:pPr>
      <w:tabs>
        <w:tab w:val="center" w:pos="4536"/>
        <w:tab w:val="right" w:pos="9072"/>
      </w:tabs>
    </w:pPr>
  </w:style>
  <w:style w:type="character" w:customStyle="1" w:styleId="lfejChar">
    <w:name w:val="Élőfej Char"/>
    <w:basedOn w:val="Bekezdsalapbettpusa"/>
    <w:link w:val="lfej"/>
    <w:uiPriority w:val="99"/>
    <w:rsid w:val="00152AF0"/>
  </w:style>
  <w:style w:type="paragraph" w:styleId="llb">
    <w:name w:val="footer"/>
    <w:basedOn w:val="Norml"/>
    <w:link w:val="llbChar"/>
    <w:uiPriority w:val="99"/>
    <w:unhideWhenUsed/>
    <w:rsid w:val="00152AF0"/>
    <w:pPr>
      <w:tabs>
        <w:tab w:val="center" w:pos="4536"/>
        <w:tab w:val="right" w:pos="9072"/>
      </w:tabs>
    </w:pPr>
  </w:style>
  <w:style w:type="character" w:customStyle="1" w:styleId="llbChar">
    <w:name w:val="Élőláb Char"/>
    <w:basedOn w:val="Bekezdsalapbettpusa"/>
    <w:link w:val="llb"/>
    <w:uiPriority w:val="99"/>
    <w:rsid w:val="00152AF0"/>
  </w:style>
  <w:style w:type="paragraph" w:customStyle="1" w:styleId="Szmozs">
    <w:name w:val="Számozás"/>
    <w:basedOn w:val="Norml"/>
    <w:uiPriority w:val="4"/>
    <w:qFormat/>
    <w:rsid w:val="00152AF0"/>
    <w:pPr>
      <w:numPr>
        <w:numId w:val="4"/>
      </w:numPr>
      <w:spacing w:before="120"/>
      <w:contextualSpacing/>
    </w:pPr>
  </w:style>
  <w:style w:type="table" w:styleId="Rcsostblzat">
    <w:name w:val="Table Grid"/>
    <w:aliases w:val="Szegély nélküli"/>
    <w:basedOn w:val="Normltblzat"/>
    <w:uiPriority w:val="59"/>
    <w:rsid w:val="00152AF0"/>
    <w:pPr>
      <w:contextualSpacing/>
    </w:pPr>
    <w:tblPr/>
    <w:tcPr>
      <w:vAlign w:val="center"/>
    </w:tcPr>
  </w:style>
  <w:style w:type="character" w:customStyle="1" w:styleId="Cmsor4Char">
    <w:name w:val="Címsor 4 Char"/>
    <w:basedOn w:val="Bekezdsalapbettpusa"/>
    <w:link w:val="Cmsor4"/>
    <w:rsid w:val="00152AF0"/>
    <w:rPr>
      <w:iCs/>
      <w:color w:val="0C2148" w:themeColor="text2"/>
      <w:szCs w:val="30"/>
    </w:rPr>
  </w:style>
  <w:style w:type="character" w:customStyle="1" w:styleId="Cmsor5Char">
    <w:name w:val="Címsor 5 Char"/>
    <w:basedOn w:val="Bekezdsalapbettpusa"/>
    <w:link w:val="Cmsor5"/>
    <w:rsid w:val="00152AF0"/>
    <w:rPr>
      <w:color w:val="0C2148" w:themeColor="text2"/>
      <w:szCs w:val="26"/>
    </w:rPr>
  </w:style>
  <w:style w:type="character" w:customStyle="1" w:styleId="Cmsor6Char">
    <w:name w:val="Címsor 6 Char"/>
    <w:basedOn w:val="Bekezdsalapbettpusa"/>
    <w:link w:val="Cmsor6"/>
    <w:rsid w:val="00152AF0"/>
    <w:rPr>
      <w:color w:val="0C2148" w:themeColor="text2"/>
    </w:rPr>
  </w:style>
  <w:style w:type="character" w:customStyle="1" w:styleId="Cmsor1Char">
    <w:name w:val="Címsor 1 Char"/>
    <w:aliases w:val=" Char Char Char,Char Char Char"/>
    <w:basedOn w:val="Bekezdsalapbettpusa"/>
    <w:link w:val="Cmsor1"/>
    <w:rsid w:val="00152AF0"/>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152AF0"/>
    <w:rPr>
      <w:b/>
      <w:color w:val="0C2148" w:themeColor="text2"/>
      <w:sz w:val="24"/>
      <w:szCs w:val="38"/>
    </w:rPr>
  </w:style>
  <w:style w:type="character" w:customStyle="1" w:styleId="Cmsor3Char">
    <w:name w:val="Címsor 3 Char"/>
    <w:basedOn w:val="Bekezdsalapbettpusa"/>
    <w:link w:val="Cmsor3"/>
    <w:rsid w:val="00152AF0"/>
    <w:rPr>
      <w:bCs/>
      <w:color w:val="0C2148" w:themeColor="text2"/>
      <w:szCs w:val="34"/>
    </w:rPr>
  </w:style>
  <w:style w:type="paragraph" w:styleId="Cm">
    <w:name w:val="Title"/>
    <w:basedOn w:val="Norml"/>
    <w:next w:val="Norml"/>
    <w:link w:val="CmChar"/>
    <w:uiPriority w:val="3"/>
    <w:qFormat/>
    <w:rsid w:val="00152AF0"/>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152AF0"/>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rsid w:val="00152AF0"/>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152AF0"/>
    <w:rPr>
      <w:rFonts w:eastAsiaTheme="majorEastAsia" w:cstheme="majorBidi"/>
      <w:color w:val="404040" w:themeColor="text1" w:themeTint="BF"/>
    </w:rPr>
  </w:style>
  <w:style w:type="character" w:customStyle="1" w:styleId="Cmsor9Char">
    <w:name w:val="Címsor 9 Char"/>
    <w:basedOn w:val="Bekezdsalapbettpusa"/>
    <w:link w:val="Cmsor9"/>
    <w:uiPriority w:val="9"/>
    <w:rsid w:val="00152AF0"/>
    <w:rPr>
      <w:rFonts w:eastAsiaTheme="majorEastAsia" w:cstheme="majorBidi"/>
      <w:i/>
      <w:iCs/>
      <w:color w:val="404040" w:themeColor="text1" w:themeTint="BF"/>
    </w:rPr>
  </w:style>
  <w:style w:type="numbering" w:customStyle="1" w:styleId="Style1">
    <w:name w:val="Style1"/>
    <w:uiPriority w:val="99"/>
    <w:rsid w:val="00152AF0"/>
    <w:pPr>
      <w:numPr>
        <w:numId w:val="1"/>
      </w:numPr>
    </w:pPr>
  </w:style>
  <w:style w:type="paragraph" w:styleId="TJ7">
    <w:name w:val="toc 7"/>
    <w:basedOn w:val="Norml"/>
    <w:next w:val="Norml"/>
    <w:autoRedefine/>
    <w:uiPriority w:val="99"/>
    <w:semiHidden/>
    <w:locked/>
    <w:rsid w:val="00152AF0"/>
    <w:pPr>
      <w:spacing w:after="100"/>
      <w:ind w:left="1200"/>
    </w:pPr>
    <w:rPr>
      <w:color w:val="385623" w:themeColor="accent6" w:themeShade="80"/>
    </w:rPr>
  </w:style>
  <w:style w:type="paragraph" w:styleId="TJ8">
    <w:name w:val="toc 8"/>
    <w:basedOn w:val="Norml"/>
    <w:next w:val="Norml"/>
    <w:autoRedefine/>
    <w:uiPriority w:val="99"/>
    <w:semiHidden/>
    <w:locked/>
    <w:rsid w:val="00152AF0"/>
    <w:pPr>
      <w:spacing w:after="100"/>
      <w:ind w:left="1400"/>
    </w:pPr>
    <w:rPr>
      <w:color w:val="385623" w:themeColor="accent6" w:themeShade="80"/>
    </w:rPr>
  </w:style>
  <w:style w:type="paragraph" w:styleId="TJ9">
    <w:name w:val="toc 9"/>
    <w:basedOn w:val="Norml"/>
    <w:next w:val="Norml"/>
    <w:autoRedefine/>
    <w:uiPriority w:val="99"/>
    <w:semiHidden/>
    <w:locked/>
    <w:rsid w:val="00152AF0"/>
    <w:pPr>
      <w:spacing w:after="100"/>
      <w:ind w:left="1600"/>
    </w:pPr>
    <w:rPr>
      <w:color w:val="385623" w:themeColor="accent6" w:themeShade="80"/>
    </w:rPr>
  </w:style>
  <w:style w:type="table" w:customStyle="1" w:styleId="Calendar2">
    <w:name w:val="Calendar 2"/>
    <w:basedOn w:val="Normltblzat"/>
    <w:uiPriority w:val="99"/>
    <w:qFormat/>
    <w:rsid w:val="00152AF0"/>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152AF0"/>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152AF0"/>
    <w:rPr>
      <w:rFonts w:eastAsiaTheme="minorEastAsia"/>
      <w:color w:val="0C2148" w:themeColor="text2"/>
      <w:sz w:val="16"/>
    </w:rPr>
  </w:style>
  <w:style w:type="character" w:styleId="Finomkiemels">
    <w:name w:val="Subtle Emphasis"/>
    <w:basedOn w:val="Bekezdsalapbettpusa"/>
    <w:uiPriority w:val="19"/>
    <w:qFormat/>
    <w:rsid w:val="00152AF0"/>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152AF0"/>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152AF0"/>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152AF0"/>
    <w:rPr>
      <w:color w:val="385623" w:themeColor="accent6" w:themeShade="80"/>
    </w:rPr>
  </w:style>
  <w:style w:type="character" w:customStyle="1" w:styleId="VgjegyzetszvegeChar">
    <w:name w:val="Végjegyzet szövege Char"/>
    <w:basedOn w:val="Bekezdsalapbettpusa"/>
    <w:link w:val="Vgjegyzetszvege"/>
    <w:uiPriority w:val="99"/>
    <w:semiHidden/>
    <w:rsid w:val="00152AF0"/>
    <w:rPr>
      <w:color w:val="385623" w:themeColor="accent6" w:themeShade="80"/>
    </w:rPr>
  </w:style>
  <w:style w:type="table" w:customStyle="1" w:styleId="Vilgosrnykols1jellszn1">
    <w:name w:val="Világos árnyékolás – 1. jelölőszín1"/>
    <w:basedOn w:val="Normltblzat"/>
    <w:uiPriority w:val="60"/>
    <w:rsid w:val="00152AF0"/>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152AF0"/>
    <w:pPr>
      <w:numPr>
        <w:numId w:val="5"/>
      </w:numPr>
    </w:pPr>
  </w:style>
  <w:style w:type="paragraph" w:customStyle="1" w:styleId="Tblaszvegstlus">
    <w:name w:val="Tábla szöveg stílus"/>
    <w:basedOn w:val="Norml"/>
    <w:link w:val="TblaszvegstlusChar"/>
    <w:uiPriority w:val="8"/>
    <w:qFormat/>
    <w:rsid w:val="00152AF0"/>
  </w:style>
  <w:style w:type="character" w:customStyle="1" w:styleId="ListaszerbekezdsChar">
    <w:name w:val="Listaszerű bekezdés Char"/>
    <w:basedOn w:val="Bekezdsalapbettpusa"/>
    <w:link w:val="Listaszerbekezds"/>
    <w:uiPriority w:val="4"/>
    <w:rsid w:val="00152AF0"/>
  </w:style>
  <w:style w:type="character" w:customStyle="1" w:styleId="Listaszerbekezds2Char">
    <w:name w:val="Listaszerű bekezdés 2 Char"/>
    <w:basedOn w:val="ListaszerbekezdsChar"/>
    <w:link w:val="Listaszerbekezds2"/>
    <w:uiPriority w:val="4"/>
    <w:rsid w:val="00152AF0"/>
  </w:style>
  <w:style w:type="character" w:customStyle="1" w:styleId="TblaszvegstlusChar">
    <w:name w:val="Tábla szöveg stílus Char"/>
    <w:basedOn w:val="Bekezdsalapbettpusa"/>
    <w:link w:val="Tblaszvegstlus"/>
    <w:uiPriority w:val="8"/>
    <w:rsid w:val="00152AF0"/>
  </w:style>
  <w:style w:type="character" w:styleId="Finomhivatkozs">
    <w:name w:val="Subtle Reference"/>
    <w:basedOn w:val="Bekezdsalapbettpusa"/>
    <w:uiPriority w:val="31"/>
    <w:rsid w:val="00152AF0"/>
    <w:rPr>
      <w:sz w:val="24"/>
      <w:szCs w:val="24"/>
      <w:u w:val="single"/>
    </w:rPr>
  </w:style>
  <w:style w:type="character" w:styleId="Ershivatkozs">
    <w:name w:val="Intense Reference"/>
    <w:basedOn w:val="Bekezdsalapbettpusa"/>
    <w:uiPriority w:val="32"/>
    <w:rsid w:val="00152AF0"/>
    <w:rPr>
      <w:b/>
      <w:sz w:val="24"/>
      <w:u w:val="single"/>
    </w:rPr>
  </w:style>
  <w:style w:type="paragraph" w:customStyle="1" w:styleId="Listaszerbekezds2szint">
    <w:name w:val="Listaszerű bekezdés 2. szint"/>
    <w:basedOn w:val="Listaszerbekezds"/>
    <w:link w:val="Listaszerbekezds2szintChar"/>
    <w:uiPriority w:val="4"/>
    <w:qFormat/>
    <w:rsid w:val="00152AF0"/>
    <w:pPr>
      <w:numPr>
        <w:numId w:val="8"/>
      </w:numPr>
    </w:pPr>
  </w:style>
  <w:style w:type="paragraph" w:customStyle="1" w:styleId="Listaszerbekezds3szint">
    <w:name w:val="Listaszerű bekezdés 3. szint"/>
    <w:basedOn w:val="Listaszerbekezds"/>
    <w:link w:val="Listaszerbekezds3szintChar"/>
    <w:uiPriority w:val="4"/>
    <w:qFormat/>
    <w:rsid w:val="00152AF0"/>
    <w:pPr>
      <w:numPr>
        <w:ilvl w:val="2"/>
        <w:numId w:val="10"/>
      </w:numPr>
    </w:pPr>
  </w:style>
  <w:style w:type="character" w:customStyle="1" w:styleId="Listaszerbekezds2szintChar">
    <w:name w:val="Listaszerű bekezdés 2. szint Char"/>
    <w:basedOn w:val="ListaszerbekezdsChar"/>
    <w:link w:val="Listaszerbekezds2szint"/>
    <w:uiPriority w:val="4"/>
    <w:rsid w:val="00152AF0"/>
  </w:style>
  <w:style w:type="character" w:customStyle="1" w:styleId="Listaszerbekezds3szintChar">
    <w:name w:val="Listaszerű bekezdés 3. szint Char"/>
    <w:basedOn w:val="ListaszerbekezdsChar"/>
    <w:link w:val="Listaszerbekezds3szint"/>
    <w:uiPriority w:val="4"/>
    <w:rsid w:val="00152AF0"/>
  </w:style>
  <w:style w:type="paragraph" w:styleId="Alcm">
    <w:name w:val="Subtitle"/>
    <w:basedOn w:val="Norml"/>
    <w:next w:val="Norml"/>
    <w:link w:val="AlcmChar"/>
    <w:uiPriority w:val="11"/>
    <w:rsid w:val="00152AF0"/>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152AF0"/>
    <w:rPr>
      <w:rFonts w:eastAsiaTheme="majorEastAsia" w:cstheme="majorBidi"/>
    </w:rPr>
  </w:style>
  <w:style w:type="paragraph" w:customStyle="1" w:styleId="Listabetvel">
    <w:name w:val="Lista betűvel"/>
    <w:basedOn w:val="Listaszerbekezds"/>
    <w:link w:val="ListabetvelChar"/>
    <w:uiPriority w:val="4"/>
    <w:qFormat/>
    <w:rsid w:val="00152AF0"/>
    <w:pPr>
      <w:numPr>
        <w:numId w:val="7"/>
      </w:numPr>
    </w:pPr>
  </w:style>
  <w:style w:type="character" w:customStyle="1" w:styleId="ListabetvelChar">
    <w:name w:val="Lista betűvel Char"/>
    <w:basedOn w:val="ListaszerbekezdsChar"/>
    <w:link w:val="Listabetvel"/>
    <w:uiPriority w:val="4"/>
    <w:rsid w:val="00152AF0"/>
  </w:style>
  <w:style w:type="paragraph" w:customStyle="1" w:styleId="Erskiemels1">
    <w:name w:val="Erős kiemelés1"/>
    <w:basedOn w:val="Norml"/>
    <w:link w:val="ErskiemelsChar"/>
    <w:uiPriority w:val="5"/>
    <w:qFormat/>
    <w:rsid w:val="00152AF0"/>
    <w:rPr>
      <w:b/>
      <w:i/>
    </w:rPr>
  </w:style>
  <w:style w:type="character" w:customStyle="1" w:styleId="ErskiemelsChar">
    <w:name w:val="Erős kiemelés Char"/>
    <w:basedOn w:val="Bekezdsalapbettpusa"/>
    <w:link w:val="Erskiemels1"/>
    <w:uiPriority w:val="5"/>
    <w:rsid w:val="00152AF0"/>
    <w:rPr>
      <w:b/>
      <w:i/>
    </w:rPr>
  </w:style>
  <w:style w:type="paragraph" w:customStyle="1" w:styleId="Bold">
    <w:name w:val="Bold"/>
    <w:basedOn w:val="Norml"/>
    <w:link w:val="BoldChar"/>
    <w:uiPriority w:val="6"/>
    <w:qFormat/>
    <w:rsid w:val="00152AF0"/>
    <w:rPr>
      <w:b/>
    </w:rPr>
  </w:style>
  <w:style w:type="character" w:customStyle="1" w:styleId="BoldChar">
    <w:name w:val="Bold Char"/>
    <w:basedOn w:val="Bekezdsalapbettpusa"/>
    <w:link w:val="Bold"/>
    <w:uiPriority w:val="6"/>
    <w:rsid w:val="00152AF0"/>
    <w:rPr>
      <w:b/>
    </w:rPr>
  </w:style>
  <w:style w:type="character" w:styleId="Mrltotthiperhivatkozs">
    <w:name w:val="FollowedHyperlink"/>
    <w:basedOn w:val="Bekezdsalapbettpusa"/>
    <w:uiPriority w:val="99"/>
    <w:semiHidden/>
    <w:unhideWhenUsed/>
    <w:rsid w:val="00152AF0"/>
    <w:rPr>
      <w:color w:val="954F72" w:themeColor="followedHyperlink"/>
      <w:u w:val="single"/>
    </w:rPr>
  </w:style>
  <w:style w:type="paragraph" w:styleId="Tartalomjegyzkcmsora">
    <w:name w:val="TOC Heading"/>
    <w:basedOn w:val="Cmsor1"/>
    <w:next w:val="Norml"/>
    <w:uiPriority w:val="39"/>
    <w:unhideWhenUsed/>
    <w:qFormat/>
    <w:rsid w:val="00152AF0"/>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152AF0"/>
    <w:pPr>
      <w:spacing w:after="100"/>
      <w:ind w:left="220"/>
      <w:jc w:val="left"/>
    </w:pPr>
    <w:rPr>
      <w:rFonts w:eastAsiaTheme="minorEastAsia"/>
    </w:rPr>
  </w:style>
  <w:style w:type="paragraph" w:styleId="TJ1">
    <w:name w:val="toc 1"/>
    <w:basedOn w:val="Norml"/>
    <w:next w:val="Norml"/>
    <w:autoRedefine/>
    <w:uiPriority w:val="39"/>
    <w:unhideWhenUsed/>
    <w:qFormat/>
    <w:locked/>
    <w:rsid w:val="00152AF0"/>
    <w:pPr>
      <w:spacing w:after="100"/>
      <w:jc w:val="left"/>
    </w:pPr>
    <w:rPr>
      <w:rFonts w:eastAsiaTheme="minorEastAsia"/>
    </w:rPr>
  </w:style>
  <w:style w:type="paragraph" w:styleId="TJ3">
    <w:name w:val="toc 3"/>
    <w:basedOn w:val="Norml"/>
    <w:next w:val="Norml"/>
    <w:uiPriority w:val="39"/>
    <w:unhideWhenUsed/>
    <w:qFormat/>
    <w:locked/>
    <w:rsid w:val="00152AF0"/>
    <w:pPr>
      <w:spacing w:after="100"/>
      <w:ind w:left="400"/>
    </w:pPr>
  </w:style>
  <w:style w:type="paragraph" w:customStyle="1" w:styleId="StyleTOC2Left015">
    <w:name w:val="Style TOC 2 + Left:  0.15&quot;"/>
    <w:basedOn w:val="TJ2"/>
    <w:rsid w:val="00152AF0"/>
    <w:pPr>
      <w:ind w:left="216"/>
    </w:pPr>
    <w:rPr>
      <w:rFonts w:eastAsia="Times New Roman" w:cs="Times New Roman"/>
    </w:rPr>
  </w:style>
  <w:style w:type="paragraph" w:customStyle="1" w:styleId="StyleTOC3Left031">
    <w:name w:val="Style TOC 3 + Left:  0.31&quot;"/>
    <w:basedOn w:val="TJ3"/>
    <w:rsid w:val="00152AF0"/>
    <w:pPr>
      <w:ind w:left="446"/>
    </w:pPr>
    <w:rPr>
      <w:rFonts w:eastAsia="Times New Roman" w:cs="Times New Roman"/>
    </w:rPr>
  </w:style>
  <w:style w:type="numbering" w:customStyle="1" w:styleId="Hierarchikuslista">
    <w:name w:val="Hierarchikus lista"/>
    <w:uiPriority w:val="99"/>
    <w:rsid w:val="00152AF0"/>
    <w:pPr>
      <w:numPr>
        <w:numId w:val="2"/>
      </w:numPr>
    </w:pPr>
  </w:style>
  <w:style w:type="paragraph" w:customStyle="1" w:styleId="HierarchikusLista0">
    <w:name w:val="Hierarchikus Lista"/>
    <w:basedOn w:val="Listaszerbekezds"/>
    <w:link w:val="HierarchikusListaChar"/>
    <w:qFormat/>
    <w:rsid w:val="00152AF0"/>
    <w:pPr>
      <w:numPr>
        <w:numId w:val="0"/>
      </w:numPr>
    </w:pPr>
  </w:style>
  <w:style w:type="character" w:customStyle="1" w:styleId="HierarchikusListaChar">
    <w:name w:val="Hierarchikus Lista Char"/>
    <w:basedOn w:val="ListaszerbekezdsChar"/>
    <w:link w:val="HierarchikusLista0"/>
    <w:rsid w:val="00152AF0"/>
  </w:style>
  <w:style w:type="character" w:styleId="Kiemels2">
    <w:name w:val="Strong"/>
    <w:basedOn w:val="Bekezdsalapbettpusa"/>
    <w:uiPriority w:val="22"/>
    <w:rsid w:val="00152AF0"/>
    <w:rPr>
      <w:b/>
      <w:bCs/>
    </w:rPr>
  </w:style>
  <w:style w:type="character" w:styleId="Kiemels">
    <w:name w:val="Emphasis"/>
    <w:basedOn w:val="Bekezdsalapbettpusa"/>
    <w:uiPriority w:val="6"/>
    <w:qFormat/>
    <w:rsid w:val="00152AF0"/>
    <w:rPr>
      <w:i/>
      <w:iCs/>
    </w:rPr>
  </w:style>
  <w:style w:type="paragraph" w:styleId="Nincstrkz">
    <w:name w:val="No Spacing"/>
    <w:basedOn w:val="Norml"/>
    <w:uiPriority w:val="1"/>
    <w:rsid w:val="00152AF0"/>
    <w:rPr>
      <w:szCs w:val="32"/>
    </w:rPr>
  </w:style>
  <w:style w:type="paragraph" w:styleId="Idzet">
    <w:name w:val="Quote"/>
    <w:basedOn w:val="Norml"/>
    <w:next w:val="Norml"/>
    <w:link w:val="IdzetChar"/>
    <w:uiPriority w:val="29"/>
    <w:rsid w:val="00152AF0"/>
    <w:rPr>
      <w:i/>
    </w:rPr>
  </w:style>
  <w:style w:type="character" w:customStyle="1" w:styleId="IdzetChar">
    <w:name w:val="Idézet Char"/>
    <w:basedOn w:val="Bekezdsalapbettpusa"/>
    <w:link w:val="Idzet"/>
    <w:uiPriority w:val="29"/>
    <w:rsid w:val="00152AF0"/>
    <w:rPr>
      <w:i/>
    </w:rPr>
  </w:style>
  <w:style w:type="paragraph" w:styleId="Kiemeltidzet">
    <w:name w:val="Intense Quote"/>
    <w:basedOn w:val="Norml"/>
    <w:next w:val="Norml"/>
    <w:link w:val="KiemeltidzetChar"/>
    <w:uiPriority w:val="30"/>
    <w:rsid w:val="00152AF0"/>
    <w:pPr>
      <w:ind w:left="720" w:right="720"/>
    </w:pPr>
    <w:rPr>
      <w:b/>
      <w:i/>
    </w:rPr>
  </w:style>
  <w:style w:type="character" w:customStyle="1" w:styleId="KiemeltidzetChar">
    <w:name w:val="Kiemelt idézet Char"/>
    <w:basedOn w:val="Bekezdsalapbettpusa"/>
    <w:link w:val="Kiemeltidzet"/>
    <w:uiPriority w:val="30"/>
    <w:rsid w:val="00152AF0"/>
    <w:rPr>
      <w:b/>
      <w:i/>
    </w:rPr>
  </w:style>
  <w:style w:type="character" w:styleId="Erskiemels">
    <w:name w:val="Intense Emphasis"/>
    <w:basedOn w:val="Bekezdsalapbettpusa"/>
    <w:uiPriority w:val="21"/>
    <w:rsid w:val="00152AF0"/>
    <w:rPr>
      <w:b/>
      <w:i/>
      <w:sz w:val="24"/>
      <w:szCs w:val="24"/>
      <w:u w:val="single"/>
    </w:rPr>
  </w:style>
  <w:style w:type="character" w:styleId="Knyvcme">
    <w:name w:val="Book Title"/>
    <w:basedOn w:val="Bekezdsalapbettpusa"/>
    <w:uiPriority w:val="33"/>
    <w:rsid w:val="00152AF0"/>
    <w:rPr>
      <w:rFonts w:ascii="Calibri" w:eastAsiaTheme="majorEastAsia" w:hAnsi="Calibri"/>
      <w:b/>
      <w:i/>
      <w:sz w:val="24"/>
      <w:szCs w:val="24"/>
    </w:rPr>
  </w:style>
  <w:style w:type="paragraph" w:customStyle="1" w:styleId="Szvegdobozstlus">
    <w:name w:val="Szövegdoboz stílus"/>
    <w:basedOn w:val="HierarchikusLista0"/>
    <w:qFormat/>
    <w:rsid w:val="00152AF0"/>
    <w:rPr>
      <w:b/>
      <w:i/>
      <w:color w:val="009EE0"/>
    </w:rPr>
  </w:style>
  <w:style w:type="table" w:customStyle="1" w:styleId="Rcsos">
    <w:name w:val="Rácsos"/>
    <w:basedOn w:val="Normltblzat"/>
    <w:uiPriority w:val="99"/>
    <w:rsid w:val="00152AF0"/>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152AF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152AF0"/>
    <w:pPr>
      <w:keepNext/>
      <w:spacing w:after="40"/>
      <w:jc w:val="center"/>
    </w:pPr>
    <w:rPr>
      <w:b/>
      <w:bCs/>
      <w:color w:val="808080"/>
      <w:szCs w:val="18"/>
    </w:rPr>
  </w:style>
  <w:style w:type="paragraph" w:customStyle="1" w:styleId="ENCaption2Col">
    <w:name w:val="EN_Caption_2Col"/>
    <w:basedOn w:val="Norml"/>
    <w:next w:val="Norml"/>
    <w:uiPriority w:val="1"/>
    <w:qFormat/>
    <w:rsid w:val="00152AF0"/>
    <w:pPr>
      <w:keepNext/>
      <w:spacing w:after="40"/>
      <w:jc w:val="left"/>
    </w:pPr>
    <w:rPr>
      <w:b/>
      <w:bCs/>
      <w:color w:val="808080"/>
      <w:szCs w:val="18"/>
    </w:rPr>
  </w:style>
  <w:style w:type="paragraph" w:customStyle="1" w:styleId="ENCaptionBox">
    <w:name w:val="EN_Caption_Box"/>
    <w:basedOn w:val="Norml"/>
    <w:next w:val="Norml"/>
    <w:uiPriority w:val="1"/>
    <w:qFormat/>
    <w:rsid w:val="00152AF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152AF0"/>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152AF0"/>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152AF0"/>
    <w:rPr>
      <w:rFonts w:eastAsiaTheme="minorEastAsia"/>
      <w:color w:val="808080"/>
      <w:sz w:val="18"/>
    </w:rPr>
  </w:style>
  <w:style w:type="paragraph" w:customStyle="1" w:styleId="ENNormal">
    <w:name w:val="EN_Normal"/>
    <w:basedOn w:val="Norml"/>
    <w:uiPriority w:val="1"/>
    <w:qFormat/>
    <w:rsid w:val="00152AF0"/>
  </w:style>
  <w:style w:type="paragraph" w:customStyle="1" w:styleId="ENNormalBox">
    <w:name w:val="EN_Normal_Box"/>
    <w:basedOn w:val="Norml"/>
    <w:uiPriority w:val="1"/>
    <w:qFormat/>
    <w:rsid w:val="00152AF0"/>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152AF0"/>
    <w:pPr>
      <w:keepLines/>
      <w:jc w:val="center"/>
    </w:pPr>
    <w:rPr>
      <w:color w:val="808080"/>
      <w:sz w:val="18"/>
    </w:rPr>
  </w:style>
  <w:style w:type="paragraph" w:customStyle="1" w:styleId="ENNote2Col">
    <w:name w:val="EN_Note_2Col"/>
    <w:basedOn w:val="Norml"/>
    <w:next w:val="ENNormal"/>
    <w:uiPriority w:val="1"/>
    <w:qFormat/>
    <w:rsid w:val="00152AF0"/>
    <w:pPr>
      <w:keepLines/>
    </w:pPr>
    <w:rPr>
      <w:color w:val="808080"/>
      <w:sz w:val="18"/>
    </w:rPr>
  </w:style>
  <w:style w:type="paragraph" w:customStyle="1" w:styleId="ENNoteBox">
    <w:name w:val="EN_Note_Box"/>
    <w:basedOn w:val="Norml"/>
    <w:next w:val="ENNormalBox"/>
    <w:uiPriority w:val="1"/>
    <w:qFormat/>
    <w:rsid w:val="00152AF0"/>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152AF0"/>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152AF0"/>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152AF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152AF0"/>
    <w:pPr>
      <w:keepNext/>
      <w:spacing w:after="40"/>
      <w:jc w:val="center"/>
    </w:pPr>
    <w:rPr>
      <w:sz w:val="20"/>
    </w:rPr>
  </w:style>
  <w:style w:type="paragraph" w:customStyle="1" w:styleId="HUCaption2Col">
    <w:name w:val="HU_Caption_2Col"/>
    <w:basedOn w:val="Kpalrs"/>
    <w:next w:val="Norml"/>
    <w:uiPriority w:val="1"/>
    <w:qFormat/>
    <w:rsid w:val="00152AF0"/>
    <w:pPr>
      <w:keepNext/>
      <w:spacing w:after="40"/>
    </w:pPr>
    <w:rPr>
      <w:sz w:val="20"/>
    </w:rPr>
  </w:style>
  <w:style w:type="paragraph" w:customStyle="1" w:styleId="HUCaptionBox">
    <w:name w:val="HU_Caption_Box"/>
    <w:basedOn w:val="Kpalrs"/>
    <w:next w:val="Norml"/>
    <w:uiPriority w:val="1"/>
    <w:qFormat/>
    <w:rsid w:val="00152AF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152AF0"/>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152AF0"/>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152AF0"/>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152AF0"/>
    <w:rPr>
      <w:caps/>
      <w:color w:val="0C2148" w:themeColor="text2"/>
    </w:rPr>
  </w:style>
  <w:style w:type="paragraph" w:customStyle="1" w:styleId="HUFootnote">
    <w:name w:val="HU_Footnote"/>
    <w:basedOn w:val="Lbjegyzetszveg"/>
    <w:uiPriority w:val="1"/>
    <w:qFormat/>
    <w:rsid w:val="00152AF0"/>
    <w:rPr>
      <w:color w:val="808080"/>
      <w:sz w:val="18"/>
    </w:rPr>
  </w:style>
  <w:style w:type="paragraph" w:customStyle="1" w:styleId="HUNormalBox">
    <w:name w:val="HU_Normal_Box"/>
    <w:basedOn w:val="Norml"/>
    <w:uiPriority w:val="1"/>
    <w:qFormat/>
    <w:rsid w:val="00152AF0"/>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152AF0"/>
    <w:pPr>
      <w:keepLines/>
      <w:jc w:val="center"/>
    </w:pPr>
    <w:rPr>
      <w:color w:val="808080"/>
      <w:sz w:val="18"/>
    </w:rPr>
  </w:style>
  <w:style w:type="paragraph" w:customStyle="1" w:styleId="HUNote2Col">
    <w:name w:val="HU_Note_2Col"/>
    <w:basedOn w:val="Norml"/>
    <w:next w:val="Norml"/>
    <w:uiPriority w:val="1"/>
    <w:qFormat/>
    <w:rsid w:val="00152AF0"/>
    <w:pPr>
      <w:keepLines/>
    </w:pPr>
    <w:rPr>
      <w:color w:val="808080"/>
      <w:sz w:val="18"/>
    </w:rPr>
  </w:style>
  <w:style w:type="paragraph" w:customStyle="1" w:styleId="HUNoteBox">
    <w:name w:val="HU_Note_Box"/>
    <w:basedOn w:val="Norml"/>
    <w:next w:val="HUNormalBox"/>
    <w:link w:val="HUNoteBoxChar"/>
    <w:uiPriority w:val="1"/>
    <w:qFormat/>
    <w:rsid w:val="00152AF0"/>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152AF0"/>
    <w:rPr>
      <w:color w:val="808080"/>
      <w:sz w:val="18"/>
      <w:shd w:val="clear" w:color="auto" w:fill="C6EEFF"/>
    </w:rPr>
  </w:style>
  <w:style w:type="paragraph" w:customStyle="1" w:styleId="HUSectionTitle">
    <w:name w:val="HU_Section_Title"/>
    <w:basedOn w:val="Cmsor2"/>
    <w:next w:val="Norml"/>
    <w:link w:val="HUSectionTitleChar"/>
    <w:uiPriority w:val="1"/>
    <w:rsid w:val="00152AF0"/>
    <w:pPr>
      <w:keepNext/>
    </w:pPr>
  </w:style>
  <w:style w:type="character" w:customStyle="1" w:styleId="HUSectionTitleChar">
    <w:name w:val="HU_Section_Title Char"/>
    <w:basedOn w:val="Cmsor2Char"/>
    <w:link w:val="HUSectionTitle"/>
    <w:uiPriority w:val="1"/>
    <w:rsid w:val="00152AF0"/>
    <w:rPr>
      <w:b/>
      <w:color w:val="0C2148" w:themeColor="text2"/>
      <w:sz w:val="24"/>
      <w:szCs w:val="38"/>
    </w:rPr>
  </w:style>
  <w:style w:type="paragraph" w:customStyle="1" w:styleId="HUSubsectionTitle">
    <w:name w:val="HU_Subsection_Title"/>
    <w:basedOn w:val="Cmsor3"/>
    <w:next w:val="Norml"/>
    <w:link w:val="HUSubsectionTitleChar"/>
    <w:uiPriority w:val="1"/>
    <w:rsid w:val="00152AF0"/>
    <w:pPr>
      <w:keepNext/>
      <w:ind w:left="595" w:hanging="595"/>
    </w:pPr>
  </w:style>
  <w:style w:type="character" w:customStyle="1" w:styleId="HUSubsectionTitleChar">
    <w:name w:val="HU_Subsection_Title Char"/>
    <w:basedOn w:val="Cmsor3Char"/>
    <w:link w:val="HUSubsectionTitle"/>
    <w:uiPriority w:val="1"/>
    <w:rsid w:val="00152AF0"/>
    <w:rPr>
      <w:bCs/>
      <w:color w:val="0C2148" w:themeColor="text2"/>
      <w:szCs w:val="34"/>
    </w:rPr>
  </w:style>
  <w:style w:type="paragraph" w:customStyle="1" w:styleId="Heading1Kiadvny">
    <w:name w:val="Heading 1 Kiadvány"/>
    <w:basedOn w:val="Cmsor1"/>
    <w:qFormat/>
    <w:rsid w:val="00152AF0"/>
    <w:rPr>
      <w:b w:val="0"/>
      <w:caps w:val="0"/>
      <w:sz w:val="52"/>
    </w:rPr>
  </w:style>
  <w:style w:type="paragraph" w:customStyle="1" w:styleId="Default">
    <w:name w:val="Default"/>
    <w:rsid w:val="00AA779D"/>
    <w:pPr>
      <w:autoSpaceDE w:val="0"/>
      <w:autoSpaceDN w:val="0"/>
      <w:adjustRightInd w:val="0"/>
    </w:pPr>
    <w:rPr>
      <w:rFonts w:ascii="Times New Roman" w:eastAsia="Calibri" w:hAnsi="Times New Roman" w:cs="Times New Roman"/>
      <w:color w:val="000000"/>
      <w:sz w:val="24"/>
      <w:szCs w:val="24"/>
    </w:rPr>
  </w:style>
  <w:style w:type="paragraph" w:styleId="Szvegtrzs">
    <w:name w:val="Body Text"/>
    <w:basedOn w:val="Norml"/>
    <w:link w:val="SzvegtrzsChar"/>
    <w:rsid w:val="002619D7"/>
    <w:pPr>
      <w:widowControl w:val="0"/>
    </w:pPr>
    <w:rPr>
      <w:spacing w:val="-6"/>
      <w:lang w:val="x-none" w:eastAsia="x-none"/>
    </w:rPr>
  </w:style>
  <w:style w:type="character" w:customStyle="1" w:styleId="SzvegtrzsChar">
    <w:name w:val="Szövegtörzs Char"/>
    <w:basedOn w:val="Bekezdsalapbettpusa"/>
    <w:link w:val="Szvegtrzs"/>
    <w:rsid w:val="00AA779D"/>
    <w:rPr>
      <w:spacing w:val="-6"/>
      <w:lang w:val="x-none" w:eastAsia="x-none"/>
    </w:rPr>
  </w:style>
  <w:style w:type="character" w:styleId="Lbjegyzet-hivatkozs">
    <w:name w:val="footnote reference"/>
    <w:basedOn w:val="Bekezdsalapbettpusa"/>
    <w:uiPriority w:val="99"/>
    <w:semiHidden/>
    <w:unhideWhenUsed/>
    <w:rsid w:val="00AA779D"/>
    <w:rPr>
      <w:vertAlign w:val="superscript"/>
    </w:rPr>
  </w:style>
  <w:style w:type="character" w:styleId="Jegyzethivatkozs">
    <w:name w:val="annotation reference"/>
    <w:basedOn w:val="Bekezdsalapbettpusa"/>
    <w:uiPriority w:val="99"/>
    <w:semiHidden/>
    <w:unhideWhenUsed/>
    <w:rsid w:val="004222C9"/>
    <w:rPr>
      <w:sz w:val="16"/>
      <w:szCs w:val="16"/>
    </w:rPr>
  </w:style>
  <w:style w:type="paragraph" w:styleId="Jegyzetszveg">
    <w:name w:val="annotation text"/>
    <w:basedOn w:val="Norml"/>
    <w:link w:val="JegyzetszvegChar"/>
    <w:uiPriority w:val="99"/>
    <w:unhideWhenUsed/>
    <w:rsid w:val="004222C9"/>
  </w:style>
  <w:style w:type="character" w:customStyle="1" w:styleId="JegyzetszvegChar">
    <w:name w:val="Jegyzetszöveg Char"/>
    <w:basedOn w:val="Bekezdsalapbettpusa"/>
    <w:link w:val="Jegyzetszveg"/>
    <w:uiPriority w:val="99"/>
    <w:rsid w:val="004222C9"/>
    <w:rPr>
      <w:rFonts w:ascii="Times New Roman" w:eastAsia="Times New Roman" w:hAnsi="Times New Roman" w:cs="Times New Roman"/>
    </w:rPr>
  </w:style>
  <w:style w:type="paragraph" w:styleId="Megjegyzstrgya">
    <w:name w:val="annotation subject"/>
    <w:basedOn w:val="Jegyzetszveg"/>
    <w:next w:val="Jegyzetszveg"/>
    <w:link w:val="MegjegyzstrgyaChar"/>
    <w:uiPriority w:val="99"/>
    <w:semiHidden/>
    <w:unhideWhenUsed/>
    <w:rsid w:val="004222C9"/>
    <w:rPr>
      <w:b/>
      <w:bCs/>
    </w:rPr>
  </w:style>
  <w:style w:type="character" w:customStyle="1" w:styleId="MegjegyzstrgyaChar">
    <w:name w:val="Megjegyzés tárgya Char"/>
    <w:basedOn w:val="JegyzetszvegChar"/>
    <w:link w:val="Megjegyzstrgya"/>
    <w:uiPriority w:val="99"/>
    <w:semiHidden/>
    <w:rsid w:val="004222C9"/>
    <w:rPr>
      <w:rFonts w:ascii="Times New Roman" w:eastAsia="Times New Roman" w:hAnsi="Times New Roman" w:cs="Times New Roman"/>
      <w:b/>
      <w:bCs/>
    </w:rPr>
  </w:style>
  <w:style w:type="paragraph" w:customStyle="1" w:styleId="Erskiemels2">
    <w:name w:val="Erős kiemelés2"/>
    <w:basedOn w:val="Norml"/>
    <w:uiPriority w:val="5"/>
    <w:qFormat/>
    <w:rsid w:val="002D3804"/>
    <w:rPr>
      <w:b/>
      <w:i/>
    </w:rPr>
  </w:style>
  <w:style w:type="paragraph" w:styleId="Vltozat">
    <w:name w:val="Revision"/>
    <w:hidden/>
    <w:uiPriority w:val="99"/>
    <w:semiHidden/>
    <w:rsid w:val="00E53234"/>
  </w:style>
  <w:style w:type="paragraph" w:customStyle="1" w:styleId="Erskiemels3">
    <w:name w:val="Erős kiemelés3"/>
    <w:basedOn w:val="Norml"/>
    <w:uiPriority w:val="5"/>
    <w:qFormat/>
    <w:rsid w:val="002344AF"/>
    <w:rPr>
      <w:b/>
      <w:i/>
    </w:rPr>
  </w:style>
  <w:style w:type="paragraph" w:customStyle="1" w:styleId="Erskiemels4">
    <w:name w:val="Erős kiemelés4"/>
    <w:basedOn w:val="Norml"/>
    <w:uiPriority w:val="5"/>
    <w:qFormat/>
    <w:rsid w:val="00FB0BBE"/>
    <w:rPr>
      <w:b/>
      <w:i/>
    </w:rPr>
  </w:style>
  <w:style w:type="paragraph" w:customStyle="1" w:styleId="Erskiemels5">
    <w:name w:val="Erős kiemelés5"/>
    <w:basedOn w:val="Norml"/>
    <w:uiPriority w:val="5"/>
    <w:qFormat/>
    <w:rsid w:val="00B45255"/>
    <w:rPr>
      <w:b/>
      <w:i/>
    </w:rPr>
  </w:style>
  <w:style w:type="paragraph" w:customStyle="1" w:styleId="Erskiemels6">
    <w:name w:val="Erős kiemelés6"/>
    <w:basedOn w:val="Norml"/>
    <w:uiPriority w:val="5"/>
    <w:qFormat/>
    <w:rsid w:val="00C53412"/>
    <w:rPr>
      <w:b/>
      <w:i/>
    </w:rPr>
  </w:style>
  <w:style w:type="paragraph" w:customStyle="1" w:styleId="Erskiemels7">
    <w:name w:val="Erős kiemelés7"/>
    <w:basedOn w:val="Norml"/>
    <w:uiPriority w:val="5"/>
    <w:qFormat/>
    <w:rsid w:val="00C36279"/>
    <w:rPr>
      <w:b/>
      <w:i/>
    </w:rPr>
  </w:style>
  <w:style w:type="paragraph" w:customStyle="1" w:styleId="Erskiemels8">
    <w:name w:val="Erős kiemelés8"/>
    <w:basedOn w:val="Norml"/>
    <w:uiPriority w:val="5"/>
    <w:qFormat/>
    <w:rsid w:val="00D10FCB"/>
    <w:rPr>
      <w:b/>
      <w:i/>
    </w:rPr>
  </w:style>
  <w:style w:type="paragraph" w:customStyle="1" w:styleId="Erskiemels9">
    <w:name w:val="Erős kiemelés9"/>
    <w:basedOn w:val="Norml"/>
    <w:uiPriority w:val="5"/>
    <w:qFormat/>
    <w:rsid w:val="00D2211C"/>
    <w:rPr>
      <w:b/>
      <w:i/>
    </w:rPr>
  </w:style>
  <w:style w:type="paragraph" w:customStyle="1" w:styleId="Erskiemels10">
    <w:name w:val="Erős kiemelés10"/>
    <w:basedOn w:val="Norml"/>
    <w:uiPriority w:val="5"/>
    <w:qFormat/>
    <w:rsid w:val="007B24D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cidensek@mnb.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nvlpubs.nist.gov/nistpubs/Legacy/SP/nistspecialpublication800-35.pdf" TargetMode="Externa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CD952A8-9B73-4D35-BA00-8B111787D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1214</TotalTime>
  <Pages>6</Pages>
  <Words>2869</Words>
  <Characters>15670</Characters>
  <Application>Microsoft Office Word</Application>
  <DocSecurity>0</DocSecurity>
  <Lines>130</Lines>
  <Paragraphs>37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Pintér Cecília</dc:creator>
  <cp:lastModifiedBy>Szenthelyi Dávid</cp:lastModifiedBy>
  <cp:revision>6</cp:revision>
  <cp:lastPrinted>1900-12-31T23:00:00Z</cp:lastPrinted>
  <dcterms:created xsi:type="dcterms:W3CDTF">2020-10-08T15:09:00Z</dcterms:created>
  <dcterms:modified xsi:type="dcterms:W3CDTF">2021-02-05T15:29:00Z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Application">
    <vt:lpwstr>Microsoft Azure Information Protection</vt:lpwstr>
  </property>
  <property fmtid="{D5CDD505-2E9C-101B-9397-08002B2CF9AE}" pid="3" name="MSIP_Label_b0d11092-50c9-4e74-84b5-b1af078dc3d0_Enabled">
    <vt:lpwstr>True</vt:lpwstr>
  </property>
  <property fmtid="{D5CDD505-2E9C-101B-9397-08002B2CF9AE}" pid="4" name="MSIP_Label_b0d11092-50c9-4e74-84b5-b1af078dc3d0_Extended_MSFT_Method">
    <vt:lpwstr>Automatic</vt:lpwstr>
  </property>
  <property fmtid="{D5CDD505-2E9C-101B-9397-08002B2CF9AE}" pid="5" name="MSIP_Label_b0d11092-50c9-4e74-84b5-b1af078dc3d0_Name">
    <vt:lpwstr>Protected</vt:lpwstr>
  </property>
  <property fmtid="{D5CDD505-2E9C-101B-9397-08002B2CF9AE}" pid="6" name="MSIP_Label_b0d11092-50c9-4e74-84b5-b1af078dc3d0_Owner">
    <vt:lpwstr>pinterc@mnb.hu</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SetDate">
    <vt:lpwstr>2020-05-07T07:06:15.3403098+02:00</vt:lpwstr>
  </property>
  <property fmtid="{D5CDD505-2E9C-101B-9397-08002B2CF9AE}" pid="9" name="MSIP_Label_b0d11092-50c9-4e74-84b5-b1af078dc3d0_SiteId">
    <vt:lpwstr>97c01ef8-0264-4eef-9c08-fb4a9ba1c0db</vt:lpwstr>
  </property>
  <property fmtid="{D5CDD505-2E9C-101B-9397-08002B2CF9AE}" pid="10" name="Sensitivity">
    <vt:lpwstr>Protected</vt:lpwstr>
  </property>
  <property fmtid="{D5CDD505-2E9C-101B-9397-08002B2CF9AE}" pid="11" name="Érvényességet beállító">
    <vt:lpwstr>gubeknei</vt:lpwstr>
  </property>
  <property fmtid="{D5CDD505-2E9C-101B-9397-08002B2CF9AE}" pid="12" name="Érvényességi idő">
    <vt:filetime>2025-07-03T13:00:27Z</vt:filetime>
  </property>
  <property fmtid="{D5CDD505-2E9C-101B-9397-08002B2CF9AE}" pid="13" name="Érvényességi idő első beállítása">
    <vt:filetime>2020-07-03T13:00:27Z</vt:filetime>
  </property>
</Properties>
</file>