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8123" w14:textId="77777777" w:rsidR="00347D46" w:rsidRPr="003D4EAB" w:rsidRDefault="00C93CDC" w:rsidP="00A147EA">
      <w:pPr>
        <w:rPr>
          <w:rFonts w:ascii="Calibri" w:hAnsi="Calibri"/>
          <w:b/>
          <w:sz w:val="22"/>
          <w:szCs w:val="22"/>
        </w:rPr>
      </w:pPr>
      <w:r w:rsidRPr="003D4EAB">
        <w:rPr>
          <w:rFonts w:ascii="Calibri" w:hAnsi="Calibri"/>
          <w:b/>
          <w:sz w:val="22"/>
          <w:szCs w:val="22"/>
        </w:rPr>
        <w:t xml:space="preserve">MNB azonosító: </w:t>
      </w:r>
      <w:r w:rsidR="00347D46" w:rsidRPr="003D4EAB" w:rsidDel="00C50132">
        <w:rPr>
          <w:rFonts w:ascii="Calibri" w:hAnsi="Calibri"/>
          <w:b/>
          <w:sz w:val="22"/>
          <w:szCs w:val="22"/>
        </w:rPr>
        <w:t>F0</w:t>
      </w:r>
      <w:r w:rsidR="00347D46" w:rsidRPr="003D4EAB">
        <w:rPr>
          <w:rFonts w:ascii="Calibri" w:hAnsi="Calibri"/>
          <w:b/>
          <w:sz w:val="22"/>
          <w:szCs w:val="22"/>
        </w:rPr>
        <w:t>2</w:t>
      </w:r>
    </w:p>
    <w:p w14:paraId="2E0AF2C8" w14:textId="77777777" w:rsidR="00347D46" w:rsidRPr="003D4EAB" w:rsidRDefault="00347D46" w:rsidP="00A147EA">
      <w:pPr>
        <w:tabs>
          <w:tab w:val="left" w:pos="1908"/>
        </w:tabs>
        <w:rPr>
          <w:rFonts w:ascii="Calibri" w:hAnsi="Calibri"/>
          <w:sz w:val="22"/>
          <w:szCs w:val="22"/>
        </w:rPr>
      </w:pPr>
    </w:p>
    <w:p w14:paraId="7510BF0A" w14:textId="77777777" w:rsidR="00D13CB2" w:rsidRPr="003D4EAB" w:rsidRDefault="00D13CB2" w:rsidP="00A147EA">
      <w:pPr>
        <w:rPr>
          <w:rFonts w:ascii="Calibri" w:hAnsi="Calibri"/>
          <w:sz w:val="22"/>
          <w:szCs w:val="22"/>
        </w:rPr>
      </w:pPr>
    </w:p>
    <w:p w14:paraId="1E7DE16A" w14:textId="77777777" w:rsidR="00A147EA" w:rsidRPr="003D4EAB" w:rsidRDefault="00A147EA">
      <w:pPr>
        <w:rPr>
          <w:rFonts w:ascii="Calibri" w:hAnsi="Calibri"/>
          <w:sz w:val="22"/>
          <w:szCs w:val="22"/>
        </w:rPr>
      </w:pPr>
    </w:p>
    <w:p w14:paraId="5E3D5FDF" w14:textId="77777777" w:rsidR="004C046B" w:rsidRPr="003D4EAB" w:rsidRDefault="005E3FFE" w:rsidP="004C046B">
      <w:pPr>
        <w:jc w:val="center"/>
        <w:rPr>
          <w:rFonts w:ascii="Calibri" w:hAnsi="Calibri"/>
          <w:b/>
          <w:sz w:val="22"/>
          <w:szCs w:val="22"/>
        </w:rPr>
      </w:pPr>
      <w:r w:rsidRPr="003D4EAB">
        <w:rPr>
          <w:rFonts w:ascii="Calibri" w:hAnsi="Calibri"/>
          <w:b/>
          <w:sz w:val="22"/>
          <w:szCs w:val="22"/>
        </w:rPr>
        <w:t>MÓDSZERTANI</w:t>
      </w:r>
      <w:r w:rsidR="004C046B" w:rsidRPr="003D4EAB">
        <w:rPr>
          <w:rFonts w:ascii="Calibri" w:hAnsi="Calibri"/>
          <w:b/>
          <w:sz w:val="22"/>
          <w:szCs w:val="22"/>
        </w:rPr>
        <w:t xml:space="preserve"> SEGÉDLET</w:t>
      </w:r>
    </w:p>
    <w:p w14:paraId="7393C8F9" w14:textId="77777777" w:rsidR="00347D46" w:rsidRPr="003D4EAB" w:rsidRDefault="00347D46" w:rsidP="004C046B">
      <w:pPr>
        <w:jc w:val="center"/>
        <w:rPr>
          <w:rFonts w:ascii="Calibri" w:hAnsi="Calibri"/>
          <w:b/>
          <w:sz w:val="22"/>
          <w:szCs w:val="22"/>
        </w:rPr>
      </w:pPr>
    </w:p>
    <w:p w14:paraId="0791E5EE" w14:textId="77777777" w:rsidR="004C046B" w:rsidRPr="003D4EAB" w:rsidRDefault="004C046B" w:rsidP="004C046B">
      <w:pPr>
        <w:jc w:val="center"/>
        <w:rPr>
          <w:rFonts w:ascii="Calibri" w:hAnsi="Calibri"/>
          <w:b/>
          <w:sz w:val="22"/>
          <w:szCs w:val="22"/>
        </w:rPr>
      </w:pPr>
    </w:p>
    <w:p w14:paraId="032E9D7A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Eszközök</w:t>
      </w:r>
    </w:p>
    <w:p w14:paraId="2E5C05C6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3D4EAB">
        <w:rPr>
          <w:rFonts w:ascii="Calibri" w:hAnsi="Calibri"/>
          <w:sz w:val="22"/>
          <w:szCs w:val="22"/>
        </w:rPr>
        <w:t>I.a</w:t>
      </w:r>
      <w:proofErr w:type="spellEnd"/>
      <w:r w:rsidRPr="003D4EAB">
        <w:rPr>
          <w:rFonts w:ascii="Calibri" w:hAnsi="Calibri"/>
          <w:sz w:val="22"/>
          <w:szCs w:val="22"/>
        </w:rPr>
        <w:t>. Nem pénzügyi vállalatokkal szembeni követelés</w:t>
      </w:r>
    </w:p>
    <w:p w14:paraId="1B56361B" w14:textId="7EBEF967" w:rsidR="00347D46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Az I.a.1. sor tartalmazza a nem pénzügyi vállalatokkal és a hozzájuk besorolt nonprofit intézményekkel szemben fennálló hitel jellegű állományokat könyvszerinti bruttó értéken. (pl. a nem pénzügyi vállalatokkal szemben fennálló megvásárolt követelések, a biztosítóintézet tulajdonába került nem pénzügyi vállalatok által kibocsátott váltók, csekkek, és az értékpapírok valódi penziós ügylet keretében történt vásárlásából keletkezett követelések. </w:t>
      </w:r>
      <w:r w:rsidR="0017666F">
        <w:rPr>
          <w:rFonts w:ascii="Calibri" w:hAnsi="Calibri"/>
          <w:sz w:val="22"/>
          <w:szCs w:val="22"/>
        </w:rPr>
        <w:t xml:space="preserve">A kapcsolódó elhatárolt kamatokat </w:t>
      </w:r>
      <w:r w:rsidR="000061E3" w:rsidRPr="000061E3">
        <w:rPr>
          <w:rFonts w:ascii="Calibri" w:hAnsi="Calibri"/>
          <w:sz w:val="22"/>
          <w:szCs w:val="22"/>
        </w:rPr>
        <w:t>az aktív időbeli elhatárolások között, a III. 1. soron kell jelenteni.</w:t>
      </w:r>
    </w:p>
    <w:p w14:paraId="09EAE767" w14:textId="237E2976" w:rsidR="000052AD" w:rsidRPr="003D4EAB" w:rsidRDefault="000052AD" w:rsidP="00347D4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I.a.</w:t>
      </w:r>
      <w:r w:rsidR="00FA0881">
        <w:rPr>
          <w:rFonts w:ascii="Calibri" w:hAnsi="Calibri"/>
          <w:sz w:val="22"/>
          <w:szCs w:val="22"/>
        </w:rPr>
        <w:t xml:space="preserve">3. </w:t>
      </w:r>
      <w:r w:rsidR="005802A1">
        <w:rPr>
          <w:rFonts w:ascii="Calibri" w:hAnsi="Calibri"/>
          <w:sz w:val="22"/>
          <w:szCs w:val="22"/>
        </w:rPr>
        <w:t>sor tartalmazza a rezidens nem pénzügyi vállalatok által kibocsátott hitelviszonyt megtestesítő értékpapírok (kötvények) piaci értékét, felhalmozott kamatokkal együtt.</w:t>
      </w:r>
    </w:p>
    <w:p w14:paraId="556664A0" w14:textId="77777777" w:rsidR="00347D46" w:rsidRPr="003D4EAB" w:rsidRDefault="00347D46" w:rsidP="00347D46">
      <w:pPr>
        <w:pStyle w:val="Szvegtrzs2"/>
        <w:rPr>
          <w:rFonts w:ascii="Calibri" w:hAnsi="Calibri"/>
          <w:sz w:val="22"/>
          <w:szCs w:val="22"/>
        </w:rPr>
      </w:pPr>
    </w:p>
    <w:p w14:paraId="542F3E84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3D4EAB">
        <w:rPr>
          <w:rFonts w:ascii="Calibri" w:hAnsi="Calibri"/>
          <w:sz w:val="22"/>
          <w:szCs w:val="22"/>
        </w:rPr>
        <w:t>I.b</w:t>
      </w:r>
      <w:proofErr w:type="spellEnd"/>
      <w:r w:rsidRPr="003D4EAB">
        <w:rPr>
          <w:rFonts w:ascii="Calibri" w:hAnsi="Calibri"/>
          <w:sz w:val="22"/>
          <w:szCs w:val="22"/>
        </w:rPr>
        <w:t>. Központi bank</w:t>
      </w:r>
    </w:p>
    <w:p w14:paraId="337E397A" w14:textId="77777777" w:rsidR="00347D46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Az I.b.1. sor (a) és (c) oszlopa töltendő ki. Az (a) oszlopba kell beállítani a forintpénztárak pénzkészletét (a házipénztár állományát és az értéktárakban lévő készleteket), a biztosítóintézet központja és fiókja, valamint a fiókok közötti úton lévő készpénz átvezetési </w:t>
      </w:r>
      <w:proofErr w:type="gramStart"/>
      <w:r w:rsidRPr="003D4EAB">
        <w:rPr>
          <w:rFonts w:ascii="Calibri" w:hAnsi="Calibri"/>
          <w:sz w:val="22"/>
          <w:szCs w:val="22"/>
        </w:rPr>
        <w:t>számlán</w:t>
      </w:r>
      <w:proofErr w:type="gramEnd"/>
      <w:r w:rsidRPr="003D4EAB">
        <w:rPr>
          <w:rFonts w:ascii="Calibri" w:hAnsi="Calibri"/>
          <w:sz w:val="22"/>
          <w:szCs w:val="22"/>
        </w:rPr>
        <w:t xml:space="preserve"> illetve egyéb más számlán lévő állományát. A (b) oszlop üresen marad.</w:t>
      </w:r>
    </w:p>
    <w:p w14:paraId="3C3048A1" w14:textId="477AE6D8" w:rsidR="005802A1" w:rsidRPr="003D4EAB" w:rsidRDefault="00530F24" w:rsidP="00347D4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I.b.2. sorban az MNB által kibocsátott hitelviszonyt megtestesítő értékpapírok (kötvények) piaci értékét kell szerepeltetni, beleértve a felhalmozott kamatokat is.</w:t>
      </w:r>
    </w:p>
    <w:p w14:paraId="0C6FC9E7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37A14875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3D4EAB">
        <w:rPr>
          <w:rFonts w:ascii="Calibri" w:hAnsi="Calibri"/>
          <w:sz w:val="22"/>
          <w:szCs w:val="22"/>
        </w:rPr>
        <w:t>I.c</w:t>
      </w:r>
      <w:proofErr w:type="spellEnd"/>
      <w:r w:rsidRPr="003D4EAB">
        <w:rPr>
          <w:rFonts w:ascii="Calibri" w:hAnsi="Calibri"/>
          <w:sz w:val="22"/>
          <w:szCs w:val="22"/>
        </w:rPr>
        <w:t>. Egyéb monetáris intézmények</w:t>
      </w:r>
    </w:p>
    <w:p w14:paraId="41658A6B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Az I.c.1. sor: a biztosító belföldi hitelintézeteknél lévő folyószámla </w:t>
      </w:r>
      <w:proofErr w:type="spellStart"/>
      <w:r w:rsidRPr="003D4EAB">
        <w:rPr>
          <w:rFonts w:ascii="Calibri" w:hAnsi="Calibri"/>
          <w:sz w:val="22"/>
          <w:szCs w:val="22"/>
        </w:rPr>
        <w:t>betéteinek</w:t>
      </w:r>
      <w:proofErr w:type="spellEnd"/>
      <w:r w:rsidRPr="003D4EAB">
        <w:rPr>
          <w:rFonts w:ascii="Calibri" w:hAnsi="Calibri"/>
          <w:sz w:val="22"/>
          <w:szCs w:val="22"/>
        </w:rPr>
        <w:t xml:space="preserve"> mérlegben szereplő hó végi állománya, a hitelintézeteknél elhelyezett betétek, könyv szerinti bruttó értéken.</w:t>
      </w:r>
    </w:p>
    <w:p w14:paraId="6F7C0382" w14:textId="4722F3F9" w:rsidR="00347D46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Az I.c.4. soron kell hozni a biztosítóintézet belföldi hitelintézeteknek szerződés alapján nyújtott hiteleit, illetve egyéb hitel jellegű követeléseit. Itt kell szerepeltetni a hitelintézetek tulajdonában lévő értékpapírok valódi penziós ügylet keretében történt vásárlásából keletkezett követelések hó végén fennálló állományát, könyv szerinti bruttó értéken.</w:t>
      </w:r>
      <w:r w:rsidR="00DF7C26">
        <w:rPr>
          <w:rFonts w:ascii="Calibri" w:hAnsi="Calibri"/>
          <w:sz w:val="22"/>
          <w:szCs w:val="22"/>
        </w:rPr>
        <w:t xml:space="preserve"> A kapcsolódó elhatárolt kamatokat az aktív időbeli elhatárolások között, a III. 1. soron kell jelenteni.</w:t>
      </w:r>
    </w:p>
    <w:p w14:paraId="734AF464" w14:textId="28D5550A" w:rsidR="00DF7C26" w:rsidRPr="00F76EEC" w:rsidRDefault="00DF7C26" w:rsidP="00347D4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I.c.3. sorba tartoznak a rezidens hitelintézetek által kibocsátott hitelviszonyt megtestesítő értékpapírok (kötvények), amelyeket piaci értéken, felhalmozott kamatokkal együtt kell jelenteni.</w:t>
      </w:r>
    </w:p>
    <w:p w14:paraId="72A40B86" w14:textId="77777777" w:rsidR="009037B9" w:rsidRPr="003D4EAB" w:rsidRDefault="009037B9" w:rsidP="00347D46">
      <w:pPr>
        <w:jc w:val="both"/>
        <w:rPr>
          <w:rFonts w:ascii="Calibri" w:hAnsi="Calibri"/>
          <w:sz w:val="22"/>
          <w:szCs w:val="22"/>
        </w:rPr>
      </w:pPr>
    </w:p>
    <w:p w14:paraId="039F8DDD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3D4EAB">
        <w:rPr>
          <w:rFonts w:ascii="Calibri" w:hAnsi="Calibri"/>
          <w:sz w:val="22"/>
          <w:szCs w:val="22"/>
        </w:rPr>
        <w:t>I.f</w:t>
      </w:r>
      <w:proofErr w:type="spellEnd"/>
      <w:r w:rsidRPr="003D4EAB">
        <w:rPr>
          <w:rFonts w:ascii="Calibri" w:hAnsi="Calibri"/>
          <w:sz w:val="22"/>
          <w:szCs w:val="22"/>
        </w:rPr>
        <w:t>. Biztosítók, nyugdíjpénztárak</w:t>
      </w:r>
    </w:p>
    <w:p w14:paraId="1B11FFAD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Az I.f.1. soron kell kimutatni a jelentést készítő biztosító más biztosítónak, nyugdíjpénztárnak nyújtott hiteleinek, egyéb hitel jellegű követeléseinek – ideértve az értékpapír tárgyú valódi penziós ügyletből származó követeléseket is – hó végi állományát, könyv szerinti bruttó értéken.</w:t>
      </w:r>
    </w:p>
    <w:p w14:paraId="1C8A3FA8" w14:textId="77777777" w:rsidR="00347D46" w:rsidRPr="003D4EAB" w:rsidRDefault="00347D46" w:rsidP="00347D46">
      <w:pPr>
        <w:pStyle w:val="Szvegtrzs2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Az I.f.5. sor: itt kell szerepelnie minden viszontbiztosításból eredő, belföldi biztosítóval szembeni követelésnek, beleértve a viszontbiztosításba adóval szemben fennálló letéti követeléseket is. </w:t>
      </w:r>
    </w:p>
    <w:p w14:paraId="7EB8BF28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108A6B67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3D4EAB">
        <w:rPr>
          <w:rFonts w:ascii="Calibri" w:hAnsi="Calibri"/>
          <w:sz w:val="22"/>
          <w:szCs w:val="22"/>
        </w:rPr>
        <w:t>I.g</w:t>
      </w:r>
      <w:proofErr w:type="spellEnd"/>
      <w:r w:rsidRPr="003D4EAB">
        <w:rPr>
          <w:rFonts w:ascii="Calibri" w:hAnsi="Calibri"/>
          <w:sz w:val="22"/>
          <w:szCs w:val="22"/>
        </w:rPr>
        <w:t>. Központi kormányzat</w:t>
      </w:r>
    </w:p>
    <w:p w14:paraId="29470A4A" w14:textId="1BCB1E71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Az I.g.1. sorba kell beállítani a biztosító által megvásárolt kincstárjegyek (kamatozó- és diszkont-, és a likviditási kincstárjegyek)</w:t>
      </w:r>
      <w:r w:rsidR="009037B9" w:rsidRPr="003D4EAB">
        <w:rPr>
          <w:rFonts w:ascii="Calibri" w:hAnsi="Calibri"/>
          <w:sz w:val="22"/>
          <w:szCs w:val="22"/>
        </w:rPr>
        <w:t xml:space="preserve"> állományát </w:t>
      </w:r>
      <w:r w:rsidR="00075FE8" w:rsidRPr="003D4EAB">
        <w:rPr>
          <w:rFonts w:ascii="Calibri" w:hAnsi="Calibri"/>
          <w:sz w:val="22"/>
          <w:szCs w:val="22"/>
        </w:rPr>
        <w:t>-piaci</w:t>
      </w:r>
      <w:r w:rsidRPr="003D4EAB">
        <w:rPr>
          <w:rFonts w:ascii="Calibri" w:hAnsi="Calibri"/>
          <w:sz w:val="22"/>
          <w:szCs w:val="22"/>
        </w:rPr>
        <w:t xml:space="preserve"> értéken, </w:t>
      </w:r>
      <w:r w:rsidR="00DF7C26">
        <w:rPr>
          <w:rFonts w:ascii="Calibri" w:hAnsi="Calibri"/>
          <w:sz w:val="22"/>
          <w:szCs w:val="22"/>
        </w:rPr>
        <w:t xml:space="preserve">felhalmozott kamatokkal együtt, </w:t>
      </w:r>
      <w:r w:rsidRPr="003D4EAB">
        <w:rPr>
          <w:rFonts w:ascii="Calibri" w:hAnsi="Calibri"/>
          <w:sz w:val="22"/>
          <w:szCs w:val="22"/>
        </w:rPr>
        <w:t>nem levonva a valódi penziós ügylet keretében eladott vagy átvett állományt.</w:t>
      </w:r>
    </w:p>
    <w:p w14:paraId="25627161" w14:textId="072F3696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Az I.g.2. sor tartalma: a központi költségvetés által kibocsátott és a biztosító által megvásárolt, illetve apportként kapott valamennyi államkötvény állományát </w:t>
      </w:r>
      <w:r w:rsidR="00075FE8" w:rsidRPr="003D4EAB">
        <w:rPr>
          <w:rFonts w:ascii="Calibri" w:hAnsi="Calibri"/>
          <w:sz w:val="22"/>
          <w:szCs w:val="22"/>
        </w:rPr>
        <w:t>-piaci</w:t>
      </w:r>
      <w:r w:rsidRPr="003D4EAB">
        <w:rPr>
          <w:rFonts w:ascii="Calibri" w:hAnsi="Calibri"/>
          <w:sz w:val="22"/>
          <w:szCs w:val="22"/>
        </w:rPr>
        <w:t xml:space="preserve"> értéken</w:t>
      </w:r>
      <w:r w:rsidR="00DF7C26">
        <w:rPr>
          <w:rFonts w:ascii="Calibri" w:hAnsi="Calibri"/>
          <w:sz w:val="22"/>
          <w:szCs w:val="22"/>
        </w:rPr>
        <w:t>, felhalmozott kamatokkal együtt,</w:t>
      </w:r>
      <w:r w:rsidRPr="003D4EAB">
        <w:rPr>
          <w:rFonts w:ascii="Calibri" w:hAnsi="Calibri"/>
          <w:sz w:val="22"/>
          <w:szCs w:val="22"/>
        </w:rPr>
        <w:t xml:space="preserve"> (nem csökkentve a valódi penziós ügyletek keretében eladott vagy átvett államkötvények értékével). </w:t>
      </w:r>
    </w:p>
    <w:p w14:paraId="4CA46E6E" w14:textId="394DCA65" w:rsidR="00347D46" w:rsidRDefault="00347D46" w:rsidP="00347D46">
      <w:pPr>
        <w:jc w:val="both"/>
        <w:outlineLvl w:val="0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lastRenderedPageBreak/>
        <w:t xml:space="preserve">Az I.g.3. sor: a </w:t>
      </w:r>
      <w:r w:rsidR="003C56CB">
        <w:rPr>
          <w:rFonts w:ascii="Calibri" w:hAnsi="Calibri"/>
          <w:sz w:val="22"/>
          <w:szCs w:val="22"/>
        </w:rPr>
        <w:t>központi kormányzathoz</w:t>
      </w:r>
      <w:r w:rsidRPr="003D4EAB">
        <w:rPr>
          <w:rFonts w:ascii="Calibri" w:hAnsi="Calibri"/>
          <w:sz w:val="22"/>
          <w:szCs w:val="22"/>
        </w:rPr>
        <w:t xml:space="preserve"> tartozó és a fenti sorokon nem nevesített</w:t>
      </w:r>
      <w:r w:rsidR="003C56CB">
        <w:rPr>
          <w:rFonts w:ascii="Calibri" w:hAnsi="Calibri"/>
          <w:sz w:val="22"/>
          <w:szCs w:val="22"/>
        </w:rPr>
        <w:t>,</w:t>
      </w:r>
      <w:r w:rsidRPr="003D4EAB">
        <w:rPr>
          <w:rFonts w:ascii="Calibri" w:hAnsi="Calibri"/>
          <w:sz w:val="22"/>
          <w:szCs w:val="22"/>
        </w:rPr>
        <w:t xml:space="preserve"> költségvetési intézményekkel, elkülönített állami pénzalapokkal, és a központi kormányzathoz sorolt, az e rendelet 3. sz. mellékletének 1. pontja szerinti, az MNB honlapján lévő </w:t>
      </w:r>
      <w:r w:rsidR="003C56CB">
        <w:rPr>
          <w:rFonts w:ascii="Calibri" w:hAnsi="Calibri"/>
          <w:sz w:val="22"/>
          <w:szCs w:val="22"/>
        </w:rPr>
        <w:t xml:space="preserve">pénzügyi </w:t>
      </w:r>
      <w:r w:rsidRPr="003D4EAB">
        <w:rPr>
          <w:rFonts w:ascii="Calibri" w:hAnsi="Calibri"/>
          <w:sz w:val="22"/>
          <w:szCs w:val="22"/>
        </w:rPr>
        <w:t>listán felsorolt nonprofit intézményekkel és gazdasági társaságokkal szembeni követelések. A szektorral szemben fennálló egyéb követelések között kell kimutatni a biztosítási ügyletből, áruszállításból és szolgáltatásból, adó-</w:t>
      </w:r>
      <w:r w:rsidR="003C56CB">
        <w:rPr>
          <w:rFonts w:ascii="Calibri" w:hAnsi="Calibri"/>
          <w:sz w:val="22"/>
          <w:szCs w:val="22"/>
        </w:rPr>
        <w:t xml:space="preserve"> </w:t>
      </w:r>
      <w:r w:rsidRPr="003D4EAB">
        <w:rPr>
          <w:rFonts w:ascii="Calibri" w:hAnsi="Calibri"/>
          <w:sz w:val="22"/>
          <w:szCs w:val="22"/>
        </w:rPr>
        <w:t xml:space="preserve">és járulék-elszámolásból adódó követeléseket. </w:t>
      </w:r>
    </w:p>
    <w:p w14:paraId="17C763E2" w14:textId="77777777" w:rsidR="003D4EAB" w:rsidRDefault="003D4EAB" w:rsidP="00347D46">
      <w:pPr>
        <w:jc w:val="both"/>
        <w:outlineLvl w:val="0"/>
        <w:rPr>
          <w:rFonts w:ascii="Calibri" w:hAnsi="Calibri"/>
          <w:sz w:val="22"/>
          <w:szCs w:val="22"/>
        </w:rPr>
      </w:pPr>
    </w:p>
    <w:p w14:paraId="4FCC7A09" w14:textId="77777777" w:rsidR="003D4EAB" w:rsidRPr="003D4EAB" w:rsidRDefault="003D4EAB" w:rsidP="00347D46">
      <w:pPr>
        <w:jc w:val="both"/>
        <w:outlineLvl w:val="0"/>
        <w:rPr>
          <w:rFonts w:ascii="Calibri" w:hAnsi="Calibri"/>
          <w:sz w:val="22"/>
          <w:szCs w:val="22"/>
        </w:rPr>
      </w:pPr>
    </w:p>
    <w:p w14:paraId="5B2D43C8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728E36FB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3D4EAB">
        <w:rPr>
          <w:rFonts w:ascii="Calibri" w:hAnsi="Calibri"/>
          <w:sz w:val="22"/>
          <w:szCs w:val="22"/>
        </w:rPr>
        <w:t>I.j</w:t>
      </w:r>
      <w:proofErr w:type="spellEnd"/>
      <w:r w:rsidRPr="003D4EAB">
        <w:rPr>
          <w:rFonts w:ascii="Calibri" w:hAnsi="Calibri"/>
          <w:sz w:val="22"/>
          <w:szCs w:val="22"/>
        </w:rPr>
        <w:t>. Háztartások</w:t>
      </w:r>
    </w:p>
    <w:p w14:paraId="54E02787" w14:textId="4EE5D663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Az I.j.1. sorba kell beállítani a háztartások részére nyújtott hiteleket, beleértve a biztosítóintézet saját dolgozói részére nyújtott hitelek állományát is, valamint az életbiztosítást </w:t>
      </w:r>
      <w:proofErr w:type="spellStart"/>
      <w:r w:rsidRPr="003D4EAB">
        <w:rPr>
          <w:rFonts w:ascii="Calibri" w:hAnsi="Calibri"/>
          <w:sz w:val="22"/>
          <w:szCs w:val="22"/>
        </w:rPr>
        <w:t>igénybevevő</w:t>
      </w:r>
      <w:proofErr w:type="spellEnd"/>
      <w:r w:rsidRPr="003D4EAB">
        <w:rPr>
          <w:rFonts w:ascii="Calibri" w:hAnsi="Calibri"/>
          <w:sz w:val="22"/>
          <w:szCs w:val="22"/>
        </w:rPr>
        <w:t xml:space="preserve"> ügyfeleknek nyújtott kötvénykölcsön, jelzáloghitel hó végén fennálló állományát - amennyiben ez a biztosítóintézet mérlegét érinti -, könyv szerinti bruttó értéken. </w:t>
      </w:r>
      <w:r w:rsidR="003C56CB">
        <w:rPr>
          <w:rFonts w:ascii="Calibri" w:hAnsi="Calibri"/>
          <w:sz w:val="22"/>
          <w:szCs w:val="22"/>
        </w:rPr>
        <w:t xml:space="preserve">Az elhatárolt kamatokat </w:t>
      </w:r>
      <w:r w:rsidR="005D30EA">
        <w:rPr>
          <w:rFonts w:ascii="Calibri" w:hAnsi="Calibri"/>
          <w:sz w:val="22"/>
          <w:szCs w:val="22"/>
        </w:rPr>
        <w:t>az aktív időbeli elhatárolások között, a III. 1. soron kell jelenteni.</w:t>
      </w:r>
    </w:p>
    <w:p w14:paraId="3659590F" w14:textId="77777777" w:rsidR="00347D46" w:rsidRPr="003D4EAB" w:rsidRDefault="00347D46" w:rsidP="00347D46">
      <w:pPr>
        <w:pStyle w:val="Szvegtrzs2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Az I.j.3. sor tartalmazza a fenti hiteleken kívül a háztartásokkal szemben fennálló összes egyéb követelést (pl. biztosítási ügyletekből, a munkavállalókkal szembeni elszámolásokból, a háztartások tulajdonában lévő vagyontárgyak valódi penziós ügylet keretében történt vásárlásából eredő követelések). </w:t>
      </w:r>
    </w:p>
    <w:p w14:paraId="1CBA6753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361A8A95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II. Nem-rezidensekkel szembeni követelés</w:t>
      </w:r>
    </w:p>
    <w:p w14:paraId="06383902" w14:textId="4ACA7DBF" w:rsidR="005D30EA" w:rsidRPr="003D4EAB" w:rsidRDefault="00347D46" w:rsidP="005D30EA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 II.3. soron kell megadni a biztosítóintézet nem rezidens hitelintézeteknek, illetve biztosítóintézeteknek szerződés alapján nyújtott hiteleit. Itt kell szerepeltetni a hitelintézetek tulajdonában lévő értékpapírok valódi penziós ügylet keretében történt vásárlásából keletkezett követelések hó végén fennálló állományát, könyv szerinti bruttó értéken.</w:t>
      </w:r>
      <w:r w:rsidR="005D30EA" w:rsidRPr="005D30EA">
        <w:rPr>
          <w:rFonts w:ascii="Calibri" w:hAnsi="Calibri"/>
          <w:sz w:val="22"/>
          <w:szCs w:val="22"/>
        </w:rPr>
        <w:t xml:space="preserve"> </w:t>
      </w:r>
      <w:r w:rsidR="005D30EA">
        <w:rPr>
          <w:rFonts w:ascii="Calibri" w:hAnsi="Calibri"/>
          <w:sz w:val="22"/>
          <w:szCs w:val="22"/>
        </w:rPr>
        <w:t>Az elhatárolt kamatokat az aktív időbeli elhatárolások között, a III. 1. soron kell jelenteni.</w:t>
      </w:r>
    </w:p>
    <w:p w14:paraId="38401030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 II.5. sor (b) és (c) oszlopa töltendő ki. A (b) oszlopban kell megadni a valutapénztárak valutaállományának forintértékét, és a pénztáron kívüli (pl. értéktárban lévő) valutaállomány forintértékét (figyelembe véve a hozzá kapcsolódó átvezetési számlák egyenlegét is). </w:t>
      </w:r>
    </w:p>
    <w:p w14:paraId="40DECCF4" w14:textId="1B3DEA21" w:rsidR="005D30EA" w:rsidRDefault="005D30EA" w:rsidP="00347D4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II.6. soron kell jelenteni a külföldiek által kibocsátott hitelviszonyt megtestesítő értékpapírok piaci értékét elhatárolt kamatokkal együtt.</w:t>
      </w:r>
    </w:p>
    <w:p w14:paraId="0CB9E1CC" w14:textId="16F49AAE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 II.10. sor: itt kell feltüntetni a viszontbiztosításba vevő külföldi biztosítóval szembeni, a biztosítástechnikai tartalékok fedezetére szóló követeléseket és a viszontbiztosítási ügyletekből származó, külföldi </w:t>
      </w:r>
      <w:proofErr w:type="spellStart"/>
      <w:r w:rsidRPr="003D4EAB">
        <w:rPr>
          <w:rFonts w:ascii="Calibri" w:hAnsi="Calibri"/>
          <w:sz w:val="22"/>
          <w:szCs w:val="22"/>
        </w:rPr>
        <w:t>viszontbiztosítóval</w:t>
      </w:r>
      <w:proofErr w:type="spellEnd"/>
      <w:r w:rsidRPr="003D4EAB">
        <w:rPr>
          <w:rFonts w:ascii="Calibri" w:hAnsi="Calibri"/>
          <w:sz w:val="22"/>
          <w:szCs w:val="22"/>
        </w:rPr>
        <w:t xml:space="preserve"> szembeni követeléseket is. Ugyancsak itt szerepel a viszontbiztosításba vett biztosítási ügyletből eredő letéti követelések állománya, amennyiben a letét külföldi biztosítónál lett elhelyezve. </w:t>
      </w:r>
    </w:p>
    <w:p w14:paraId="52181936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018C1F1D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smartTag w:uri="urn:schemas-microsoft-com:office:smarttags" w:element="stockticker">
        <w:r w:rsidRPr="003D4EAB">
          <w:rPr>
            <w:rFonts w:ascii="Calibri" w:hAnsi="Calibri"/>
            <w:sz w:val="22"/>
            <w:szCs w:val="22"/>
          </w:rPr>
          <w:t>III</w:t>
        </w:r>
      </w:smartTag>
      <w:r w:rsidRPr="003D4EAB">
        <w:rPr>
          <w:rFonts w:ascii="Calibri" w:hAnsi="Calibri"/>
          <w:sz w:val="22"/>
          <w:szCs w:val="22"/>
        </w:rPr>
        <w:t>. Egyéb pénzügyi eszközök</w:t>
      </w:r>
    </w:p>
    <w:p w14:paraId="77923DA0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 </w:t>
      </w:r>
      <w:smartTag w:uri="urn:schemas-microsoft-com:office:smarttags" w:element="stockticker">
        <w:r w:rsidRPr="003D4EAB">
          <w:rPr>
            <w:rFonts w:ascii="Calibri" w:hAnsi="Calibri"/>
            <w:sz w:val="22"/>
            <w:szCs w:val="22"/>
          </w:rPr>
          <w:t>III</w:t>
        </w:r>
      </w:smartTag>
      <w:r w:rsidRPr="003D4EAB">
        <w:rPr>
          <w:rFonts w:ascii="Calibri" w:hAnsi="Calibri"/>
          <w:sz w:val="22"/>
          <w:szCs w:val="22"/>
        </w:rPr>
        <w:t>.1. sorban egy összegben kell kimutatni a kamatok aktív időbeli elhatárolásának az állományát, függetlenül attól, hogy a követelés mely szektorral szemben áll fenn.</w:t>
      </w:r>
    </w:p>
    <w:p w14:paraId="405315C4" w14:textId="77777777" w:rsidR="00347D46" w:rsidRPr="003D4EAB" w:rsidRDefault="00347D46" w:rsidP="00347D46">
      <w:pPr>
        <w:pStyle w:val="Szvegtrzs3"/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 </w:t>
      </w:r>
      <w:smartTag w:uri="urn:schemas-microsoft-com:office:smarttags" w:element="stockticker">
        <w:r w:rsidRPr="003D4EAB">
          <w:rPr>
            <w:rFonts w:ascii="Calibri" w:hAnsi="Calibri"/>
            <w:sz w:val="22"/>
            <w:szCs w:val="22"/>
          </w:rPr>
          <w:t>III</w:t>
        </w:r>
      </w:smartTag>
      <w:r w:rsidRPr="003D4EAB">
        <w:rPr>
          <w:rFonts w:ascii="Calibri" w:hAnsi="Calibri"/>
          <w:sz w:val="22"/>
          <w:szCs w:val="22"/>
        </w:rPr>
        <w:t xml:space="preserve">.2. sor tartalmazza mindazokat a tételeket, amelyek a fentiekben külön soron nem kerültek nevesítésre. Itt kell kimutatni a biztosító által </w:t>
      </w:r>
      <w:proofErr w:type="spellStart"/>
      <w:r w:rsidRPr="003D4EAB">
        <w:rPr>
          <w:rFonts w:ascii="Calibri" w:hAnsi="Calibri"/>
          <w:sz w:val="22"/>
          <w:szCs w:val="22"/>
        </w:rPr>
        <w:t>visszavásárolt</w:t>
      </w:r>
      <w:proofErr w:type="spellEnd"/>
      <w:r w:rsidRPr="003D4EAB">
        <w:rPr>
          <w:rFonts w:ascii="Calibri" w:hAnsi="Calibri"/>
          <w:sz w:val="22"/>
          <w:szCs w:val="22"/>
        </w:rPr>
        <w:t xml:space="preserve"> saját részvény állományát is, a számviteli előírások szerinti árfolyamon.</w:t>
      </w:r>
    </w:p>
    <w:p w14:paraId="41CE1BB3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1B098AB4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IV. Nem pénzügyi eszközök</w:t>
      </w:r>
    </w:p>
    <w:p w14:paraId="581AEBB6" w14:textId="3DC11AE4" w:rsidR="00347D46" w:rsidRPr="003D4EAB" w:rsidRDefault="00347D46" w:rsidP="00347D46">
      <w:pPr>
        <w:pStyle w:val="Szvegtrzs"/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Ebbe a sorba kell beállítani a forgóeszközök közül a készleteket és a befektetett eszközök közül az immateriális javak és tárgyi eszközök összegét. </w:t>
      </w:r>
    </w:p>
    <w:p w14:paraId="1BD19A88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Források</w:t>
      </w:r>
    </w:p>
    <w:p w14:paraId="53221F15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V. Saját tőke</w:t>
      </w:r>
    </w:p>
    <w:p w14:paraId="70DA4154" w14:textId="36586C90" w:rsidR="001F6BC6" w:rsidRDefault="00347D46" w:rsidP="00CA7753">
      <w:pPr>
        <w:pStyle w:val="Szvegtrzs"/>
        <w:spacing w:after="0"/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Ebbe a sorba kell </w:t>
      </w:r>
      <w:r w:rsidR="00075FE8" w:rsidRPr="003D4EAB">
        <w:rPr>
          <w:rFonts w:ascii="Calibri" w:hAnsi="Calibri"/>
          <w:sz w:val="22"/>
          <w:szCs w:val="22"/>
        </w:rPr>
        <w:t xml:space="preserve">jelenteni piaci értéken </w:t>
      </w:r>
      <w:r w:rsidRPr="003D4EAB">
        <w:rPr>
          <w:rFonts w:ascii="Calibri" w:hAnsi="Calibri"/>
          <w:sz w:val="22"/>
          <w:szCs w:val="22"/>
        </w:rPr>
        <w:t xml:space="preserve">a biztosítók saját tőke állományát (jegyzett tőke, jegyzett, de még be nem fizetett </w:t>
      </w:r>
      <w:proofErr w:type="gramStart"/>
      <w:r w:rsidRPr="003D4EAB">
        <w:rPr>
          <w:rFonts w:ascii="Calibri" w:hAnsi="Calibri"/>
          <w:sz w:val="22"/>
          <w:szCs w:val="22"/>
        </w:rPr>
        <w:t>tőke(</w:t>
      </w:r>
      <w:proofErr w:type="gramEnd"/>
      <w:r w:rsidRPr="003D4EAB">
        <w:rPr>
          <w:rFonts w:ascii="Calibri" w:hAnsi="Calibri"/>
          <w:sz w:val="22"/>
          <w:szCs w:val="22"/>
        </w:rPr>
        <w:t xml:space="preserve">-), tőketartalék, eredménytartalék, lekötött tartalék, értékelési tartalék, </w:t>
      </w:r>
      <w:r w:rsidRPr="003D4EAB">
        <w:rPr>
          <w:rFonts w:ascii="Calibri" w:hAnsi="Calibri"/>
          <w:sz w:val="22"/>
          <w:szCs w:val="22"/>
        </w:rPr>
        <w:lastRenderedPageBreak/>
        <w:t xml:space="preserve">mérleg szerinti eredmény). A </w:t>
      </w:r>
      <w:r w:rsidR="003D4EAB">
        <w:rPr>
          <w:rFonts w:ascii="Calibri" w:hAnsi="Calibri"/>
          <w:sz w:val="22"/>
          <w:szCs w:val="22"/>
        </w:rPr>
        <w:t>MNB</w:t>
      </w:r>
      <w:r w:rsidRPr="003D4EAB">
        <w:rPr>
          <w:rFonts w:ascii="Calibri" w:hAnsi="Calibri"/>
          <w:sz w:val="22"/>
          <w:szCs w:val="22"/>
        </w:rPr>
        <w:t xml:space="preserve"> engedéllyel rendelkező, működésüket már megkezdett, de cégbírósági bejegyzéssel még nem rendelkező biztosítóintézeteknek is itt kell megadniuk a befizetett alaptőke </w:t>
      </w:r>
      <w:r w:rsidR="005D30EA">
        <w:rPr>
          <w:rFonts w:ascii="Calibri" w:hAnsi="Calibri"/>
          <w:sz w:val="22"/>
          <w:szCs w:val="22"/>
        </w:rPr>
        <w:t xml:space="preserve">és tartalék </w:t>
      </w:r>
      <w:r w:rsidRPr="003D4EAB">
        <w:rPr>
          <w:rFonts w:ascii="Calibri" w:hAnsi="Calibri"/>
          <w:sz w:val="22"/>
          <w:szCs w:val="22"/>
        </w:rPr>
        <w:t>összegét.</w:t>
      </w:r>
      <w:r w:rsidR="001F6BC6">
        <w:rPr>
          <w:rFonts w:ascii="Calibri" w:hAnsi="Calibri"/>
          <w:sz w:val="22"/>
          <w:szCs w:val="22"/>
        </w:rPr>
        <w:t xml:space="preserve"> </w:t>
      </w:r>
    </w:p>
    <w:p w14:paraId="5F0F5400" w14:textId="6B6A876D" w:rsidR="00347D46" w:rsidRPr="003D4EAB" w:rsidRDefault="001F6BC6" w:rsidP="00347D46">
      <w:pPr>
        <w:pStyle w:val="Szvegtrzs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adózott eredményt tájékoztató adatként kiemelve kell feltüntetni.</w:t>
      </w:r>
    </w:p>
    <w:p w14:paraId="6A166900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VI. Alárendelt kölcsöntőke</w:t>
      </w:r>
    </w:p>
    <w:p w14:paraId="78C71F81" w14:textId="4A027AA8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Itt kell kimutatni minden olyan öt évet meghaladó eredeti lejáratú kapott kölcsönt, amelyet ténylegesen a biztosító rendelkezésére bocsátottak. Az ilyen típusú kölcsönre vonatkozó szerződés ismérve, hogy abban a kölcsön nyújtója egyetért azzal, hogy a kölcsön bevonható a biztosító adósságának rendezésébe, valamint a kölcsönt nyújtó követelése a törlesztések sorrendjében a tulajdonosok előtti legutolsó helyen áll.</w:t>
      </w:r>
      <w:r w:rsidR="001F6BC6">
        <w:rPr>
          <w:rFonts w:ascii="Calibri" w:hAnsi="Calibri"/>
          <w:sz w:val="22"/>
          <w:szCs w:val="22"/>
        </w:rPr>
        <w:t xml:space="preserve"> A kapcsolódó elhatárolt kamatokat a XI. Passzív időbeli elhatárolások közé kell helyezni.</w:t>
      </w:r>
    </w:p>
    <w:p w14:paraId="0A109765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398CB72A" w14:textId="77777777" w:rsidR="00347D46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VIII. Biztosítástechnikai tartalékok</w:t>
      </w:r>
    </w:p>
    <w:p w14:paraId="27F8C50D" w14:textId="5DB91194" w:rsidR="00BD3026" w:rsidRPr="00BD3026" w:rsidRDefault="00BD3026" w:rsidP="00BD3026">
      <w:pPr>
        <w:jc w:val="both"/>
        <w:rPr>
          <w:rFonts w:ascii="Calibri" w:hAnsi="Calibri" w:cs="Calibri"/>
          <w:sz w:val="22"/>
          <w:szCs w:val="22"/>
        </w:rPr>
      </w:pPr>
      <w:r w:rsidRPr="00BD3026">
        <w:rPr>
          <w:rFonts w:ascii="Calibri" w:hAnsi="Calibri" w:cs="Calibri"/>
          <w:sz w:val="22"/>
          <w:szCs w:val="22"/>
        </w:rPr>
        <w:t>A biztosítá</w:t>
      </w:r>
      <w:r w:rsidR="00CA7753">
        <w:rPr>
          <w:rFonts w:ascii="Calibri" w:hAnsi="Calibri" w:cs="Calibri"/>
          <w:sz w:val="22"/>
          <w:szCs w:val="22"/>
        </w:rPr>
        <w:t>s</w:t>
      </w:r>
      <w:r w:rsidRPr="00BD3026">
        <w:rPr>
          <w:rFonts w:ascii="Calibri" w:hAnsi="Calibri" w:cs="Calibri"/>
          <w:sz w:val="22"/>
          <w:szCs w:val="22"/>
        </w:rPr>
        <w:t>technikai tartalékokat piaci értéken kell jelenteni</w:t>
      </w:r>
      <w:r w:rsidR="00F12F39">
        <w:rPr>
          <w:rFonts w:ascii="Calibri" w:hAnsi="Calibri" w:cs="Calibri"/>
          <w:sz w:val="22"/>
          <w:szCs w:val="22"/>
        </w:rPr>
        <w:t xml:space="preserve"> a statisztikai mérlegben</w:t>
      </w:r>
      <w:r w:rsidRPr="00BD3026">
        <w:rPr>
          <w:rFonts w:ascii="Calibri" w:hAnsi="Calibri" w:cs="Calibri"/>
          <w:sz w:val="22"/>
          <w:szCs w:val="22"/>
        </w:rPr>
        <w:t>.</w:t>
      </w:r>
    </w:p>
    <w:p w14:paraId="70B1B025" w14:textId="77777777" w:rsidR="001F6BC6" w:rsidRPr="00BD3026" w:rsidRDefault="001F6BC6" w:rsidP="00BD3026">
      <w:pPr>
        <w:jc w:val="both"/>
        <w:rPr>
          <w:rFonts w:ascii="Calibri" w:hAnsi="Calibri" w:cs="Calibri"/>
          <w:sz w:val="22"/>
          <w:szCs w:val="22"/>
        </w:rPr>
      </w:pPr>
    </w:p>
    <w:p w14:paraId="313A3DB4" w14:textId="0DAA71B8" w:rsidR="00BD3026" w:rsidRPr="00BD3026" w:rsidRDefault="00BD3026" w:rsidP="00CA7753">
      <w:pPr>
        <w:jc w:val="both"/>
        <w:rPr>
          <w:rFonts w:ascii="Calibri" w:hAnsi="Calibri" w:cs="Calibri"/>
          <w:sz w:val="22"/>
          <w:szCs w:val="22"/>
        </w:rPr>
      </w:pPr>
      <w:r w:rsidRPr="00CA7753">
        <w:rPr>
          <w:rFonts w:ascii="Calibri" w:hAnsi="Calibri" w:cs="Calibri"/>
          <w:sz w:val="22"/>
          <w:szCs w:val="22"/>
        </w:rPr>
        <w:t>A tartalékok értékét úgy kell megállapítani, hogy azok megegyezzenek azon eszközök (piaci) értékével, amelyekbe a tartalékok befektetésre kerültek</w:t>
      </w:r>
      <w:r w:rsidR="00F12F39">
        <w:rPr>
          <w:rFonts w:ascii="Calibri" w:hAnsi="Calibri" w:cs="Calibri"/>
          <w:sz w:val="22"/>
          <w:szCs w:val="22"/>
        </w:rPr>
        <w:t>, ezáltal szükséges biztosítani az eszközök és források összhangját a mérlegben</w:t>
      </w:r>
      <w:r w:rsidRPr="00CA7753">
        <w:rPr>
          <w:rFonts w:ascii="Calibri" w:hAnsi="Calibri" w:cs="Calibri"/>
          <w:sz w:val="22"/>
          <w:szCs w:val="22"/>
        </w:rPr>
        <w:t>. Az eszközök, befektetések értékét tehát tükrözni kell a megfelelő forrás oldali tételek értékében, ami vonatkozik a nem unit-linked biztosításokra és a saját tőke befektetésére is. Ezt</w:t>
      </w:r>
      <w:r>
        <w:rPr>
          <w:rFonts w:ascii="Calibri" w:hAnsi="Calibri" w:cs="Calibri"/>
          <w:sz w:val="22"/>
          <w:szCs w:val="22"/>
        </w:rPr>
        <w:t xml:space="preserve"> </w:t>
      </w:r>
      <w:r w:rsidRPr="00CA7753">
        <w:rPr>
          <w:rFonts w:ascii="Calibri" w:hAnsi="Calibri" w:cs="Calibri"/>
          <w:sz w:val="22"/>
          <w:szCs w:val="22"/>
        </w:rPr>
        <w:t xml:space="preserve">összesített állományokon is el lehet végezni, illetve az átértékelést a tartalékok összetevőin arányosítással is át lehet vezetni, nem szükséges a tartalékokat </w:t>
      </w:r>
      <w:r w:rsidR="001F6BC6">
        <w:rPr>
          <w:rFonts w:ascii="Calibri" w:hAnsi="Calibri" w:cs="Calibri"/>
          <w:sz w:val="22"/>
          <w:szCs w:val="22"/>
        </w:rPr>
        <w:t xml:space="preserve">ügyfelenként vagy </w:t>
      </w:r>
      <w:proofErr w:type="spellStart"/>
      <w:r w:rsidRPr="00CA7753">
        <w:rPr>
          <w:rFonts w:ascii="Calibri" w:hAnsi="Calibri" w:cs="Calibri"/>
          <w:sz w:val="22"/>
          <w:szCs w:val="22"/>
        </w:rPr>
        <w:t>szektorális</w:t>
      </w:r>
      <w:proofErr w:type="spellEnd"/>
      <w:r w:rsidRPr="00CA7753">
        <w:rPr>
          <w:rFonts w:ascii="Calibri" w:hAnsi="Calibri" w:cs="Calibri"/>
          <w:sz w:val="22"/>
          <w:szCs w:val="22"/>
        </w:rPr>
        <w:t xml:space="preserve"> mélységben </w:t>
      </w:r>
      <w:proofErr w:type="spellStart"/>
      <w:r w:rsidRPr="00CA7753">
        <w:rPr>
          <w:rFonts w:ascii="Calibri" w:hAnsi="Calibri" w:cs="Calibri"/>
          <w:sz w:val="22"/>
          <w:szCs w:val="22"/>
        </w:rPr>
        <w:t>újraszámolni</w:t>
      </w:r>
      <w:proofErr w:type="spellEnd"/>
      <w:r w:rsidRPr="00CA7753">
        <w:rPr>
          <w:rFonts w:ascii="Calibri" w:hAnsi="Calibri" w:cs="Calibri"/>
          <w:sz w:val="22"/>
          <w:szCs w:val="22"/>
        </w:rPr>
        <w:t xml:space="preserve">. Fontos, hogy a külföldi partnerekkel kapcsolatos biztosítástechnikai tartalékok </w:t>
      </w:r>
      <w:r w:rsidR="001F6BC6">
        <w:rPr>
          <w:rFonts w:ascii="Calibri" w:hAnsi="Calibri" w:cs="Calibri"/>
          <w:sz w:val="22"/>
          <w:szCs w:val="22"/>
        </w:rPr>
        <w:t>piaci értékes</w:t>
      </w:r>
      <w:r w:rsidRPr="00CA7753">
        <w:rPr>
          <w:rFonts w:ascii="Calibri" w:hAnsi="Calibri" w:cs="Calibri"/>
          <w:sz w:val="22"/>
          <w:szCs w:val="22"/>
        </w:rPr>
        <w:t xml:space="preserve"> állományai (amennyiben relevánsak) az R06 vagy </w:t>
      </w:r>
      <w:r w:rsidR="001F6BC6">
        <w:rPr>
          <w:rFonts w:ascii="Calibri" w:hAnsi="Calibri" w:cs="Calibri"/>
          <w:sz w:val="22"/>
          <w:szCs w:val="22"/>
        </w:rPr>
        <w:t xml:space="preserve">az </w:t>
      </w:r>
      <w:r w:rsidRPr="00CA7753">
        <w:rPr>
          <w:rFonts w:ascii="Calibri" w:hAnsi="Calibri" w:cs="Calibri"/>
          <w:sz w:val="22"/>
          <w:szCs w:val="22"/>
        </w:rPr>
        <w:t>R15 MNB kódú fizetési mérleg adatszolgáltatásban is ugyanezen az értéken szerepeljenek</w:t>
      </w:r>
      <w:r w:rsidR="001F6BC6">
        <w:rPr>
          <w:rFonts w:ascii="Calibri" w:hAnsi="Calibri" w:cs="Calibri"/>
          <w:sz w:val="22"/>
          <w:szCs w:val="22"/>
        </w:rPr>
        <w:t>.</w:t>
      </w:r>
    </w:p>
    <w:p w14:paraId="149FDE21" w14:textId="77777777" w:rsidR="001F6BC6" w:rsidRPr="003D4EAB" w:rsidRDefault="001F6BC6" w:rsidP="00347D46">
      <w:pPr>
        <w:jc w:val="both"/>
        <w:rPr>
          <w:rFonts w:ascii="Calibri" w:hAnsi="Calibri"/>
          <w:sz w:val="22"/>
          <w:szCs w:val="22"/>
        </w:rPr>
      </w:pPr>
    </w:p>
    <w:p w14:paraId="665B85F2" w14:textId="38AC9ABC" w:rsidR="00347D46" w:rsidRPr="003D4EAB" w:rsidRDefault="001F6BC6" w:rsidP="00347D4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Tartalmát tekintve a biztosítástechnikai tartalékok között</w:t>
      </w:r>
      <w:r w:rsidR="0098677A" w:rsidRPr="003D4EAB">
        <w:rPr>
          <w:rFonts w:ascii="Calibri" w:hAnsi="Calibri"/>
          <w:sz w:val="22"/>
          <w:szCs w:val="22"/>
        </w:rPr>
        <w:t xml:space="preserve"> kell jelenteni</w:t>
      </w:r>
      <w:r w:rsidR="00347D46" w:rsidRPr="003D4EAB">
        <w:rPr>
          <w:rFonts w:ascii="Calibri" w:hAnsi="Calibri"/>
          <w:sz w:val="22"/>
          <w:szCs w:val="22"/>
        </w:rPr>
        <w:t xml:space="preserve"> a vonatkozó jogszabályokban a biztosító számára előírt valamennyi megképzett tartalék – biztosítástechnikai tartalékok, függőkár tartalékok, eredménytől függő és független díjvisszatérítési tartalék, egyéb biztosítástechnikai tartalékok károk ingadozására, valamint befektetési egységekhez kötött (unit-linked) életbiztosítások szerződői javára végrehajtott befektetések után képzett biztosítástechnikai tartalékok – hó végi állományát. </w:t>
      </w:r>
    </w:p>
    <w:p w14:paraId="602E7DE3" w14:textId="50B8F9EF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 VIII.1. sor tartalmazza </w:t>
      </w:r>
      <w:proofErr w:type="gramStart"/>
      <w:r w:rsidRPr="003D4EAB">
        <w:rPr>
          <w:rFonts w:ascii="Calibri" w:hAnsi="Calibri"/>
          <w:sz w:val="22"/>
          <w:szCs w:val="22"/>
        </w:rPr>
        <w:t>a</w:t>
      </w:r>
      <w:proofErr w:type="gramEnd"/>
      <w:r w:rsidRPr="003D4EAB">
        <w:rPr>
          <w:rFonts w:ascii="Calibri" w:hAnsi="Calibri"/>
          <w:sz w:val="22"/>
          <w:szCs w:val="22"/>
        </w:rPr>
        <w:t xml:space="preserve"> unit-linked életbiztosításokon kívüli életbiztosításokhoz kapcsolódó biztosítástechnikai tartalékok bruttó összegét.</w:t>
      </w:r>
    </w:p>
    <w:p w14:paraId="72A059A9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 VIII.2. sorba kell beállítani a unit-linked életbiztosításokon kívüli életbiztosítások viszontbiztosításba adott összegeire jutó tartalékokat, negatív előjellel.</w:t>
      </w:r>
    </w:p>
    <w:p w14:paraId="0C9C8D54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 VIII.3. sor: a befektetési egységekhez kötött (unit-linked) életbiztosítások szerződői javára végrehajtott befektetések után képzett biztosítástechnikai tartalékok bruttó összege, amit az életbiztosítással összefüggő befektetésekkel kapcsolatos kötelezettségek fedezetére képeztek.</w:t>
      </w:r>
    </w:p>
    <w:p w14:paraId="6CE67667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 VIII.4. soron kell jelenteni negatív előjellel a VIII.3. sorban szereplő biztosítások viszontbiztosításba adott összegeire jutó tartalékokat.</w:t>
      </w:r>
    </w:p>
    <w:p w14:paraId="605931AC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 VIII.5. sor tartalmazza a fenti sorokon külön nem nevesített, de a jogszabályok szerint megképzendő tartalék bruttó összegét.</w:t>
      </w:r>
    </w:p>
    <w:p w14:paraId="58D36ED2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424F583D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X. Kötelezettségek</w:t>
      </w:r>
    </w:p>
    <w:p w14:paraId="78F8EFDA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 X.1. sor a biztosítók közvetlen biztosítási ügyletekből adódó kötelezettségeinek állományát tartalmazza (pl. díjelőleg, túlfizetés), biztosítási kötvénytulajdonosokkal és biztosítási közvetítőkkel szemben fennálló kötelezettség bontásban.</w:t>
      </w:r>
    </w:p>
    <w:p w14:paraId="01167A48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 X.2. sor tartalmazza a viszontbiztosításba adott biztosítási ügyletekből eredő, belföldi és külföldi biztosítóval szemben fennálló tartozások állományát. </w:t>
      </w:r>
    </w:p>
    <w:p w14:paraId="565DC7D7" w14:textId="63A5F126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 X.4. sor a tulajdonossal szembeni kötelezettségek állományát tartalmazza, így itt kell kimutatni a megszavazott, de ki nem fizetett osztalékot.</w:t>
      </w:r>
    </w:p>
    <w:p w14:paraId="66C858F9" w14:textId="675377AF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lastRenderedPageBreak/>
        <w:t>A X.5. sor tartalmaz minden olyan forrástételt, amely a fentiekben külön soron nevesítésre nem került. Itt kell szerepeltetni a biztosítók által – nem a tulajdonostól – felvett forint- és devizahitel, valamint átvett forint- és devizabetét állomány forintra átszámított összegét, a biztosítóintézet tulajdonában lévő vagyontárgyak valódi penziós ügylet keretében történt eladásából szerzett források állományát, a kötvénykibocsátásból adódó kötelezettségeket is.</w:t>
      </w:r>
      <w:r w:rsidR="001F6BC6">
        <w:rPr>
          <w:rFonts w:ascii="Calibri" w:hAnsi="Calibri"/>
          <w:sz w:val="22"/>
          <w:szCs w:val="22"/>
        </w:rPr>
        <w:t xml:space="preserve"> A kötelezettségek elhatárolt kamatát a XI. Passzív időbeli elhatárolások között kell bemutatni.</w:t>
      </w:r>
    </w:p>
    <w:p w14:paraId="2F0A33E8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357610E4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 XI. Passzív időbeli elhatárolások soron kell jelenteni a bevételek, a költségek, ráfordítások passzív időbeli elhatárolását.</w:t>
      </w:r>
    </w:p>
    <w:p w14:paraId="0D72CADB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07DCE6BD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Egyéb adatok</w:t>
      </w:r>
    </w:p>
    <w:p w14:paraId="408C9675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</w:p>
    <w:p w14:paraId="6C74F060" w14:textId="77777777" w:rsidR="00347D46" w:rsidRPr="003D4EA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 Fedezeti ügyletek pozitív értékelési különbözete (követelés), és a Fedezeti ügyletek negatív értékelési különbözete (tartozás) sorokban a biztosítóintézet által kötött derivatív ügyletek időszak végi állományát kell szerepeltetni függetlenül attól, hogy azok mérlegben szereplő vagy mérlegen kívüli tételek.</w:t>
      </w:r>
    </w:p>
    <w:p w14:paraId="5D3685F7" w14:textId="77777777" w:rsidR="000A6D7A" w:rsidRPr="003D4EAB" w:rsidRDefault="00347D46" w:rsidP="00C93CDC">
      <w:pPr>
        <w:pStyle w:val="Szvegtrzsbehzssal"/>
        <w:spacing w:after="0"/>
        <w:ind w:left="0"/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 xml:space="preserve">A fedezeti ügyleteket ügyletenként kiértékelve, ügyletenként </w:t>
      </w:r>
      <w:proofErr w:type="spellStart"/>
      <w:r w:rsidRPr="003D4EAB">
        <w:rPr>
          <w:rFonts w:ascii="Calibri" w:hAnsi="Calibri"/>
          <w:sz w:val="22"/>
          <w:szCs w:val="22"/>
        </w:rPr>
        <w:t>nettózva</w:t>
      </w:r>
      <w:proofErr w:type="spellEnd"/>
      <w:r w:rsidRPr="003D4EAB">
        <w:rPr>
          <w:rFonts w:ascii="Calibri" w:hAnsi="Calibri"/>
          <w:sz w:val="22"/>
          <w:szCs w:val="22"/>
        </w:rPr>
        <w:t xml:space="preserve"> kell közölni. Ennek értelmében a pozitív egyenlegű ügyleteket követelésként, míg a negatív egyenlegűeket a tartozásként kell jelenteni. </w:t>
      </w:r>
    </w:p>
    <w:p w14:paraId="0FBE2E93" w14:textId="77777777" w:rsidR="006E2764" w:rsidRPr="003D4EAB" w:rsidRDefault="006E2764" w:rsidP="00C93CDC">
      <w:pPr>
        <w:pStyle w:val="Szvegtrzsbehzssal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14:paraId="0E0D68B7" w14:textId="77777777" w:rsidR="009325F7" w:rsidRDefault="005D0851" w:rsidP="00C93CDC">
      <w:pPr>
        <w:pStyle w:val="Szvegtrzsbehzssal"/>
        <w:spacing w:after="0"/>
        <w:ind w:left="0"/>
        <w:jc w:val="both"/>
        <w:rPr>
          <w:rFonts w:ascii="Calibri" w:hAnsi="Calibri"/>
          <w:sz w:val="22"/>
          <w:szCs w:val="22"/>
        </w:rPr>
      </w:pPr>
      <w:r w:rsidRPr="003D4EAB">
        <w:rPr>
          <w:rFonts w:ascii="Calibri" w:hAnsi="Calibri"/>
          <w:sz w:val="22"/>
          <w:szCs w:val="22"/>
        </w:rPr>
        <w:t>A</w:t>
      </w:r>
      <w:r w:rsidR="009325F7" w:rsidRPr="003D4EAB">
        <w:rPr>
          <w:rFonts w:ascii="Calibri" w:hAnsi="Calibri"/>
          <w:sz w:val="22"/>
          <w:szCs w:val="22"/>
        </w:rPr>
        <w:t xml:space="preserve"> VIII. Biztosítástechnikai tartalékok között </w:t>
      </w:r>
      <w:r w:rsidRPr="003D4EAB">
        <w:rPr>
          <w:rFonts w:ascii="Calibri" w:hAnsi="Calibri"/>
          <w:sz w:val="22"/>
          <w:szCs w:val="22"/>
        </w:rPr>
        <w:t>jelentett</w:t>
      </w:r>
      <w:r w:rsidR="009325F7" w:rsidRPr="003D4EAB">
        <w:rPr>
          <w:rFonts w:ascii="Calibri" w:hAnsi="Calibri"/>
          <w:sz w:val="22"/>
          <w:szCs w:val="22"/>
        </w:rPr>
        <w:t xml:space="preserve">, életbiztosításokhoz (hagyományos és unit linked életbiztosítások) kapcsolódó biztosítástechnikai tartalékok bruttó összegéből </w:t>
      </w:r>
      <w:r w:rsidRPr="003D4EAB">
        <w:rPr>
          <w:rFonts w:ascii="Calibri" w:hAnsi="Calibri"/>
          <w:sz w:val="22"/>
          <w:szCs w:val="22"/>
        </w:rPr>
        <w:t>ki kell emelni és tájékoztató adatként jelenteni kell a nyugdíjbiztosítási konstrukciókhoz kapcsolódó biztosítástechnikai tartalék összegét.</w:t>
      </w:r>
    </w:p>
    <w:sectPr w:rsidR="009325F7" w:rsidSect="00435885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9F8F" w14:textId="77777777" w:rsidR="00591B93" w:rsidRDefault="00591B93" w:rsidP="00C828C7">
      <w:r>
        <w:separator/>
      </w:r>
    </w:p>
  </w:endnote>
  <w:endnote w:type="continuationSeparator" w:id="0">
    <w:p w14:paraId="05529B10" w14:textId="77777777" w:rsidR="00591B93" w:rsidRDefault="00591B93" w:rsidP="00C8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A85B" w14:textId="77777777" w:rsidR="00591B93" w:rsidRDefault="00591B93" w:rsidP="00C828C7">
      <w:r>
        <w:separator/>
      </w:r>
    </w:p>
  </w:footnote>
  <w:footnote w:type="continuationSeparator" w:id="0">
    <w:p w14:paraId="4C4EA8F0" w14:textId="77777777" w:rsidR="00591B93" w:rsidRDefault="00591B93" w:rsidP="00C8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8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4E255D"/>
    <w:multiLevelType w:val="singleLevel"/>
    <w:tmpl w:val="2338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7074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32595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0B2F5A"/>
    <w:multiLevelType w:val="hybridMultilevel"/>
    <w:tmpl w:val="99D879FC"/>
    <w:lvl w:ilvl="0" w:tplc="715C5B1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92AB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5F13D4"/>
    <w:multiLevelType w:val="singleLevel"/>
    <w:tmpl w:val="0C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8DD3F19"/>
    <w:multiLevelType w:val="singleLevel"/>
    <w:tmpl w:val="D10A2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23716D"/>
    <w:multiLevelType w:val="hybridMultilevel"/>
    <w:tmpl w:val="605E6C18"/>
    <w:lvl w:ilvl="0" w:tplc="01184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C0137"/>
    <w:multiLevelType w:val="hybridMultilevel"/>
    <w:tmpl w:val="775EEE98"/>
    <w:lvl w:ilvl="0" w:tplc="2338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6570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E251E6"/>
    <w:multiLevelType w:val="hybridMultilevel"/>
    <w:tmpl w:val="31EEF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E448A"/>
    <w:multiLevelType w:val="singleLevel"/>
    <w:tmpl w:val="429E2110"/>
    <w:lvl w:ilvl="0">
      <w:start w:val="12"/>
      <w:numFmt w:val="upperLetter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num w:numId="1" w16cid:durableId="1510604881">
    <w:abstractNumId w:val="11"/>
  </w:num>
  <w:num w:numId="2" w16cid:durableId="16470648">
    <w:abstractNumId w:val="8"/>
  </w:num>
  <w:num w:numId="3" w16cid:durableId="553127809">
    <w:abstractNumId w:val="7"/>
  </w:num>
  <w:num w:numId="4" w16cid:durableId="930164069">
    <w:abstractNumId w:val="0"/>
  </w:num>
  <w:num w:numId="5" w16cid:durableId="1082877151">
    <w:abstractNumId w:val="12"/>
  </w:num>
  <w:num w:numId="6" w16cid:durableId="1565070334">
    <w:abstractNumId w:val="6"/>
  </w:num>
  <w:num w:numId="7" w16cid:durableId="406609422">
    <w:abstractNumId w:val="1"/>
  </w:num>
  <w:num w:numId="8" w16cid:durableId="726925753">
    <w:abstractNumId w:val="5"/>
  </w:num>
  <w:num w:numId="9" w16cid:durableId="1017776658">
    <w:abstractNumId w:val="2"/>
  </w:num>
  <w:num w:numId="10" w16cid:durableId="121579229">
    <w:abstractNumId w:val="3"/>
  </w:num>
  <w:num w:numId="11" w16cid:durableId="524829072">
    <w:abstractNumId w:val="10"/>
  </w:num>
  <w:num w:numId="12" w16cid:durableId="1289581875">
    <w:abstractNumId w:val="9"/>
  </w:num>
  <w:num w:numId="13" w16cid:durableId="2036929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EA"/>
    <w:rsid w:val="0000394F"/>
    <w:rsid w:val="000052AD"/>
    <w:rsid w:val="000061E3"/>
    <w:rsid w:val="00025DB5"/>
    <w:rsid w:val="00071F51"/>
    <w:rsid w:val="00075FE8"/>
    <w:rsid w:val="00076833"/>
    <w:rsid w:val="000A6D7A"/>
    <w:rsid w:val="000B022B"/>
    <w:rsid w:val="000D0183"/>
    <w:rsid w:val="000E7F29"/>
    <w:rsid w:val="000F2320"/>
    <w:rsid w:val="00103FF5"/>
    <w:rsid w:val="00126800"/>
    <w:rsid w:val="0013211D"/>
    <w:rsid w:val="00133CBC"/>
    <w:rsid w:val="00133DCB"/>
    <w:rsid w:val="00147445"/>
    <w:rsid w:val="00151B14"/>
    <w:rsid w:val="001520B8"/>
    <w:rsid w:val="0016260E"/>
    <w:rsid w:val="0017666F"/>
    <w:rsid w:val="00191B8D"/>
    <w:rsid w:val="001A19AC"/>
    <w:rsid w:val="001C3903"/>
    <w:rsid w:val="001C4964"/>
    <w:rsid w:val="001D49A1"/>
    <w:rsid w:val="001D7AFD"/>
    <w:rsid w:val="001E35C5"/>
    <w:rsid w:val="001F6BC6"/>
    <w:rsid w:val="00204376"/>
    <w:rsid w:val="0022123B"/>
    <w:rsid w:val="00253A6E"/>
    <w:rsid w:val="00266BCF"/>
    <w:rsid w:val="00286C85"/>
    <w:rsid w:val="002A6D51"/>
    <w:rsid w:val="002B2648"/>
    <w:rsid w:val="002C3AF6"/>
    <w:rsid w:val="002C7A3F"/>
    <w:rsid w:val="002E644F"/>
    <w:rsid w:val="002F1E62"/>
    <w:rsid w:val="00330AA7"/>
    <w:rsid w:val="00347D46"/>
    <w:rsid w:val="00374F31"/>
    <w:rsid w:val="00377091"/>
    <w:rsid w:val="003A3404"/>
    <w:rsid w:val="003C56CB"/>
    <w:rsid w:val="003D4EAB"/>
    <w:rsid w:val="003D6131"/>
    <w:rsid w:val="003E5144"/>
    <w:rsid w:val="003E76DF"/>
    <w:rsid w:val="00414D82"/>
    <w:rsid w:val="004205D8"/>
    <w:rsid w:val="00435885"/>
    <w:rsid w:val="004555EA"/>
    <w:rsid w:val="004C046B"/>
    <w:rsid w:val="004C0ABA"/>
    <w:rsid w:val="004F27CB"/>
    <w:rsid w:val="0050247E"/>
    <w:rsid w:val="00530F24"/>
    <w:rsid w:val="00560C10"/>
    <w:rsid w:val="00566FF1"/>
    <w:rsid w:val="005802A1"/>
    <w:rsid w:val="00591B93"/>
    <w:rsid w:val="005D0851"/>
    <w:rsid w:val="005D0C37"/>
    <w:rsid w:val="005D30EA"/>
    <w:rsid w:val="005E3FFE"/>
    <w:rsid w:val="00672E99"/>
    <w:rsid w:val="006E2764"/>
    <w:rsid w:val="006E3974"/>
    <w:rsid w:val="006E712A"/>
    <w:rsid w:val="006F0E4D"/>
    <w:rsid w:val="006F4255"/>
    <w:rsid w:val="006F5E1E"/>
    <w:rsid w:val="007105FB"/>
    <w:rsid w:val="00771000"/>
    <w:rsid w:val="00790404"/>
    <w:rsid w:val="007A5D15"/>
    <w:rsid w:val="007B48BD"/>
    <w:rsid w:val="007D03C5"/>
    <w:rsid w:val="007E065F"/>
    <w:rsid w:val="0081746B"/>
    <w:rsid w:val="0082555D"/>
    <w:rsid w:val="00830F06"/>
    <w:rsid w:val="00846861"/>
    <w:rsid w:val="00857FAD"/>
    <w:rsid w:val="008F4766"/>
    <w:rsid w:val="009037B9"/>
    <w:rsid w:val="0091515C"/>
    <w:rsid w:val="0092613F"/>
    <w:rsid w:val="009325F7"/>
    <w:rsid w:val="009644E7"/>
    <w:rsid w:val="009827F4"/>
    <w:rsid w:val="0098677A"/>
    <w:rsid w:val="009A526E"/>
    <w:rsid w:val="009C7E48"/>
    <w:rsid w:val="00A07116"/>
    <w:rsid w:val="00A147EA"/>
    <w:rsid w:val="00A159B9"/>
    <w:rsid w:val="00AF6F04"/>
    <w:rsid w:val="00B2583B"/>
    <w:rsid w:val="00B42C66"/>
    <w:rsid w:val="00B644A2"/>
    <w:rsid w:val="00B961CB"/>
    <w:rsid w:val="00BB79CD"/>
    <w:rsid w:val="00BD3026"/>
    <w:rsid w:val="00BD3E85"/>
    <w:rsid w:val="00BE526C"/>
    <w:rsid w:val="00C01805"/>
    <w:rsid w:val="00C069C2"/>
    <w:rsid w:val="00C23861"/>
    <w:rsid w:val="00C50132"/>
    <w:rsid w:val="00C64E70"/>
    <w:rsid w:val="00C7216A"/>
    <w:rsid w:val="00C828C7"/>
    <w:rsid w:val="00C93CDC"/>
    <w:rsid w:val="00CA7753"/>
    <w:rsid w:val="00CE1B1D"/>
    <w:rsid w:val="00CE5523"/>
    <w:rsid w:val="00CE7E08"/>
    <w:rsid w:val="00D05F0E"/>
    <w:rsid w:val="00D13CB2"/>
    <w:rsid w:val="00D420D2"/>
    <w:rsid w:val="00D43792"/>
    <w:rsid w:val="00D804A8"/>
    <w:rsid w:val="00D868EC"/>
    <w:rsid w:val="00D86E1B"/>
    <w:rsid w:val="00DB04DB"/>
    <w:rsid w:val="00DF6E24"/>
    <w:rsid w:val="00DF7C26"/>
    <w:rsid w:val="00E017F2"/>
    <w:rsid w:val="00E17034"/>
    <w:rsid w:val="00E368CC"/>
    <w:rsid w:val="00E704D8"/>
    <w:rsid w:val="00EB2CA1"/>
    <w:rsid w:val="00EC68B7"/>
    <w:rsid w:val="00EE5FF2"/>
    <w:rsid w:val="00EF3D7E"/>
    <w:rsid w:val="00F12F39"/>
    <w:rsid w:val="00F228DD"/>
    <w:rsid w:val="00F326D4"/>
    <w:rsid w:val="00F4279C"/>
    <w:rsid w:val="00F7035A"/>
    <w:rsid w:val="00F87EBA"/>
    <w:rsid w:val="00F90561"/>
    <w:rsid w:val="00FA0881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5E7B6A8"/>
  <w15:chartTrackingRefBased/>
  <w15:docId w15:val="{EAFB7CE4-3592-49F2-BAC2-8F2AC043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69C2"/>
    <w:rPr>
      <w:rFonts w:ascii="Garamond" w:hAnsi="Garamond"/>
      <w:sz w:val="24"/>
      <w:szCs w:val="24"/>
    </w:rPr>
  </w:style>
  <w:style w:type="paragraph" w:styleId="Cmsor2">
    <w:name w:val="heading 2"/>
    <w:basedOn w:val="Norml"/>
    <w:next w:val="Norml"/>
    <w:qFormat/>
    <w:rsid w:val="004C046B"/>
    <w:pPr>
      <w:keepNext/>
      <w:jc w:val="both"/>
      <w:outlineLvl w:val="1"/>
    </w:pPr>
    <w:rPr>
      <w:rFonts w:ascii="Times New Roman" w:hAnsi="Times New 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1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semiHidden/>
    <w:rsid w:val="00A147EA"/>
    <w:rPr>
      <w:sz w:val="16"/>
      <w:szCs w:val="16"/>
    </w:rPr>
  </w:style>
  <w:style w:type="paragraph" w:styleId="Jegyzetszveg">
    <w:name w:val="annotation text"/>
    <w:basedOn w:val="Norml"/>
    <w:semiHidden/>
    <w:rsid w:val="00A147EA"/>
    <w:rPr>
      <w:sz w:val="20"/>
      <w:szCs w:val="20"/>
    </w:rPr>
  </w:style>
  <w:style w:type="paragraph" w:styleId="Buborkszveg">
    <w:name w:val="Balloon Text"/>
    <w:basedOn w:val="Norml"/>
    <w:semiHidden/>
    <w:rsid w:val="00A147EA"/>
    <w:rPr>
      <w:rFonts w:ascii="Tahoma" w:hAnsi="Tahoma" w:cs="Tahoma"/>
      <w:sz w:val="16"/>
      <w:szCs w:val="16"/>
    </w:rPr>
  </w:style>
  <w:style w:type="character" w:styleId="Hiperhivatkozs">
    <w:name w:val="Hyperlink"/>
    <w:rsid w:val="004C046B"/>
    <w:rPr>
      <w:color w:val="0000FF"/>
      <w:u w:val="single"/>
    </w:rPr>
  </w:style>
  <w:style w:type="paragraph" w:styleId="Szvegtrzs2">
    <w:name w:val="Body Text 2"/>
    <w:basedOn w:val="Norml"/>
    <w:rsid w:val="004C046B"/>
    <w:pPr>
      <w:jc w:val="both"/>
    </w:pPr>
    <w:rPr>
      <w:rFonts w:ascii="Times New Roman" w:hAnsi="Times New Roman"/>
      <w:szCs w:val="20"/>
    </w:rPr>
  </w:style>
  <w:style w:type="paragraph" w:styleId="Megjegyzstrgya">
    <w:name w:val="annotation subject"/>
    <w:basedOn w:val="Jegyzetszveg"/>
    <w:next w:val="Jegyzetszveg"/>
    <w:semiHidden/>
    <w:rsid w:val="000F2320"/>
    <w:rPr>
      <w:b/>
      <w:bCs/>
    </w:rPr>
  </w:style>
  <w:style w:type="character" w:styleId="Mrltotthiperhivatkozs">
    <w:name w:val="FollowedHyperlink"/>
    <w:rsid w:val="00133DCB"/>
    <w:rPr>
      <w:color w:val="800080"/>
      <w:u w:val="single"/>
    </w:rPr>
  </w:style>
  <w:style w:type="paragraph" w:styleId="Szvegtrzsbehzssal">
    <w:name w:val="Body Text Indent"/>
    <w:basedOn w:val="Norml"/>
    <w:rsid w:val="002C3AF6"/>
    <w:pPr>
      <w:spacing w:after="120"/>
      <w:ind w:left="283"/>
    </w:pPr>
  </w:style>
  <w:style w:type="paragraph" w:styleId="Szvegtrzs">
    <w:name w:val="Body Text"/>
    <w:basedOn w:val="Norml"/>
    <w:rsid w:val="00347D46"/>
    <w:pPr>
      <w:spacing w:after="120"/>
    </w:pPr>
  </w:style>
  <w:style w:type="paragraph" w:styleId="Szvegtrzs3">
    <w:name w:val="Body Text 3"/>
    <w:basedOn w:val="Norml"/>
    <w:rsid w:val="00347D46"/>
    <w:pPr>
      <w:spacing w:after="120"/>
    </w:pPr>
    <w:rPr>
      <w:sz w:val="16"/>
      <w:szCs w:val="16"/>
    </w:rPr>
  </w:style>
  <w:style w:type="paragraph" w:styleId="Vltozat">
    <w:name w:val="Revision"/>
    <w:hidden/>
    <w:uiPriority w:val="99"/>
    <w:semiHidden/>
    <w:rsid w:val="00075FE8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1542</Words>
  <Characters>10640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Az új kitöltési útmutatók szerkezete</vt:lpstr>
      <vt:lpstr>Az új kitöltési útmutatók szerkezete</vt:lpstr>
    </vt:vector>
  </TitlesOfParts>
  <Company>Magyar Nemzeti Bank</Company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új kitöltési útmutatók szerkezete</dc:title>
  <dc:subject/>
  <dc:creator>KŐrös Orsolya</dc:creator>
  <cp:keywords/>
  <dc:description/>
  <cp:lastModifiedBy>Juhász Anita</cp:lastModifiedBy>
  <cp:revision>3</cp:revision>
  <dcterms:created xsi:type="dcterms:W3CDTF">2023-11-17T12:47:00Z</dcterms:created>
  <dcterms:modified xsi:type="dcterms:W3CDTF">2023-11-17T12:49:00Z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kotulicsnem@mnb.hu</vt:lpwstr>
  </property>
  <property fmtid="{D5CDD505-2E9C-101B-9397-08002B2CF9AE}" pid="6" name="MSIP_Label_b0d11092-50c9-4e74-84b5-b1af078dc3d0_SetDate">
    <vt:lpwstr>2019-10-15T14:33:18.8329102+02:00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2027-11-22T14:21:31Z</vt:filetime>
  </property>
  <property fmtid="{D5CDD505-2E9C-101B-9397-08002B2CF9AE}" pid="12" name="Érvényességet beállító">
    <vt:lpwstr>kotulicsnem</vt:lpwstr>
  </property>
  <property fmtid="{D5CDD505-2E9C-101B-9397-08002B2CF9AE}" pid="13" name="Érvényességi idő első beállítása">
    <vt:filetime>2022-11-22T14:21:31Z</vt:filetime>
  </property>
</Properties>
</file>