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D86F" w14:textId="77777777" w:rsidR="00F56BC3" w:rsidRPr="003170C2" w:rsidRDefault="004D4A4D">
      <w:pPr>
        <w:jc w:val="left"/>
        <w:rPr>
          <w:rFonts w:ascii="Arial" w:hAnsi="Arial" w:cs="Arial"/>
          <w:b/>
          <w:sz w:val="20"/>
        </w:rPr>
      </w:pPr>
      <w:r w:rsidRPr="003170C2">
        <w:rPr>
          <w:rFonts w:ascii="Arial" w:hAnsi="Arial" w:cs="Arial"/>
          <w:b/>
          <w:sz w:val="20"/>
        </w:rPr>
        <w:t>MNB azonosító</w:t>
      </w:r>
      <w:r w:rsidR="00F06DDB" w:rsidRPr="003170C2">
        <w:rPr>
          <w:rFonts w:ascii="Arial" w:hAnsi="Arial" w:cs="Arial"/>
          <w:b/>
          <w:sz w:val="20"/>
        </w:rPr>
        <w:t xml:space="preserve"> kód</w:t>
      </w:r>
      <w:r w:rsidRPr="003170C2">
        <w:rPr>
          <w:rFonts w:ascii="Arial" w:hAnsi="Arial" w:cs="Arial"/>
          <w:b/>
          <w:sz w:val="20"/>
        </w:rPr>
        <w:t>: K04</w:t>
      </w:r>
      <w:r w:rsidR="00070A6F" w:rsidRPr="003170C2">
        <w:rPr>
          <w:rFonts w:ascii="Arial" w:hAnsi="Arial" w:cs="Arial"/>
          <w:b/>
          <w:sz w:val="20"/>
        </w:rPr>
        <w:t xml:space="preserve"> </w:t>
      </w:r>
    </w:p>
    <w:p w14:paraId="0445E242" w14:textId="77777777" w:rsidR="00F56BC3" w:rsidRPr="003170C2" w:rsidRDefault="00F56BC3">
      <w:pPr>
        <w:jc w:val="left"/>
        <w:rPr>
          <w:rFonts w:ascii="Arial" w:hAnsi="Arial" w:cs="Arial"/>
          <w:sz w:val="20"/>
        </w:rPr>
      </w:pPr>
    </w:p>
    <w:p w14:paraId="0805BFD8" w14:textId="77777777" w:rsidR="00F56BC3" w:rsidRPr="003170C2" w:rsidRDefault="00F56BC3">
      <w:pPr>
        <w:jc w:val="center"/>
        <w:rPr>
          <w:rFonts w:ascii="Arial" w:hAnsi="Arial" w:cs="Arial"/>
          <w:sz w:val="20"/>
        </w:rPr>
      </w:pPr>
    </w:p>
    <w:p w14:paraId="5F9D67FB" w14:textId="1B258402" w:rsidR="00F56BC3" w:rsidRPr="003170C2" w:rsidRDefault="00600CB4">
      <w:pPr>
        <w:jc w:val="center"/>
        <w:rPr>
          <w:rFonts w:ascii="Arial" w:hAnsi="Arial" w:cs="Arial"/>
          <w:b/>
          <w:sz w:val="20"/>
        </w:rPr>
      </w:pPr>
      <w:r w:rsidRPr="003170C2">
        <w:rPr>
          <w:rFonts w:ascii="Arial" w:hAnsi="Arial" w:cs="Arial"/>
          <w:b/>
          <w:sz w:val="20"/>
        </w:rPr>
        <w:t>Módszertani segédlet</w:t>
      </w:r>
    </w:p>
    <w:p w14:paraId="5D1AB086" w14:textId="77777777" w:rsidR="00600CB4" w:rsidRPr="003170C2" w:rsidRDefault="00600CB4">
      <w:pPr>
        <w:jc w:val="center"/>
        <w:rPr>
          <w:rFonts w:ascii="Arial" w:hAnsi="Arial" w:cs="Arial"/>
          <w:b/>
          <w:sz w:val="20"/>
        </w:rPr>
      </w:pPr>
    </w:p>
    <w:p w14:paraId="1CC479CD" w14:textId="4734E989" w:rsidR="00822053" w:rsidRPr="003170C2" w:rsidRDefault="003136F4" w:rsidP="008269B4">
      <w:pPr>
        <w:jc w:val="center"/>
        <w:rPr>
          <w:rFonts w:ascii="Arial" w:hAnsi="Arial" w:cs="Arial"/>
          <w:b/>
          <w:sz w:val="20"/>
        </w:rPr>
      </w:pPr>
      <w:r w:rsidRPr="003170C2">
        <w:rPr>
          <w:rFonts w:ascii="Arial" w:hAnsi="Arial" w:cs="Arial"/>
          <w:b/>
          <w:sz w:val="20"/>
        </w:rPr>
        <w:t>Havi j</w:t>
      </w:r>
      <w:r w:rsidR="004D4A4D" w:rsidRPr="003170C2">
        <w:rPr>
          <w:rFonts w:ascii="Arial" w:hAnsi="Arial" w:cs="Arial"/>
          <w:b/>
          <w:sz w:val="20"/>
        </w:rPr>
        <w:t xml:space="preserve">elentés a </w:t>
      </w:r>
      <w:r w:rsidR="00D9076F" w:rsidRPr="003170C2">
        <w:rPr>
          <w:rFonts w:ascii="Arial" w:hAnsi="Arial" w:cs="Arial"/>
          <w:b/>
          <w:sz w:val="20"/>
        </w:rPr>
        <w:t xml:space="preserve">mérlegen belüli </w:t>
      </w:r>
      <w:r w:rsidR="004D4A4D" w:rsidRPr="003170C2">
        <w:rPr>
          <w:rFonts w:ascii="Arial" w:hAnsi="Arial" w:cs="Arial"/>
          <w:b/>
          <w:sz w:val="20"/>
        </w:rPr>
        <w:t xml:space="preserve">bankközi </w:t>
      </w:r>
      <w:r w:rsidR="00D9076F" w:rsidRPr="003170C2">
        <w:rPr>
          <w:rFonts w:ascii="Arial" w:hAnsi="Arial" w:cs="Arial"/>
          <w:b/>
          <w:sz w:val="20"/>
        </w:rPr>
        <w:t xml:space="preserve">ügyletek </w:t>
      </w:r>
      <w:r w:rsidRPr="003170C2">
        <w:rPr>
          <w:rFonts w:ascii="Arial" w:hAnsi="Arial" w:cs="Arial"/>
          <w:b/>
          <w:sz w:val="20"/>
        </w:rPr>
        <w:t xml:space="preserve">fennálló </w:t>
      </w:r>
      <w:r w:rsidR="001D4E11" w:rsidRPr="003170C2">
        <w:rPr>
          <w:rFonts w:ascii="Arial" w:hAnsi="Arial" w:cs="Arial"/>
          <w:b/>
          <w:sz w:val="20"/>
        </w:rPr>
        <w:t xml:space="preserve">állományáról és </w:t>
      </w:r>
      <w:r w:rsidR="004D4A4D" w:rsidRPr="003170C2">
        <w:rPr>
          <w:rFonts w:ascii="Arial" w:hAnsi="Arial" w:cs="Arial"/>
          <w:b/>
          <w:sz w:val="20"/>
        </w:rPr>
        <w:t>kamatlábáról</w:t>
      </w:r>
    </w:p>
    <w:p w14:paraId="38816140" w14:textId="77777777" w:rsidR="00F56BC3" w:rsidRPr="003170C2" w:rsidRDefault="00F56BC3">
      <w:pPr>
        <w:rPr>
          <w:rFonts w:ascii="Arial" w:hAnsi="Arial" w:cs="Arial"/>
          <w:sz w:val="20"/>
        </w:rPr>
      </w:pPr>
    </w:p>
    <w:p w14:paraId="615C1E3F" w14:textId="1705C7D2" w:rsidR="00600CB4" w:rsidRPr="003170C2" w:rsidRDefault="00D9076F" w:rsidP="00600CB4">
      <w:pPr>
        <w:spacing w:before="120"/>
        <w:rPr>
          <w:rFonts w:ascii="Arial" w:hAnsi="Arial" w:cs="Arial"/>
          <w:sz w:val="20"/>
        </w:rPr>
      </w:pPr>
      <w:r w:rsidRPr="003170C2">
        <w:rPr>
          <w:rFonts w:ascii="Arial" w:hAnsi="Arial" w:cs="Arial"/>
          <w:sz w:val="20"/>
        </w:rPr>
        <w:t xml:space="preserve">1. </w:t>
      </w:r>
      <w:r w:rsidR="00600CB4" w:rsidRPr="003170C2">
        <w:rPr>
          <w:rFonts w:ascii="Arial" w:hAnsi="Arial" w:cs="Arial"/>
          <w:sz w:val="20"/>
          <w:lang w:eastAsia="en-US"/>
        </w:rPr>
        <w:t xml:space="preserve">Az adatszolgáltatásban a következő, </w:t>
      </w:r>
      <w:proofErr w:type="spellStart"/>
      <w:r w:rsidR="00600CB4" w:rsidRPr="003170C2">
        <w:rPr>
          <w:rFonts w:ascii="Arial" w:hAnsi="Arial" w:cs="Arial"/>
          <w:sz w:val="20"/>
          <w:lang w:eastAsia="en-US"/>
        </w:rPr>
        <w:t>FINREP</w:t>
      </w:r>
      <w:proofErr w:type="spellEnd"/>
      <w:r w:rsidR="00600CB4" w:rsidRPr="003170C2">
        <w:rPr>
          <w:rFonts w:ascii="Arial" w:hAnsi="Arial" w:cs="Arial"/>
          <w:sz w:val="20"/>
          <w:lang w:eastAsia="en-US"/>
        </w:rPr>
        <w:t xml:space="preserve"> adatszolgáltatásokban szereplő ügyleteket kell jelenteni (az MNB-vel szemben fennálló ügyletek, valamint a </w:t>
      </w:r>
      <w:r w:rsidR="00600CB4" w:rsidRPr="003170C2">
        <w:rPr>
          <w:rFonts w:ascii="Arial" w:hAnsi="Arial" w:cs="Arial"/>
          <w:sz w:val="20"/>
        </w:rPr>
        <w:t>D01 MNB azonosító kódú adatszolgáltatás 06. táblájában jelentett letéti számlaállományok</w:t>
      </w:r>
      <w:r w:rsidR="00600CB4" w:rsidRPr="003170C2">
        <w:rPr>
          <w:rFonts w:ascii="Arial" w:hAnsi="Arial" w:cs="Arial"/>
          <w:sz w:val="20"/>
          <w:lang w:eastAsia="en-US"/>
        </w:rPr>
        <w:t xml:space="preserve"> kivételével):</w:t>
      </w:r>
    </w:p>
    <w:p w14:paraId="3BAC20BA" w14:textId="77777777" w:rsidR="00600CB4" w:rsidRPr="003170C2" w:rsidRDefault="00600CB4" w:rsidP="00600CB4">
      <w:pPr>
        <w:rPr>
          <w:rFonts w:ascii="Arial" w:hAnsi="Arial" w:cs="Arial"/>
          <w:sz w:val="20"/>
          <w:lang w:eastAsia="en-US"/>
        </w:rPr>
      </w:pPr>
    </w:p>
    <w:tbl>
      <w:tblPr>
        <w:tblW w:w="93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7824"/>
      </w:tblGrid>
      <w:tr w:rsidR="003170C2" w:rsidRPr="003170C2" w14:paraId="1208A8A8" w14:textId="77777777" w:rsidTr="00600CB4">
        <w:trPr>
          <w:trHeight w:val="29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AAC836" w14:textId="77777777" w:rsidR="00600CB4" w:rsidRPr="003170C2" w:rsidRDefault="00600CB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Sorkód</w:t>
            </w:r>
          </w:p>
        </w:tc>
        <w:tc>
          <w:tcPr>
            <w:tcW w:w="7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CF8AB3" w14:textId="77777777" w:rsidR="00600CB4" w:rsidRPr="003170C2" w:rsidRDefault="00600CB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Sor megnevezése</w:t>
            </w:r>
          </w:p>
        </w:tc>
      </w:tr>
      <w:tr w:rsidR="003170C2" w:rsidRPr="003170C2" w14:paraId="6C5B66F8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3AEE47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F_08.01.a0060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401F1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Betétek / Központi bankok</w:t>
            </w:r>
          </w:p>
        </w:tc>
      </w:tr>
      <w:tr w:rsidR="003170C2" w:rsidRPr="003170C2" w14:paraId="2C86FD9A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8A3201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F_08.01.a0160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AD1839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Betétek / Hitelintézetek</w:t>
            </w:r>
          </w:p>
        </w:tc>
      </w:tr>
      <w:tr w:rsidR="003170C2" w:rsidRPr="003170C2" w14:paraId="0864C698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BBCDF1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F_18.00.a0005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D87DF4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Számlakövetelések központi bankokkal szemben és egyéb látra szóló betétek</w:t>
            </w:r>
          </w:p>
        </w:tc>
      </w:tr>
      <w:tr w:rsidR="003170C2" w:rsidRPr="003170C2" w14:paraId="20789221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237D9A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F_18.00.a0080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964240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Hitelek és előlegek / Központi bankok</w:t>
            </w:r>
          </w:p>
        </w:tc>
      </w:tr>
      <w:tr w:rsidR="003170C2" w:rsidRPr="003170C2" w14:paraId="1A7584B1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8ABFA6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F_18.00.a0100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E71DF9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Hitelek és előlegek / Hitelintézetek</w:t>
            </w:r>
          </w:p>
        </w:tc>
      </w:tr>
      <w:tr w:rsidR="003170C2" w:rsidRPr="003170C2" w14:paraId="2638B643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04CBA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F_18.00.a0192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C3E8E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Hitelek és előlegek / Központi bankok</w:t>
            </w:r>
          </w:p>
        </w:tc>
      </w:tr>
      <w:tr w:rsidR="003170C2" w:rsidRPr="003170C2" w14:paraId="7FF2B0E0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B4F8A9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F_18.00.a0194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B460D0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Hitelek és előlegek / Hitelintézetek</w:t>
            </w:r>
          </w:p>
        </w:tc>
      </w:tr>
      <w:tr w:rsidR="003170C2" w:rsidRPr="003170C2" w14:paraId="7C8408C4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786CC1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F_18.00.a0222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F0D764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Hitelek és előlegek / Központi bankok</w:t>
            </w:r>
          </w:p>
        </w:tc>
      </w:tr>
      <w:tr w:rsidR="003170C2" w:rsidRPr="003170C2" w14:paraId="32851942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51478D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F_18.00.a0224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2F244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Hitelek és előlegek / Hitelintézetek</w:t>
            </w:r>
          </w:p>
        </w:tc>
      </w:tr>
      <w:tr w:rsidR="003170C2" w:rsidRPr="003170C2" w14:paraId="02BB8791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6CAE0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F_04.010130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1BB4E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Hitelek és előlegek / Központi bankok</w:t>
            </w:r>
          </w:p>
        </w:tc>
      </w:tr>
      <w:tr w:rsidR="003170C2" w:rsidRPr="003170C2" w14:paraId="4FD4FF6A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4C6C30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F_04.010150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DF5537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Hitelek és előlegek / Hitelintézetek</w:t>
            </w:r>
          </w:p>
        </w:tc>
      </w:tr>
      <w:tr w:rsidR="003170C2" w:rsidRPr="003170C2" w14:paraId="570BB98B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75695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SF0801160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A15A22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Betétek / Hitelintézetek</w:t>
            </w:r>
          </w:p>
        </w:tc>
      </w:tr>
      <w:tr w:rsidR="003170C2" w:rsidRPr="003170C2" w14:paraId="6E06027E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9F89D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SF0801415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238731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Betétek / Külföld / Központi bank</w:t>
            </w:r>
          </w:p>
        </w:tc>
      </w:tr>
      <w:tr w:rsidR="003170C2" w:rsidRPr="003170C2" w14:paraId="09AD54B4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9A959B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SF0801465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6A50E0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Betétek / Külföld / Hitelintézetek</w:t>
            </w:r>
          </w:p>
        </w:tc>
      </w:tr>
      <w:tr w:rsidR="003170C2" w:rsidRPr="003170C2" w14:paraId="13A8CFA4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974120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SF0801605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AA55C3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Felvett hitelek / Hitelintézetek</w:t>
            </w:r>
          </w:p>
        </w:tc>
      </w:tr>
      <w:tr w:rsidR="003170C2" w:rsidRPr="003170C2" w14:paraId="04E13C79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28A17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SF0801635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E86116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Felvett hitelek / Külföld / Központi bank</w:t>
            </w:r>
          </w:p>
        </w:tc>
      </w:tr>
      <w:tr w:rsidR="003170C2" w:rsidRPr="003170C2" w14:paraId="5CB929F1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D99944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SF0801645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99F17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Felvett hitelek / Külföld / Hitelintézetek</w:t>
            </w:r>
          </w:p>
        </w:tc>
      </w:tr>
      <w:tr w:rsidR="003170C2" w:rsidRPr="003170C2" w14:paraId="314B6FF7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8AF4AB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SF1801030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D91019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Számlakövetelések központi bankokkal szemben és egyéb látra szóló betétek / Hitelintézetek</w:t>
            </w:r>
          </w:p>
        </w:tc>
      </w:tr>
      <w:tr w:rsidR="003170C2" w:rsidRPr="003170C2" w14:paraId="77281B44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132B40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SF1801040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6F0BE5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Számlakövetelések központi bankokkal szemben és egyéb látra szóló betétek / Külföld</w:t>
            </w:r>
          </w:p>
        </w:tc>
      </w:tr>
      <w:tr w:rsidR="003170C2" w:rsidRPr="003170C2" w14:paraId="05AD75B0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B000E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SF1801170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2DF8C5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Jegybanki és bankközi betétek / Hitelintézetek</w:t>
            </w:r>
          </w:p>
        </w:tc>
      </w:tr>
      <w:tr w:rsidR="003170C2" w:rsidRPr="003170C2" w14:paraId="76B69BF7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8856D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SF1801180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73920C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Jegybanki és bankközi betétek / Külföld</w:t>
            </w:r>
          </w:p>
        </w:tc>
      </w:tr>
      <w:tr w:rsidR="003170C2" w:rsidRPr="003170C2" w14:paraId="04F2EDDA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8A491E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SF1801240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3DD71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Hitelek / Hitelintézetek</w:t>
            </w:r>
          </w:p>
        </w:tc>
      </w:tr>
      <w:tr w:rsidR="003170C2" w:rsidRPr="003170C2" w14:paraId="11700387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B87B4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SF1801450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B1F77B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Hitelek / Külföld / Hitelintézetek</w:t>
            </w:r>
          </w:p>
        </w:tc>
      </w:tr>
      <w:tr w:rsidR="003170C2" w:rsidRPr="003170C2" w14:paraId="5F8FFD37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3FD5B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SF040102260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5B3F15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Hitelek / Hitelintézetek</w:t>
            </w:r>
          </w:p>
        </w:tc>
      </w:tr>
      <w:tr w:rsidR="003170C2" w:rsidRPr="003170C2" w14:paraId="7F3E4054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F21919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SF040102330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9A010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Hitelek / Külföld / Hitelintézetek</w:t>
            </w:r>
          </w:p>
        </w:tc>
      </w:tr>
      <w:tr w:rsidR="003170C2" w:rsidRPr="003170C2" w14:paraId="55299D1B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36D167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SF040102410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0C0BB2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Jegybanki és bankközi betétek / Hitelintézetek</w:t>
            </w:r>
          </w:p>
        </w:tc>
      </w:tr>
      <w:tr w:rsidR="003170C2" w:rsidRPr="003170C2" w14:paraId="14834EFE" w14:textId="77777777" w:rsidTr="00600CB4">
        <w:trPr>
          <w:trHeight w:val="29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7CEECC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SF040102420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E1E7B8" w14:textId="77777777" w:rsidR="00600CB4" w:rsidRPr="003170C2" w:rsidRDefault="00600CB4">
            <w:pPr>
              <w:jc w:val="lef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Jegybanki és bankközi betétek / Külföld</w:t>
            </w:r>
          </w:p>
        </w:tc>
      </w:tr>
    </w:tbl>
    <w:p w14:paraId="5CC0A432" w14:textId="77777777" w:rsidR="00600CB4" w:rsidRPr="003170C2" w:rsidRDefault="00600CB4">
      <w:pPr>
        <w:spacing w:after="120"/>
        <w:rPr>
          <w:rFonts w:ascii="Arial" w:hAnsi="Arial" w:cs="Arial"/>
          <w:b/>
          <w:sz w:val="20"/>
        </w:rPr>
      </w:pPr>
    </w:p>
    <w:p w14:paraId="7A5B4520" w14:textId="03801D33" w:rsidR="00602363" w:rsidRPr="003170C2" w:rsidRDefault="00A4600F" w:rsidP="00602363">
      <w:pPr>
        <w:spacing w:after="120"/>
        <w:rPr>
          <w:rFonts w:ascii="Arial" w:hAnsi="Arial" w:cs="Arial"/>
          <w:sz w:val="20"/>
        </w:rPr>
      </w:pPr>
      <w:r w:rsidRPr="003170C2">
        <w:rPr>
          <w:rFonts w:ascii="Arial" w:hAnsi="Arial" w:cs="Arial"/>
          <w:snapToGrid w:val="0"/>
          <w:sz w:val="20"/>
          <w:lang w:eastAsia="en-US"/>
        </w:rPr>
        <w:t>2</w:t>
      </w:r>
      <w:r w:rsidR="00365121" w:rsidRPr="003170C2">
        <w:rPr>
          <w:rFonts w:ascii="Arial" w:hAnsi="Arial" w:cs="Arial"/>
          <w:snapToGrid w:val="0"/>
          <w:sz w:val="20"/>
          <w:lang w:eastAsia="en-US"/>
        </w:rPr>
        <w:t xml:space="preserve">. A </w:t>
      </w:r>
      <w:r w:rsidR="00365121" w:rsidRPr="003170C2">
        <w:rPr>
          <w:rFonts w:ascii="Arial" w:hAnsi="Arial" w:cs="Arial"/>
          <w:sz w:val="20"/>
        </w:rPr>
        <w:t xml:space="preserve">refinanszírozási céllal történő kihelyezések és felvétek esetében </w:t>
      </w:r>
      <w:r w:rsidR="00913AE8" w:rsidRPr="003170C2">
        <w:rPr>
          <w:rFonts w:ascii="Arial" w:hAnsi="Arial" w:cs="Arial"/>
          <w:sz w:val="20"/>
        </w:rPr>
        <w:t xml:space="preserve">az ügyletet annak eredeti paraméterei (pl. </w:t>
      </w:r>
      <w:r w:rsidRPr="003170C2">
        <w:rPr>
          <w:rFonts w:ascii="Arial" w:hAnsi="Arial" w:cs="Arial"/>
          <w:sz w:val="20"/>
        </w:rPr>
        <w:t>„A</w:t>
      </w:r>
      <w:r w:rsidR="00602363" w:rsidRPr="003170C2">
        <w:rPr>
          <w:rFonts w:ascii="Arial" w:hAnsi="Arial" w:cs="Arial"/>
          <w:sz w:val="20"/>
        </w:rPr>
        <w:t xml:space="preserve"> bankközi ügylet záró időpontja</w:t>
      </w:r>
      <w:r w:rsidRPr="003170C2">
        <w:rPr>
          <w:rFonts w:ascii="Arial" w:hAnsi="Arial" w:cs="Arial"/>
          <w:sz w:val="20"/>
        </w:rPr>
        <w:t>”</w:t>
      </w:r>
      <w:r w:rsidR="00913AE8" w:rsidRPr="003170C2">
        <w:rPr>
          <w:rFonts w:ascii="Arial" w:hAnsi="Arial" w:cs="Arial"/>
          <w:sz w:val="20"/>
        </w:rPr>
        <w:t xml:space="preserve">, </w:t>
      </w:r>
      <w:r w:rsidRPr="003170C2">
        <w:rPr>
          <w:rFonts w:ascii="Arial" w:hAnsi="Arial" w:cs="Arial"/>
          <w:sz w:val="20"/>
        </w:rPr>
        <w:t>„Á</w:t>
      </w:r>
      <w:r w:rsidR="00602363" w:rsidRPr="003170C2">
        <w:rPr>
          <w:rFonts w:ascii="Arial" w:hAnsi="Arial" w:cs="Arial"/>
          <w:sz w:val="20"/>
        </w:rPr>
        <w:t>llományi évesített kamatláb (%-ban)</w:t>
      </w:r>
      <w:r w:rsidRPr="003170C2">
        <w:rPr>
          <w:rFonts w:ascii="Arial" w:hAnsi="Arial" w:cs="Arial"/>
          <w:sz w:val="20"/>
        </w:rPr>
        <w:t>”</w:t>
      </w:r>
      <w:r w:rsidR="00913AE8" w:rsidRPr="003170C2">
        <w:rPr>
          <w:rFonts w:ascii="Arial" w:hAnsi="Arial" w:cs="Arial"/>
          <w:sz w:val="20"/>
        </w:rPr>
        <w:t xml:space="preserve">) szerint kell jelenteni, </w:t>
      </w:r>
      <w:r w:rsidR="00602363" w:rsidRPr="003170C2">
        <w:rPr>
          <w:rFonts w:ascii="Arial" w:hAnsi="Arial" w:cs="Arial"/>
          <w:sz w:val="20"/>
        </w:rPr>
        <w:t xml:space="preserve">és </w:t>
      </w:r>
      <w:r w:rsidR="00913AE8" w:rsidRPr="003170C2">
        <w:rPr>
          <w:rFonts w:ascii="Arial" w:hAnsi="Arial" w:cs="Arial"/>
          <w:sz w:val="20"/>
        </w:rPr>
        <w:t xml:space="preserve">nem kell megbontani az ügyletet a </w:t>
      </w:r>
      <w:proofErr w:type="spellStart"/>
      <w:r w:rsidR="00913AE8" w:rsidRPr="003170C2">
        <w:rPr>
          <w:rFonts w:ascii="Arial" w:hAnsi="Arial" w:cs="Arial"/>
          <w:sz w:val="20"/>
        </w:rPr>
        <w:t>továbbfolyósított</w:t>
      </w:r>
      <w:proofErr w:type="spellEnd"/>
      <w:r w:rsidR="00913AE8" w:rsidRPr="003170C2">
        <w:rPr>
          <w:rFonts w:ascii="Arial" w:hAnsi="Arial" w:cs="Arial"/>
          <w:sz w:val="20"/>
        </w:rPr>
        <w:t xml:space="preserve"> ügyletek lejáratai alapján.</w:t>
      </w:r>
    </w:p>
    <w:p w14:paraId="1413B3B7" w14:textId="73E4F8F2" w:rsidR="00602363" w:rsidRPr="003170C2" w:rsidRDefault="00602363" w:rsidP="00602363">
      <w:pPr>
        <w:spacing w:after="120"/>
        <w:rPr>
          <w:rFonts w:ascii="Arial" w:hAnsi="Arial" w:cs="Arial"/>
          <w:sz w:val="20"/>
        </w:rPr>
      </w:pPr>
      <w:r w:rsidRPr="003170C2">
        <w:rPr>
          <w:rFonts w:ascii="Arial" w:hAnsi="Arial" w:cs="Arial"/>
          <w:sz w:val="20"/>
        </w:rPr>
        <w:t xml:space="preserve">A refinanszírozási céllal történő kihelyezés esetében a </w:t>
      </w:r>
      <w:proofErr w:type="spellStart"/>
      <w:r w:rsidRPr="003170C2">
        <w:rPr>
          <w:rFonts w:ascii="Arial" w:hAnsi="Arial" w:cs="Arial"/>
          <w:sz w:val="20"/>
        </w:rPr>
        <w:t>továbbfolyósított</w:t>
      </w:r>
      <w:proofErr w:type="spellEnd"/>
      <w:r w:rsidRPr="003170C2">
        <w:rPr>
          <w:rFonts w:ascii="Arial" w:hAnsi="Arial" w:cs="Arial"/>
          <w:sz w:val="20"/>
        </w:rPr>
        <w:t xml:space="preserve"> ügylet a partner intézmény és annak ügyfele között jön létre, tehát </w:t>
      </w:r>
      <w:r w:rsidR="00773864">
        <w:rPr>
          <w:rFonts w:ascii="Arial" w:hAnsi="Arial" w:cs="Arial"/>
          <w:sz w:val="20"/>
        </w:rPr>
        <w:t xml:space="preserve">a </w:t>
      </w:r>
      <w:proofErr w:type="spellStart"/>
      <w:r w:rsidR="00773864">
        <w:rPr>
          <w:rFonts w:ascii="Arial" w:hAnsi="Arial" w:cs="Arial"/>
          <w:sz w:val="20"/>
        </w:rPr>
        <w:t>továbbfolyósított</w:t>
      </w:r>
      <w:proofErr w:type="spellEnd"/>
      <w:r w:rsidR="00773864">
        <w:rPr>
          <w:rFonts w:ascii="Arial" w:hAnsi="Arial" w:cs="Arial"/>
          <w:sz w:val="20"/>
        </w:rPr>
        <w:t xml:space="preserve"> ügylet </w:t>
      </w:r>
      <w:r w:rsidRPr="003170C2">
        <w:rPr>
          <w:rFonts w:ascii="Arial" w:hAnsi="Arial" w:cs="Arial"/>
          <w:sz w:val="20"/>
        </w:rPr>
        <w:t xml:space="preserve">az adatszolgáltató részéről </w:t>
      </w:r>
      <w:r w:rsidR="00773864">
        <w:rPr>
          <w:rFonts w:ascii="Arial" w:hAnsi="Arial" w:cs="Arial"/>
          <w:sz w:val="20"/>
        </w:rPr>
        <w:t xml:space="preserve">értelemszerűen </w:t>
      </w:r>
      <w:r w:rsidRPr="003170C2">
        <w:rPr>
          <w:rFonts w:ascii="Arial" w:hAnsi="Arial" w:cs="Arial"/>
          <w:sz w:val="20"/>
        </w:rPr>
        <w:t xml:space="preserve">nem jelentendő. A refinanszírozási céllal történő felvét esetében azonban a </w:t>
      </w:r>
      <w:proofErr w:type="spellStart"/>
      <w:r w:rsidRPr="003170C2">
        <w:rPr>
          <w:rFonts w:ascii="Arial" w:hAnsi="Arial" w:cs="Arial"/>
          <w:sz w:val="20"/>
        </w:rPr>
        <w:t>továbbfolyósított</w:t>
      </w:r>
      <w:proofErr w:type="spellEnd"/>
      <w:r w:rsidRPr="003170C2">
        <w:rPr>
          <w:rFonts w:ascii="Arial" w:hAnsi="Arial" w:cs="Arial"/>
          <w:sz w:val="20"/>
        </w:rPr>
        <w:t xml:space="preserve"> ügylet(</w:t>
      </w:r>
      <w:proofErr w:type="spellStart"/>
      <w:r w:rsidRPr="003170C2">
        <w:rPr>
          <w:rFonts w:ascii="Arial" w:hAnsi="Arial" w:cs="Arial"/>
          <w:sz w:val="20"/>
        </w:rPr>
        <w:t>ek</w:t>
      </w:r>
      <w:proofErr w:type="spellEnd"/>
      <w:r w:rsidRPr="003170C2">
        <w:rPr>
          <w:rFonts w:ascii="Arial" w:hAnsi="Arial" w:cs="Arial"/>
          <w:sz w:val="20"/>
        </w:rPr>
        <w:t>)</w:t>
      </w:r>
      <w:proofErr w:type="spellStart"/>
      <w:r w:rsidRPr="003170C2">
        <w:rPr>
          <w:rFonts w:ascii="Arial" w:hAnsi="Arial" w:cs="Arial"/>
          <w:sz w:val="20"/>
        </w:rPr>
        <w:t>et</w:t>
      </w:r>
      <w:proofErr w:type="spellEnd"/>
      <w:r w:rsidRPr="003170C2">
        <w:rPr>
          <w:rFonts w:ascii="Arial" w:hAnsi="Arial" w:cs="Arial"/>
          <w:sz w:val="20"/>
        </w:rPr>
        <w:t xml:space="preserve"> is jelenteni kell, ha az(ok) bankközi ügylet(</w:t>
      </w:r>
      <w:proofErr w:type="spellStart"/>
      <w:r w:rsidRPr="003170C2">
        <w:rPr>
          <w:rFonts w:ascii="Arial" w:hAnsi="Arial" w:cs="Arial"/>
          <w:sz w:val="20"/>
        </w:rPr>
        <w:t>ek</w:t>
      </w:r>
      <w:proofErr w:type="spellEnd"/>
      <w:r w:rsidRPr="003170C2">
        <w:rPr>
          <w:rFonts w:ascii="Arial" w:hAnsi="Arial" w:cs="Arial"/>
          <w:sz w:val="20"/>
        </w:rPr>
        <w:t>).</w:t>
      </w:r>
    </w:p>
    <w:p w14:paraId="5B0FD0A0" w14:textId="04AAA9FF" w:rsidR="00365121" w:rsidRPr="003170C2" w:rsidRDefault="00773864" w:rsidP="00602363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Egy szerződés esetében a</w:t>
      </w:r>
      <w:r w:rsidR="00602363" w:rsidRPr="003170C2">
        <w:rPr>
          <w:rFonts w:ascii="Arial" w:hAnsi="Arial" w:cs="Arial"/>
          <w:sz w:val="20"/>
        </w:rPr>
        <w:t xml:space="preserve"> jelentendő sorok száma attól függ, hogy a jelent</w:t>
      </w:r>
      <w:r>
        <w:rPr>
          <w:rFonts w:ascii="Arial" w:hAnsi="Arial" w:cs="Arial"/>
          <w:sz w:val="20"/>
        </w:rPr>
        <w:t>endő</w:t>
      </w:r>
      <w:r w:rsidR="00602363" w:rsidRPr="003170C2">
        <w:rPr>
          <w:rFonts w:ascii="Arial" w:hAnsi="Arial" w:cs="Arial"/>
          <w:sz w:val="20"/>
        </w:rPr>
        <w:t xml:space="preserve"> bankközi ügylet </w:t>
      </w:r>
      <w:r>
        <w:rPr>
          <w:rFonts w:ascii="Arial" w:hAnsi="Arial" w:cs="Arial"/>
          <w:sz w:val="20"/>
        </w:rPr>
        <w:t>hány</w:t>
      </w:r>
      <w:r w:rsidR="00602363" w:rsidRPr="003170C2">
        <w:rPr>
          <w:rFonts w:ascii="Arial" w:hAnsi="Arial" w:cs="Arial"/>
          <w:sz w:val="20"/>
        </w:rPr>
        <w:t xml:space="preserve"> „homogén”, </w:t>
      </w:r>
      <w:r>
        <w:rPr>
          <w:rFonts w:ascii="Arial" w:hAnsi="Arial" w:cs="Arial"/>
          <w:sz w:val="20"/>
        </w:rPr>
        <w:t xml:space="preserve">tehát </w:t>
      </w:r>
      <w:r w:rsidR="00602363" w:rsidRPr="003170C2">
        <w:rPr>
          <w:rFonts w:ascii="Arial" w:hAnsi="Arial" w:cs="Arial"/>
          <w:sz w:val="20"/>
        </w:rPr>
        <w:t>teljesen azonos paraméterekkel rendelkező részből áll</w:t>
      </w:r>
      <w:r>
        <w:rPr>
          <w:rFonts w:ascii="Arial" w:hAnsi="Arial" w:cs="Arial"/>
          <w:sz w:val="20"/>
        </w:rPr>
        <w:t xml:space="preserve">, azaz </w:t>
      </w:r>
      <w:r w:rsidR="00A4600F" w:rsidRPr="003170C2">
        <w:rPr>
          <w:rFonts w:ascii="Arial" w:hAnsi="Arial" w:cs="Arial"/>
          <w:sz w:val="20"/>
        </w:rPr>
        <w:t>e</w:t>
      </w:r>
      <w:r w:rsidR="00602363" w:rsidRPr="003170C2">
        <w:rPr>
          <w:rFonts w:ascii="Arial" w:hAnsi="Arial" w:cs="Arial"/>
          <w:sz w:val="20"/>
        </w:rPr>
        <w:t>gy szerződésen belül egy sor</w:t>
      </w:r>
      <w:r w:rsidR="00A4600F" w:rsidRPr="003170C2">
        <w:rPr>
          <w:rFonts w:ascii="Arial" w:hAnsi="Arial" w:cs="Arial"/>
          <w:sz w:val="20"/>
        </w:rPr>
        <w:t>ban</w:t>
      </w:r>
      <w:r w:rsidR="00602363" w:rsidRPr="003170C2">
        <w:rPr>
          <w:rFonts w:ascii="Arial" w:hAnsi="Arial" w:cs="Arial"/>
          <w:sz w:val="20"/>
        </w:rPr>
        <w:t xml:space="preserve"> jelenthetőek azon </w:t>
      </w:r>
      <w:r w:rsidR="00A4600F" w:rsidRPr="003170C2">
        <w:rPr>
          <w:rFonts w:ascii="Arial" w:hAnsi="Arial" w:cs="Arial"/>
          <w:sz w:val="20"/>
        </w:rPr>
        <w:t>rész</w:t>
      </w:r>
      <w:r w:rsidR="00602363" w:rsidRPr="003170C2">
        <w:rPr>
          <w:rFonts w:ascii="Arial" w:hAnsi="Arial" w:cs="Arial"/>
          <w:sz w:val="20"/>
        </w:rPr>
        <w:t>összegek, melyek esetében</w:t>
      </w:r>
      <w:r w:rsidR="00A4600F" w:rsidRPr="003170C2">
        <w:rPr>
          <w:rFonts w:ascii="Arial" w:hAnsi="Arial" w:cs="Arial"/>
          <w:sz w:val="20"/>
        </w:rPr>
        <w:t xml:space="preserve"> „A szerződés összege” és „A bankközi ügyletből tárgyhónap végén fennálló állomány” oszlopok</w:t>
      </w:r>
      <w:r>
        <w:rPr>
          <w:rFonts w:ascii="Arial" w:hAnsi="Arial" w:cs="Arial"/>
          <w:sz w:val="20"/>
        </w:rPr>
        <w:t xml:space="preserve">on </w:t>
      </w:r>
      <w:r w:rsidR="00A4600F" w:rsidRPr="003170C2">
        <w:rPr>
          <w:rFonts w:ascii="Arial" w:hAnsi="Arial" w:cs="Arial"/>
          <w:sz w:val="20"/>
        </w:rPr>
        <w:t>kívül minden oszlopban azonos értékek szerepelnek.</w:t>
      </w:r>
    </w:p>
    <w:p w14:paraId="7A36D207" w14:textId="044CF045" w:rsidR="00865FF9" w:rsidRPr="003170C2" w:rsidRDefault="00A4600F">
      <w:pPr>
        <w:spacing w:after="120"/>
        <w:rPr>
          <w:rFonts w:ascii="Arial" w:hAnsi="Arial" w:cs="Arial"/>
          <w:snapToGrid w:val="0"/>
          <w:sz w:val="20"/>
          <w:lang w:eastAsia="en-US"/>
        </w:rPr>
      </w:pPr>
      <w:r w:rsidRPr="003170C2">
        <w:rPr>
          <w:rFonts w:ascii="Arial" w:hAnsi="Arial" w:cs="Arial"/>
          <w:snapToGrid w:val="0"/>
          <w:sz w:val="20"/>
          <w:lang w:eastAsia="en-US"/>
        </w:rPr>
        <w:t>3</w:t>
      </w:r>
      <w:r w:rsidR="00F56BC3" w:rsidRPr="003170C2">
        <w:rPr>
          <w:rFonts w:ascii="Arial" w:hAnsi="Arial" w:cs="Arial"/>
          <w:snapToGrid w:val="0"/>
          <w:sz w:val="20"/>
          <w:lang w:eastAsia="en-US"/>
        </w:rPr>
        <w:t xml:space="preserve">. </w:t>
      </w:r>
      <w:r w:rsidR="0080459A" w:rsidRPr="003170C2">
        <w:rPr>
          <w:rFonts w:ascii="Arial" w:hAnsi="Arial" w:cs="Arial"/>
          <w:snapToGrid w:val="0"/>
          <w:sz w:val="20"/>
          <w:lang w:eastAsia="en-US"/>
        </w:rPr>
        <w:t xml:space="preserve">Az adatszolgáltatás </w:t>
      </w:r>
      <w:r w:rsidR="00773864">
        <w:rPr>
          <w:rFonts w:ascii="Arial" w:hAnsi="Arial" w:cs="Arial"/>
          <w:snapToGrid w:val="0"/>
          <w:sz w:val="20"/>
          <w:lang w:eastAsia="en-US"/>
        </w:rPr>
        <w:t xml:space="preserve">tárgyát </w:t>
      </w:r>
      <w:r w:rsidR="0080459A" w:rsidRPr="003170C2">
        <w:rPr>
          <w:rFonts w:ascii="Arial" w:hAnsi="Arial" w:cs="Arial"/>
          <w:snapToGrid w:val="0"/>
          <w:sz w:val="20"/>
          <w:lang w:eastAsia="en-US"/>
        </w:rPr>
        <w:t xml:space="preserve">a </w:t>
      </w:r>
      <w:r w:rsidR="0080459A" w:rsidRPr="00773864">
        <w:rPr>
          <w:rFonts w:ascii="Arial" w:hAnsi="Arial" w:cs="Arial"/>
          <w:i/>
          <w:iCs/>
          <w:snapToGrid w:val="0"/>
          <w:sz w:val="20"/>
          <w:lang w:eastAsia="en-US"/>
        </w:rPr>
        <w:t>mérlegen belüli</w:t>
      </w:r>
      <w:r w:rsidR="0080459A" w:rsidRPr="003170C2">
        <w:rPr>
          <w:rFonts w:ascii="Arial" w:hAnsi="Arial" w:cs="Arial"/>
          <w:snapToGrid w:val="0"/>
          <w:sz w:val="20"/>
          <w:lang w:eastAsia="en-US"/>
        </w:rPr>
        <w:t xml:space="preserve"> bankközi ügyletek</w:t>
      </w:r>
      <w:r w:rsidR="00773864">
        <w:rPr>
          <w:rFonts w:ascii="Arial" w:hAnsi="Arial" w:cs="Arial"/>
          <w:snapToGrid w:val="0"/>
          <w:sz w:val="20"/>
          <w:lang w:eastAsia="en-US"/>
        </w:rPr>
        <w:t xml:space="preserve"> képezik</w:t>
      </w:r>
      <w:r w:rsidR="0080459A" w:rsidRPr="003170C2">
        <w:rPr>
          <w:rFonts w:ascii="Arial" w:hAnsi="Arial" w:cs="Arial"/>
          <w:snapToGrid w:val="0"/>
          <w:sz w:val="20"/>
          <w:lang w:eastAsia="en-US"/>
        </w:rPr>
        <w:t>, ezzel összhangban a</w:t>
      </w:r>
      <w:r w:rsidR="00F56BC3" w:rsidRPr="003170C2">
        <w:rPr>
          <w:rFonts w:ascii="Arial" w:hAnsi="Arial" w:cs="Arial"/>
          <w:snapToGrid w:val="0"/>
          <w:sz w:val="20"/>
          <w:lang w:eastAsia="en-US"/>
        </w:rPr>
        <w:t xml:space="preserve"> hitelkeret-szerződés</w:t>
      </w:r>
      <w:r w:rsidR="00555BAA" w:rsidRPr="003170C2">
        <w:rPr>
          <w:rFonts w:ascii="Arial" w:hAnsi="Arial" w:cs="Arial"/>
          <w:snapToGrid w:val="0"/>
          <w:sz w:val="20"/>
          <w:lang w:eastAsia="en-US"/>
        </w:rPr>
        <w:t xml:space="preserve">t nem a megkötéskor, hanem a lehíváskor kell jelenteni a </w:t>
      </w:r>
      <w:r w:rsidR="00F56BC3" w:rsidRPr="003170C2">
        <w:rPr>
          <w:rFonts w:ascii="Arial" w:hAnsi="Arial" w:cs="Arial"/>
          <w:snapToGrid w:val="0"/>
          <w:sz w:val="20"/>
          <w:lang w:eastAsia="en-US"/>
        </w:rPr>
        <w:t>lehívott összegek</w:t>
      </w:r>
      <w:r w:rsidR="00555BAA" w:rsidRPr="003170C2">
        <w:rPr>
          <w:rFonts w:ascii="Arial" w:hAnsi="Arial" w:cs="Arial"/>
          <w:snapToGrid w:val="0"/>
          <w:sz w:val="20"/>
          <w:lang w:eastAsia="en-US"/>
        </w:rPr>
        <w:t>nek megfelelően</w:t>
      </w:r>
      <w:r w:rsidR="0041708D" w:rsidRPr="003170C2">
        <w:rPr>
          <w:rFonts w:ascii="Arial" w:hAnsi="Arial" w:cs="Arial"/>
          <w:snapToGrid w:val="0"/>
          <w:sz w:val="20"/>
          <w:lang w:eastAsia="en-US"/>
        </w:rPr>
        <w:t>,</w:t>
      </w:r>
      <w:r w:rsidR="00023FC7" w:rsidRPr="003170C2">
        <w:rPr>
          <w:rFonts w:ascii="Arial" w:hAnsi="Arial" w:cs="Arial"/>
          <w:snapToGrid w:val="0"/>
          <w:sz w:val="20"/>
          <w:lang w:eastAsia="en-US"/>
        </w:rPr>
        <w:t xml:space="preserve"> </w:t>
      </w:r>
      <w:r w:rsidR="00F56BC3" w:rsidRPr="003170C2">
        <w:rPr>
          <w:rFonts w:ascii="Arial" w:hAnsi="Arial" w:cs="Arial"/>
          <w:snapToGrid w:val="0"/>
          <w:sz w:val="20"/>
          <w:lang w:eastAsia="en-US"/>
        </w:rPr>
        <w:t>és a lehíváskor érvényes kamatlábat kell</w:t>
      </w:r>
      <w:r w:rsidR="00555BAA" w:rsidRPr="003170C2">
        <w:rPr>
          <w:rFonts w:ascii="Arial" w:hAnsi="Arial" w:cs="Arial"/>
          <w:snapToGrid w:val="0"/>
          <w:sz w:val="20"/>
          <w:lang w:eastAsia="en-US"/>
        </w:rPr>
        <w:t xml:space="preserve"> megadni. Amennyiben a már lehívott hitelkeret bővítésre kerül</w:t>
      </w:r>
      <w:r w:rsidR="000044D5" w:rsidRPr="003170C2">
        <w:rPr>
          <w:rFonts w:ascii="Arial" w:hAnsi="Arial" w:cs="Arial"/>
          <w:snapToGrid w:val="0"/>
          <w:sz w:val="20"/>
          <w:lang w:eastAsia="en-US"/>
        </w:rPr>
        <w:t>,</w:t>
      </w:r>
      <w:r w:rsidR="00555BAA" w:rsidRPr="003170C2">
        <w:rPr>
          <w:rFonts w:ascii="Arial" w:hAnsi="Arial" w:cs="Arial"/>
          <w:snapToGrid w:val="0"/>
          <w:sz w:val="20"/>
          <w:lang w:eastAsia="en-US"/>
        </w:rPr>
        <w:t xml:space="preserve"> az új hitelkeret</w:t>
      </w:r>
      <w:r w:rsidR="000345B2" w:rsidRPr="003170C2">
        <w:rPr>
          <w:rFonts w:ascii="Arial" w:hAnsi="Arial" w:cs="Arial"/>
          <w:snapToGrid w:val="0"/>
          <w:sz w:val="20"/>
          <w:lang w:eastAsia="en-US"/>
        </w:rPr>
        <w:t>-</w:t>
      </w:r>
      <w:r w:rsidR="00555BAA" w:rsidRPr="003170C2">
        <w:rPr>
          <w:rFonts w:ascii="Arial" w:hAnsi="Arial" w:cs="Arial"/>
          <w:snapToGrid w:val="0"/>
          <w:sz w:val="20"/>
          <w:lang w:eastAsia="en-US"/>
        </w:rPr>
        <w:t>növekményt annak lehívás</w:t>
      </w:r>
      <w:r w:rsidR="000044D5" w:rsidRPr="003170C2">
        <w:rPr>
          <w:rFonts w:ascii="Arial" w:hAnsi="Arial" w:cs="Arial"/>
          <w:snapToGrid w:val="0"/>
          <w:sz w:val="20"/>
          <w:lang w:eastAsia="en-US"/>
        </w:rPr>
        <w:t>a</w:t>
      </w:r>
      <w:r w:rsidR="00555BAA" w:rsidRPr="003170C2">
        <w:rPr>
          <w:rFonts w:ascii="Arial" w:hAnsi="Arial" w:cs="Arial"/>
          <w:snapToGrid w:val="0"/>
          <w:sz w:val="20"/>
          <w:lang w:eastAsia="en-US"/>
        </w:rPr>
        <w:t>kor kell csak jelenteni.</w:t>
      </w:r>
      <w:r w:rsidR="0080459A" w:rsidRPr="003170C2">
        <w:rPr>
          <w:rFonts w:ascii="Arial" w:hAnsi="Arial" w:cs="Arial"/>
          <w:snapToGrid w:val="0"/>
          <w:sz w:val="20"/>
          <w:lang w:eastAsia="en-US"/>
        </w:rPr>
        <w:t xml:space="preserve"> „</w:t>
      </w:r>
      <w:r w:rsidR="0080459A" w:rsidRPr="003170C2">
        <w:rPr>
          <w:rFonts w:ascii="Arial" w:hAnsi="Arial" w:cs="Arial"/>
          <w:sz w:val="20"/>
        </w:rPr>
        <w:t>A szerződés összege” oszlopban így hitelkeret-szerződés esetében az adott hónapig lehívott összeget kell jelenteni, a hitelkeretből le nem hívott rész nem jelentendő.</w:t>
      </w:r>
    </w:p>
    <w:p w14:paraId="2E62D66E" w14:textId="69066F67" w:rsidR="00DB7AD3" w:rsidRPr="003170C2" w:rsidRDefault="00DB7AD3" w:rsidP="00431D9D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lang w:eastAsia="en-US"/>
        </w:rPr>
      </w:pPr>
    </w:p>
    <w:p w14:paraId="04E0B7CB" w14:textId="49F38DBB" w:rsidR="0080459A" w:rsidRPr="003170C2" w:rsidRDefault="0080459A" w:rsidP="0080459A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u w:val="single"/>
          <w:lang w:eastAsia="en-US"/>
        </w:rPr>
      </w:pPr>
      <w:r w:rsidRPr="003170C2">
        <w:rPr>
          <w:rFonts w:ascii="Arial" w:hAnsi="Arial" w:cs="Arial"/>
          <w:snapToGrid w:val="0"/>
          <w:sz w:val="20"/>
          <w:u w:val="single"/>
          <w:lang w:eastAsia="en-US"/>
        </w:rPr>
        <w:t>1. példa – hitelkeret-szerződés jelentése</w:t>
      </w:r>
      <w:r w:rsidR="00C87F74" w:rsidRPr="003170C2">
        <w:rPr>
          <w:rFonts w:ascii="Arial" w:hAnsi="Arial" w:cs="Arial"/>
          <w:snapToGrid w:val="0"/>
          <w:sz w:val="20"/>
          <w:u w:val="single"/>
          <w:lang w:eastAsia="en-US"/>
        </w:rPr>
        <w:t>, törlesztés nélkül</w:t>
      </w:r>
      <w:r w:rsidRPr="003170C2">
        <w:rPr>
          <w:rFonts w:ascii="Arial" w:hAnsi="Arial" w:cs="Arial"/>
          <w:snapToGrid w:val="0"/>
          <w:sz w:val="20"/>
          <w:u w:val="single"/>
          <w:lang w:eastAsia="en-US"/>
        </w:rPr>
        <w:t xml:space="preserve"> (nem </w:t>
      </w:r>
      <w:proofErr w:type="spellStart"/>
      <w:r w:rsidRPr="003170C2">
        <w:rPr>
          <w:rFonts w:ascii="Arial" w:hAnsi="Arial" w:cs="Arial"/>
          <w:snapToGrid w:val="0"/>
          <w:sz w:val="20"/>
          <w:u w:val="single"/>
          <w:lang w:eastAsia="en-US"/>
        </w:rPr>
        <w:t>rulírozó</w:t>
      </w:r>
      <w:proofErr w:type="spellEnd"/>
      <w:r w:rsidRPr="003170C2">
        <w:rPr>
          <w:rFonts w:ascii="Arial" w:hAnsi="Arial" w:cs="Arial"/>
          <w:snapToGrid w:val="0"/>
          <w:sz w:val="20"/>
          <w:u w:val="single"/>
          <w:lang w:eastAsia="en-US"/>
        </w:rPr>
        <w:t>)</w:t>
      </w:r>
    </w:p>
    <w:p w14:paraId="22C506D3" w14:textId="77777777" w:rsidR="0080459A" w:rsidRPr="003170C2" w:rsidRDefault="0080459A" w:rsidP="00431D9D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lang w:eastAsia="en-US"/>
        </w:rPr>
      </w:pPr>
    </w:p>
    <w:p w14:paraId="29A75BB0" w14:textId="4FC6EF5E" w:rsidR="0080459A" w:rsidRPr="003170C2" w:rsidRDefault="0080459A" w:rsidP="00431D9D">
      <w:pPr>
        <w:tabs>
          <w:tab w:val="left" w:pos="2127"/>
        </w:tabs>
        <w:spacing w:after="120"/>
        <w:rPr>
          <w:rFonts w:ascii="Arial" w:hAnsi="Arial" w:cs="Arial"/>
          <w:sz w:val="20"/>
        </w:rPr>
      </w:pPr>
      <w:r w:rsidRPr="003170C2">
        <w:rPr>
          <w:rFonts w:ascii="Arial" w:hAnsi="Arial" w:cs="Arial"/>
          <w:sz w:val="20"/>
        </w:rPr>
        <w:t>Szerződött összeg:</w:t>
      </w:r>
      <w:r w:rsidRPr="003170C2">
        <w:rPr>
          <w:rFonts w:ascii="Arial" w:hAnsi="Arial" w:cs="Arial"/>
          <w:sz w:val="20"/>
        </w:rPr>
        <w:tab/>
      </w:r>
      <w:r w:rsidRPr="003170C2">
        <w:rPr>
          <w:rFonts w:ascii="Arial" w:hAnsi="Arial" w:cs="Arial"/>
          <w:sz w:val="20"/>
        </w:rPr>
        <w:tab/>
      </w:r>
      <w:r w:rsidRPr="003170C2">
        <w:rPr>
          <w:rFonts w:ascii="Arial" w:hAnsi="Arial" w:cs="Arial"/>
          <w:sz w:val="20"/>
        </w:rPr>
        <w:tab/>
        <w:t>1 000 000 000 forint</w:t>
      </w:r>
    </w:p>
    <w:p w14:paraId="7F6157BE" w14:textId="3F945F5D" w:rsidR="0080459A" w:rsidRPr="003170C2" w:rsidRDefault="0080459A" w:rsidP="00431D9D">
      <w:pPr>
        <w:tabs>
          <w:tab w:val="left" w:pos="2127"/>
        </w:tabs>
        <w:spacing w:after="120"/>
        <w:rPr>
          <w:rFonts w:ascii="Arial" w:hAnsi="Arial" w:cs="Arial"/>
          <w:sz w:val="20"/>
        </w:rPr>
      </w:pPr>
      <w:r w:rsidRPr="003170C2">
        <w:rPr>
          <w:rFonts w:ascii="Arial" w:hAnsi="Arial" w:cs="Arial"/>
          <w:sz w:val="20"/>
        </w:rPr>
        <w:t>Első folyósítás (2023. július):</w:t>
      </w:r>
      <w:r w:rsidRPr="003170C2">
        <w:rPr>
          <w:rFonts w:ascii="Arial" w:hAnsi="Arial" w:cs="Arial"/>
          <w:sz w:val="20"/>
        </w:rPr>
        <w:tab/>
      </w:r>
      <w:r w:rsidRPr="003170C2">
        <w:rPr>
          <w:rFonts w:ascii="Arial" w:hAnsi="Arial" w:cs="Arial"/>
          <w:sz w:val="20"/>
        </w:rPr>
        <w:tab/>
        <w:t xml:space="preserve">   400 000 000 forint</w:t>
      </w:r>
    </w:p>
    <w:p w14:paraId="05C901B6" w14:textId="01E85430" w:rsidR="0080459A" w:rsidRPr="003170C2" w:rsidRDefault="0080459A" w:rsidP="00431D9D">
      <w:pPr>
        <w:tabs>
          <w:tab w:val="left" w:pos="2127"/>
        </w:tabs>
        <w:spacing w:after="120"/>
        <w:rPr>
          <w:rFonts w:ascii="Arial" w:hAnsi="Arial" w:cs="Arial"/>
          <w:sz w:val="20"/>
        </w:rPr>
      </w:pPr>
      <w:r w:rsidRPr="003170C2">
        <w:rPr>
          <w:rFonts w:ascii="Arial" w:hAnsi="Arial" w:cs="Arial"/>
          <w:sz w:val="20"/>
        </w:rPr>
        <w:t xml:space="preserve">Második folyósítás (2023. augusztus): </w:t>
      </w:r>
      <w:r w:rsidRPr="003170C2">
        <w:rPr>
          <w:rFonts w:ascii="Arial" w:hAnsi="Arial" w:cs="Arial"/>
          <w:sz w:val="20"/>
        </w:rPr>
        <w:tab/>
        <w:t xml:space="preserve">   500 000 000 forint</w:t>
      </w:r>
    </w:p>
    <w:p w14:paraId="14413553" w14:textId="77777777" w:rsidR="0080459A" w:rsidRPr="003170C2" w:rsidRDefault="0080459A" w:rsidP="00431D9D">
      <w:pPr>
        <w:tabs>
          <w:tab w:val="left" w:pos="2127"/>
        </w:tabs>
        <w:spacing w:after="12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186"/>
        <w:gridCol w:w="2268"/>
        <w:gridCol w:w="3402"/>
      </w:tblGrid>
      <w:tr w:rsidR="00773864" w:rsidRPr="003170C2" w14:paraId="418DBCDA" w14:textId="77777777" w:rsidTr="00773864"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FB68" w14:textId="7CA7AD61" w:rsidR="00773864" w:rsidRPr="003170C2" w:rsidRDefault="00773864">
            <w:pPr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Tárgyhónap</w:t>
            </w:r>
          </w:p>
        </w:tc>
        <w:tc>
          <w:tcPr>
            <w:tcW w:w="1186" w:type="dxa"/>
          </w:tcPr>
          <w:p w14:paraId="3E1E69BA" w14:textId="014B3380" w:rsidR="00773864" w:rsidRPr="003170C2" w:rsidRDefault="007738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ISO kód</w:t>
            </w:r>
          </w:p>
        </w:tc>
        <w:tc>
          <w:tcPr>
            <w:tcW w:w="2268" w:type="dxa"/>
            <w:hideMark/>
          </w:tcPr>
          <w:p w14:paraId="2FC1BCB8" w14:textId="365D8E07" w:rsidR="00773864" w:rsidRPr="003170C2" w:rsidRDefault="007738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A szerződés összege</w:t>
            </w:r>
          </w:p>
        </w:tc>
        <w:tc>
          <w:tcPr>
            <w:tcW w:w="3402" w:type="dxa"/>
            <w:hideMark/>
          </w:tcPr>
          <w:p w14:paraId="3671A9D9" w14:textId="77777777" w:rsidR="00773864" w:rsidRPr="003170C2" w:rsidRDefault="007738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A bankközi ügyletből tárgyhónap végén fennálló állomány</w:t>
            </w:r>
          </w:p>
        </w:tc>
      </w:tr>
      <w:tr w:rsidR="00A34416" w:rsidRPr="003170C2" w14:paraId="0A483E1A" w14:textId="77777777" w:rsidTr="00773864"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1713" w14:textId="77777777" w:rsidR="00A34416" w:rsidRPr="003170C2" w:rsidRDefault="00A34416" w:rsidP="00C87F7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86" w:type="dxa"/>
          </w:tcPr>
          <w:p w14:paraId="0AB312D7" w14:textId="10832DE9" w:rsidR="00A34416" w:rsidRPr="00A34416" w:rsidRDefault="00A34416" w:rsidP="00A344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34416">
              <w:rPr>
                <w:rFonts w:ascii="Arial" w:hAnsi="Arial" w:cs="Arial"/>
                <w:b/>
                <w:bCs/>
                <w:sz w:val="20"/>
              </w:rPr>
              <w:t>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7AE7" w14:textId="1384FB8B" w:rsidR="00A34416" w:rsidRPr="00A34416" w:rsidRDefault="00A34416" w:rsidP="00A344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</w:t>
            </w:r>
          </w:p>
        </w:tc>
        <w:tc>
          <w:tcPr>
            <w:tcW w:w="3402" w:type="dxa"/>
          </w:tcPr>
          <w:p w14:paraId="2F05BD9F" w14:textId="6FB2CA4D" w:rsidR="00A34416" w:rsidRPr="00A34416" w:rsidRDefault="00A34416" w:rsidP="00A344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</w:t>
            </w:r>
          </w:p>
        </w:tc>
      </w:tr>
      <w:tr w:rsidR="00773864" w:rsidRPr="003170C2" w14:paraId="735D5F81" w14:textId="77777777" w:rsidTr="00773864"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03F80" w14:textId="5D2CF4B7" w:rsidR="00773864" w:rsidRPr="003170C2" w:rsidRDefault="00773864" w:rsidP="00C87F74">
            <w:pPr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2023.06.</w:t>
            </w:r>
          </w:p>
        </w:tc>
        <w:tc>
          <w:tcPr>
            <w:tcW w:w="1186" w:type="dxa"/>
          </w:tcPr>
          <w:p w14:paraId="15AC0958" w14:textId="450A7F52" w:rsidR="00773864" w:rsidRPr="003170C2" w:rsidRDefault="00773864" w:rsidP="007738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HUF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E186" w14:textId="0D37E89E" w:rsidR="00773864" w:rsidRPr="003170C2" w:rsidRDefault="00773864" w:rsidP="00C87F74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402" w:type="dxa"/>
          </w:tcPr>
          <w:p w14:paraId="7EC8AB37" w14:textId="4471746C" w:rsidR="00773864" w:rsidRPr="003170C2" w:rsidRDefault="00773864" w:rsidP="00C87F74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0</w:t>
            </w:r>
          </w:p>
        </w:tc>
      </w:tr>
      <w:tr w:rsidR="00773864" w:rsidRPr="003170C2" w14:paraId="74677688" w14:textId="77777777" w:rsidTr="00773864"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DAEC" w14:textId="77777777" w:rsidR="00773864" w:rsidRPr="003170C2" w:rsidRDefault="00773864" w:rsidP="00C87F74">
            <w:pPr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2023.07.</w:t>
            </w:r>
          </w:p>
        </w:tc>
        <w:tc>
          <w:tcPr>
            <w:tcW w:w="1186" w:type="dxa"/>
          </w:tcPr>
          <w:p w14:paraId="0A95FC14" w14:textId="3F104260" w:rsidR="00773864" w:rsidRPr="003170C2" w:rsidRDefault="00773864" w:rsidP="007738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HUF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3EBA9" w14:textId="34E3AE32" w:rsidR="00773864" w:rsidRPr="003170C2" w:rsidRDefault="00773864" w:rsidP="00C87F74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400 000 000</w:t>
            </w:r>
          </w:p>
        </w:tc>
        <w:tc>
          <w:tcPr>
            <w:tcW w:w="3402" w:type="dxa"/>
            <w:hideMark/>
          </w:tcPr>
          <w:p w14:paraId="3F247348" w14:textId="5558C65F" w:rsidR="00773864" w:rsidRPr="003170C2" w:rsidRDefault="00773864" w:rsidP="00C87F74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400 000 000</w:t>
            </w:r>
          </w:p>
        </w:tc>
      </w:tr>
      <w:tr w:rsidR="00773864" w:rsidRPr="003170C2" w14:paraId="198386AC" w14:textId="77777777" w:rsidTr="00773864"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B3665" w14:textId="77777777" w:rsidR="00773864" w:rsidRPr="003170C2" w:rsidRDefault="00773864" w:rsidP="00C87F74">
            <w:pPr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2023.08.</w:t>
            </w:r>
          </w:p>
        </w:tc>
        <w:tc>
          <w:tcPr>
            <w:tcW w:w="1186" w:type="dxa"/>
          </w:tcPr>
          <w:p w14:paraId="543A23A2" w14:textId="4082AA4C" w:rsidR="00773864" w:rsidRPr="003170C2" w:rsidRDefault="00773864" w:rsidP="007738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HUF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EC9CF" w14:textId="1D9E81DE" w:rsidR="00773864" w:rsidRPr="003170C2" w:rsidRDefault="00773864" w:rsidP="00C87F74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900 000 000</w:t>
            </w:r>
          </w:p>
        </w:tc>
        <w:tc>
          <w:tcPr>
            <w:tcW w:w="3402" w:type="dxa"/>
            <w:hideMark/>
          </w:tcPr>
          <w:p w14:paraId="08F0D0B6" w14:textId="49BF08C5" w:rsidR="00773864" w:rsidRPr="003170C2" w:rsidRDefault="00773864" w:rsidP="00C87F74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900 000 000</w:t>
            </w:r>
          </w:p>
        </w:tc>
      </w:tr>
    </w:tbl>
    <w:p w14:paraId="44E904DE" w14:textId="77777777" w:rsidR="0080459A" w:rsidRPr="003170C2" w:rsidRDefault="0080459A" w:rsidP="00431D9D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lang w:eastAsia="en-US"/>
        </w:rPr>
      </w:pPr>
    </w:p>
    <w:p w14:paraId="35D09FEE" w14:textId="6AB3C8B5" w:rsidR="00C87F74" w:rsidRPr="003170C2" w:rsidRDefault="00C87F74" w:rsidP="00C87F74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u w:val="single"/>
          <w:lang w:eastAsia="en-US"/>
        </w:rPr>
      </w:pPr>
      <w:r w:rsidRPr="003170C2">
        <w:rPr>
          <w:rFonts w:ascii="Arial" w:hAnsi="Arial" w:cs="Arial"/>
          <w:snapToGrid w:val="0"/>
          <w:sz w:val="20"/>
          <w:u w:val="single"/>
          <w:lang w:eastAsia="en-US"/>
        </w:rPr>
        <w:t xml:space="preserve">2. példa – hitelkeret-szerződés jelentése, törlesztéssel (nem </w:t>
      </w:r>
      <w:proofErr w:type="spellStart"/>
      <w:r w:rsidRPr="003170C2">
        <w:rPr>
          <w:rFonts w:ascii="Arial" w:hAnsi="Arial" w:cs="Arial"/>
          <w:snapToGrid w:val="0"/>
          <w:sz w:val="20"/>
          <w:u w:val="single"/>
          <w:lang w:eastAsia="en-US"/>
        </w:rPr>
        <w:t>rulírozó</w:t>
      </w:r>
      <w:proofErr w:type="spellEnd"/>
      <w:r w:rsidRPr="003170C2">
        <w:rPr>
          <w:rFonts w:ascii="Arial" w:hAnsi="Arial" w:cs="Arial"/>
          <w:snapToGrid w:val="0"/>
          <w:sz w:val="20"/>
          <w:u w:val="single"/>
          <w:lang w:eastAsia="en-US"/>
        </w:rPr>
        <w:t>)</w:t>
      </w:r>
    </w:p>
    <w:p w14:paraId="1F943A91" w14:textId="77777777" w:rsidR="00C87F74" w:rsidRPr="003170C2" w:rsidRDefault="00C87F74" w:rsidP="00C87F74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lang w:eastAsia="en-US"/>
        </w:rPr>
      </w:pPr>
    </w:p>
    <w:p w14:paraId="14977CA2" w14:textId="77777777" w:rsidR="00C87F74" w:rsidRPr="003170C2" w:rsidRDefault="00C87F74" w:rsidP="00C87F74">
      <w:pPr>
        <w:tabs>
          <w:tab w:val="left" w:pos="2127"/>
        </w:tabs>
        <w:spacing w:after="120"/>
        <w:rPr>
          <w:rFonts w:ascii="Arial" w:hAnsi="Arial" w:cs="Arial"/>
          <w:sz w:val="20"/>
        </w:rPr>
      </w:pPr>
      <w:r w:rsidRPr="003170C2">
        <w:rPr>
          <w:rFonts w:ascii="Arial" w:hAnsi="Arial" w:cs="Arial"/>
          <w:sz w:val="20"/>
        </w:rPr>
        <w:t>Szerződött összeg:</w:t>
      </w:r>
      <w:r w:rsidRPr="003170C2">
        <w:rPr>
          <w:rFonts w:ascii="Arial" w:hAnsi="Arial" w:cs="Arial"/>
          <w:sz w:val="20"/>
        </w:rPr>
        <w:tab/>
      </w:r>
      <w:r w:rsidRPr="003170C2">
        <w:rPr>
          <w:rFonts w:ascii="Arial" w:hAnsi="Arial" w:cs="Arial"/>
          <w:sz w:val="20"/>
        </w:rPr>
        <w:tab/>
      </w:r>
      <w:r w:rsidRPr="003170C2">
        <w:rPr>
          <w:rFonts w:ascii="Arial" w:hAnsi="Arial" w:cs="Arial"/>
          <w:sz w:val="20"/>
        </w:rPr>
        <w:tab/>
        <w:t>1 000 000 000 forint</w:t>
      </w:r>
    </w:p>
    <w:p w14:paraId="12950FEC" w14:textId="77777777" w:rsidR="00C87F74" w:rsidRPr="003170C2" w:rsidRDefault="00C87F74" w:rsidP="00C87F74">
      <w:pPr>
        <w:tabs>
          <w:tab w:val="left" w:pos="2127"/>
        </w:tabs>
        <w:spacing w:after="120"/>
        <w:rPr>
          <w:rFonts w:ascii="Arial" w:hAnsi="Arial" w:cs="Arial"/>
          <w:sz w:val="20"/>
        </w:rPr>
      </w:pPr>
      <w:r w:rsidRPr="003170C2">
        <w:rPr>
          <w:rFonts w:ascii="Arial" w:hAnsi="Arial" w:cs="Arial"/>
          <w:sz w:val="20"/>
        </w:rPr>
        <w:t>Első folyósítás (2023. július):</w:t>
      </w:r>
      <w:r w:rsidRPr="003170C2">
        <w:rPr>
          <w:rFonts w:ascii="Arial" w:hAnsi="Arial" w:cs="Arial"/>
          <w:sz w:val="20"/>
        </w:rPr>
        <w:tab/>
      </w:r>
      <w:r w:rsidRPr="003170C2">
        <w:rPr>
          <w:rFonts w:ascii="Arial" w:hAnsi="Arial" w:cs="Arial"/>
          <w:sz w:val="20"/>
        </w:rPr>
        <w:tab/>
        <w:t xml:space="preserve">   400 000 000 forint</w:t>
      </w:r>
    </w:p>
    <w:p w14:paraId="7B9085A1" w14:textId="3AB47887" w:rsidR="00C87F74" w:rsidRPr="003170C2" w:rsidRDefault="00C87F74" w:rsidP="00C87F74">
      <w:pPr>
        <w:tabs>
          <w:tab w:val="left" w:pos="2127"/>
        </w:tabs>
        <w:spacing w:after="120"/>
        <w:rPr>
          <w:rFonts w:ascii="Arial" w:hAnsi="Arial" w:cs="Arial"/>
          <w:sz w:val="20"/>
        </w:rPr>
      </w:pPr>
      <w:r w:rsidRPr="003170C2">
        <w:rPr>
          <w:rFonts w:ascii="Arial" w:hAnsi="Arial" w:cs="Arial"/>
          <w:sz w:val="20"/>
        </w:rPr>
        <w:t xml:space="preserve">Első törlesztés (2023. augusztus): </w:t>
      </w:r>
      <w:r w:rsidRPr="003170C2">
        <w:rPr>
          <w:rFonts w:ascii="Arial" w:hAnsi="Arial" w:cs="Arial"/>
          <w:sz w:val="20"/>
        </w:rPr>
        <w:tab/>
        <w:t xml:space="preserve">     50 000 000 forint</w:t>
      </w:r>
    </w:p>
    <w:p w14:paraId="72637AD4" w14:textId="77777777" w:rsidR="00C87F74" w:rsidRPr="003170C2" w:rsidRDefault="00C87F74" w:rsidP="00C87F74">
      <w:pPr>
        <w:tabs>
          <w:tab w:val="left" w:pos="2127"/>
        </w:tabs>
        <w:spacing w:after="120"/>
        <w:rPr>
          <w:rFonts w:ascii="Arial" w:hAnsi="Arial" w:cs="Arial"/>
          <w:sz w:val="20"/>
        </w:rPr>
      </w:pPr>
    </w:p>
    <w:tbl>
      <w:tblPr>
        <w:tblW w:w="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186"/>
        <w:gridCol w:w="2268"/>
        <w:gridCol w:w="3450"/>
      </w:tblGrid>
      <w:tr w:rsidR="00A34416" w:rsidRPr="003170C2" w14:paraId="471E942F" w14:textId="77777777" w:rsidTr="00A34416"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1544" w14:textId="77777777" w:rsidR="00A34416" w:rsidRPr="003170C2" w:rsidRDefault="00A34416" w:rsidP="00773864">
            <w:pPr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Tárgyhónap</w:t>
            </w:r>
          </w:p>
        </w:tc>
        <w:tc>
          <w:tcPr>
            <w:tcW w:w="1186" w:type="dxa"/>
          </w:tcPr>
          <w:p w14:paraId="72DA1DC5" w14:textId="53C90B6B" w:rsidR="00A34416" w:rsidRPr="003170C2" w:rsidRDefault="00A34416" w:rsidP="007738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ISO kód</w:t>
            </w:r>
          </w:p>
        </w:tc>
        <w:tc>
          <w:tcPr>
            <w:tcW w:w="2268" w:type="dxa"/>
            <w:hideMark/>
          </w:tcPr>
          <w:p w14:paraId="6678D473" w14:textId="5C01E48A" w:rsidR="00A34416" w:rsidRPr="003170C2" w:rsidRDefault="00A34416" w:rsidP="007738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A szerződés összege</w:t>
            </w:r>
          </w:p>
        </w:tc>
        <w:tc>
          <w:tcPr>
            <w:tcW w:w="3450" w:type="dxa"/>
            <w:hideMark/>
          </w:tcPr>
          <w:p w14:paraId="447B3EA2" w14:textId="77777777" w:rsidR="00A34416" w:rsidRPr="003170C2" w:rsidRDefault="00A34416" w:rsidP="007738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A bankközi ügyletből tárgyhónap végén fennálló állomány</w:t>
            </w:r>
          </w:p>
        </w:tc>
      </w:tr>
      <w:tr w:rsidR="00A34416" w:rsidRPr="003170C2" w14:paraId="57445806" w14:textId="77777777" w:rsidTr="00A34416"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5DA9" w14:textId="77777777" w:rsidR="00A34416" w:rsidRPr="003170C2" w:rsidRDefault="00A34416" w:rsidP="00AA164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86" w:type="dxa"/>
          </w:tcPr>
          <w:p w14:paraId="2D7CD1BF" w14:textId="77777777" w:rsidR="00A34416" w:rsidRPr="00A34416" w:rsidRDefault="00A34416" w:rsidP="00AA164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34416">
              <w:rPr>
                <w:rFonts w:ascii="Arial" w:hAnsi="Arial" w:cs="Arial"/>
                <w:b/>
                <w:bCs/>
                <w:sz w:val="20"/>
              </w:rPr>
              <w:t>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4C74" w14:textId="77777777" w:rsidR="00A34416" w:rsidRPr="00A34416" w:rsidRDefault="00A34416" w:rsidP="00AA164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</w:t>
            </w:r>
          </w:p>
        </w:tc>
        <w:tc>
          <w:tcPr>
            <w:tcW w:w="3450" w:type="dxa"/>
          </w:tcPr>
          <w:p w14:paraId="698CBD3A" w14:textId="77777777" w:rsidR="00A34416" w:rsidRPr="00A34416" w:rsidRDefault="00A34416" w:rsidP="00AA164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</w:t>
            </w:r>
          </w:p>
        </w:tc>
      </w:tr>
      <w:tr w:rsidR="00A34416" w:rsidRPr="003170C2" w14:paraId="70395414" w14:textId="77777777" w:rsidTr="00A34416"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29F1" w14:textId="77777777" w:rsidR="00A34416" w:rsidRPr="003170C2" w:rsidRDefault="00A34416" w:rsidP="00773864">
            <w:pPr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2023.06.</w:t>
            </w:r>
          </w:p>
        </w:tc>
        <w:tc>
          <w:tcPr>
            <w:tcW w:w="1186" w:type="dxa"/>
          </w:tcPr>
          <w:p w14:paraId="1D8395AA" w14:textId="62C7E53B" w:rsidR="00A34416" w:rsidRPr="003170C2" w:rsidRDefault="00A34416" w:rsidP="007738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HUF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E6E1" w14:textId="65951FDE" w:rsidR="00A34416" w:rsidRPr="003170C2" w:rsidRDefault="00A34416" w:rsidP="00773864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450" w:type="dxa"/>
          </w:tcPr>
          <w:p w14:paraId="74DA27E4" w14:textId="1BCCEBF3" w:rsidR="00A34416" w:rsidRPr="003170C2" w:rsidRDefault="00A34416" w:rsidP="00773864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0</w:t>
            </w:r>
          </w:p>
        </w:tc>
      </w:tr>
      <w:tr w:rsidR="00A34416" w:rsidRPr="003170C2" w14:paraId="66E18FCD" w14:textId="77777777" w:rsidTr="00A34416"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7A5EA" w14:textId="77777777" w:rsidR="00A34416" w:rsidRPr="003170C2" w:rsidRDefault="00A34416" w:rsidP="00773864">
            <w:pPr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2023.07.</w:t>
            </w:r>
          </w:p>
        </w:tc>
        <w:tc>
          <w:tcPr>
            <w:tcW w:w="1186" w:type="dxa"/>
          </w:tcPr>
          <w:p w14:paraId="22E41814" w14:textId="29B1EEB6" w:rsidR="00A34416" w:rsidRPr="003170C2" w:rsidRDefault="00A34416" w:rsidP="007738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HUF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EFDA" w14:textId="4F18E0E6" w:rsidR="00A34416" w:rsidRPr="003170C2" w:rsidRDefault="00A34416" w:rsidP="00773864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400 000 000</w:t>
            </w:r>
          </w:p>
        </w:tc>
        <w:tc>
          <w:tcPr>
            <w:tcW w:w="3450" w:type="dxa"/>
            <w:hideMark/>
          </w:tcPr>
          <w:p w14:paraId="2D426320" w14:textId="1F849016" w:rsidR="00A34416" w:rsidRPr="003170C2" w:rsidRDefault="00A34416" w:rsidP="00773864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400 000 000</w:t>
            </w:r>
          </w:p>
        </w:tc>
      </w:tr>
      <w:tr w:rsidR="00A34416" w:rsidRPr="003170C2" w14:paraId="76AABF90" w14:textId="77777777" w:rsidTr="00A34416"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688C1" w14:textId="77777777" w:rsidR="00A34416" w:rsidRPr="003170C2" w:rsidRDefault="00A34416" w:rsidP="00773864">
            <w:pPr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2023.08.</w:t>
            </w:r>
          </w:p>
        </w:tc>
        <w:tc>
          <w:tcPr>
            <w:tcW w:w="1186" w:type="dxa"/>
          </w:tcPr>
          <w:p w14:paraId="78B899F1" w14:textId="2A1F93A3" w:rsidR="00A34416" w:rsidRPr="003170C2" w:rsidRDefault="00A34416" w:rsidP="007738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HUF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59C8" w14:textId="1B4E0971" w:rsidR="00A34416" w:rsidRPr="003170C2" w:rsidRDefault="00A34416" w:rsidP="00773864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400 000 000</w:t>
            </w:r>
          </w:p>
        </w:tc>
        <w:tc>
          <w:tcPr>
            <w:tcW w:w="3450" w:type="dxa"/>
            <w:hideMark/>
          </w:tcPr>
          <w:p w14:paraId="77864FA7" w14:textId="3B98686B" w:rsidR="00A34416" w:rsidRPr="003170C2" w:rsidRDefault="00A34416" w:rsidP="00773864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350 000 000</w:t>
            </w:r>
          </w:p>
        </w:tc>
      </w:tr>
    </w:tbl>
    <w:p w14:paraId="0F83E7EF" w14:textId="77777777" w:rsidR="00C87F74" w:rsidRPr="003170C2" w:rsidRDefault="00C87F74" w:rsidP="00C87F74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lang w:eastAsia="en-US"/>
        </w:rPr>
      </w:pPr>
    </w:p>
    <w:p w14:paraId="30D6F469" w14:textId="3D71B155" w:rsidR="00C87F74" w:rsidRPr="003170C2" w:rsidRDefault="00C87F74" w:rsidP="00C87F74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u w:val="single"/>
          <w:lang w:eastAsia="en-US"/>
        </w:rPr>
      </w:pPr>
      <w:r w:rsidRPr="003170C2">
        <w:rPr>
          <w:rFonts w:ascii="Arial" w:hAnsi="Arial" w:cs="Arial"/>
          <w:snapToGrid w:val="0"/>
          <w:sz w:val="20"/>
          <w:u w:val="single"/>
          <w:lang w:eastAsia="en-US"/>
        </w:rPr>
        <w:t>3. példa – hitelkeret-szerződés jelentése (</w:t>
      </w:r>
      <w:proofErr w:type="spellStart"/>
      <w:r w:rsidRPr="003170C2">
        <w:rPr>
          <w:rFonts w:ascii="Arial" w:hAnsi="Arial" w:cs="Arial"/>
          <w:snapToGrid w:val="0"/>
          <w:sz w:val="20"/>
          <w:u w:val="single"/>
          <w:lang w:eastAsia="en-US"/>
        </w:rPr>
        <w:t>rulírozó</w:t>
      </w:r>
      <w:proofErr w:type="spellEnd"/>
      <w:r w:rsidRPr="003170C2">
        <w:rPr>
          <w:rFonts w:ascii="Arial" w:hAnsi="Arial" w:cs="Arial"/>
          <w:snapToGrid w:val="0"/>
          <w:sz w:val="20"/>
          <w:u w:val="single"/>
          <w:lang w:eastAsia="en-US"/>
        </w:rPr>
        <w:t>)</w:t>
      </w:r>
    </w:p>
    <w:p w14:paraId="416B3EC7" w14:textId="77777777" w:rsidR="00C87F74" w:rsidRPr="003170C2" w:rsidRDefault="00C87F74" w:rsidP="00C87F74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lang w:eastAsia="en-US"/>
        </w:rPr>
      </w:pPr>
    </w:p>
    <w:p w14:paraId="4A5441F1" w14:textId="77777777" w:rsidR="00C87F74" w:rsidRPr="003170C2" w:rsidRDefault="00C87F74" w:rsidP="00C87F74">
      <w:pPr>
        <w:tabs>
          <w:tab w:val="left" w:pos="2127"/>
        </w:tabs>
        <w:spacing w:after="120"/>
        <w:rPr>
          <w:rFonts w:ascii="Arial" w:hAnsi="Arial" w:cs="Arial"/>
          <w:sz w:val="20"/>
        </w:rPr>
      </w:pPr>
      <w:r w:rsidRPr="003170C2">
        <w:rPr>
          <w:rFonts w:ascii="Arial" w:hAnsi="Arial" w:cs="Arial"/>
          <w:sz w:val="20"/>
        </w:rPr>
        <w:t>Szerződött összeg:</w:t>
      </w:r>
      <w:r w:rsidRPr="003170C2">
        <w:rPr>
          <w:rFonts w:ascii="Arial" w:hAnsi="Arial" w:cs="Arial"/>
          <w:sz w:val="20"/>
        </w:rPr>
        <w:tab/>
      </w:r>
      <w:r w:rsidRPr="003170C2">
        <w:rPr>
          <w:rFonts w:ascii="Arial" w:hAnsi="Arial" w:cs="Arial"/>
          <w:sz w:val="20"/>
        </w:rPr>
        <w:tab/>
      </w:r>
      <w:r w:rsidRPr="003170C2">
        <w:rPr>
          <w:rFonts w:ascii="Arial" w:hAnsi="Arial" w:cs="Arial"/>
          <w:sz w:val="20"/>
        </w:rPr>
        <w:tab/>
        <w:t>1 000 000 000 forint</w:t>
      </w:r>
    </w:p>
    <w:p w14:paraId="1D7298BD" w14:textId="77777777" w:rsidR="00C87F74" w:rsidRPr="003170C2" w:rsidRDefault="00C87F74" w:rsidP="00C87F74">
      <w:pPr>
        <w:tabs>
          <w:tab w:val="left" w:pos="2127"/>
        </w:tabs>
        <w:spacing w:after="120"/>
        <w:rPr>
          <w:rFonts w:ascii="Arial" w:hAnsi="Arial" w:cs="Arial"/>
          <w:sz w:val="20"/>
        </w:rPr>
      </w:pPr>
      <w:r w:rsidRPr="003170C2">
        <w:rPr>
          <w:rFonts w:ascii="Arial" w:hAnsi="Arial" w:cs="Arial"/>
          <w:sz w:val="20"/>
        </w:rPr>
        <w:t>Első folyósítás (2023. július):</w:t>
      </w:r>
      <w:r w:rsidRPr="003170C2">
        <w:rPr>
          <w:rFonts w:ascii="Arial" w:hAnsi="Arial" w:cs="Arial"/>
          <w:sz w:val="20"/>
        </w:rPr>
        <w:tab/>
      </w:r>
      <w:r w:rsidRPr="003170C2">
        <w:rPr>
          <w:rFonts w:ascii="Arial" w:hAnsi="Arial" w:cs="Arial"/>
          <w:sz w:val="20"/>
        </w:rPr>
        <w:tab/>
        <w:t xml:space="preserve">   400 000 000 forint</w:t>
      </w:r>
    </w:p>
    <w:p w14:paraId="505A4A80" w14:textId="77777777" w:rsidR="00C87F74" w:rsidRPr="003170C2" w:rsidRDefault="00C87F74" w:rsidP="00C87F74">
      <w:pPr>
        <w:tabs>
          <w:tab w:val="left" w:pos="2127"/>
        </w:tabs>
        <w:spacing w:after="120"/>
        <w:rPr>
          <w:rFonts w:ascii="Arial" w:hAnsi="Arial" w:cs="Arial"/>
          <w:sz w:val="20"/>
        </w:rPr>
      </w:pPr>
      <w:r w:rsidRPr="003170C2">
        <w:rPr>
          <w:rFonts w:ascii="Arial" w:hAnsi="Arial" w:cs="Arial"/>
          <w:sz w:val="20"/>
        </w:rPr>
        <w:t xml:space="preserve">Második folyósítás (2023. augusztus): </w:t>
      </w:r>
      <w:r w:rsidRPr="003170C2">
        <w:rPr>
          <w:rFonts w:ascii="Arial" w:hAnsi="Arial" w:cs="Arial"/>
          <w:sz w:val="20"/>
        </w:rPr>
        <w:tab/>
        <w:t xml:space="preserve">   500 000 000 forint</w:t>
      </w:r>
    </w:p>
    <w:p w14:paraId="7A8993F4" w14:textId="0582ACC3" w:rsidR="00C87F74" w:rsidRPr="003170C2" w:rsidRDefault="00C87F74" w:rsidP="00C87F74">
      <w:pPr>
        <w:tabs>
          <w:tab w:val="left" w:pos="2127"/>
        </w:tabs>
        <w:spacing w:after="120"/>
        <w:rPr>
          <w:rFonts w:ascii="Arial" w:hAnsi="Arial" w:cs="Arial"/>
          <w:sz w:val="20"/>
        </w:rPr>
      </w:pPr>
      <w:r w:rsidRPr="003170C2">
        <w:rPr>
          <w:rFonts w:ascii="Arial" w:hAnsi="Arial" w:cs="Arial"/>
          <w:sz w:val="20"/>
        </w:rPr>
        <w:t>Első törlesztés (2023. augusztus):</w:t>
      </w:r>
      <w:r w:rsidRPr="003170C2">
        <w:rPr>
          <w:rFonts w:ascii="Arial" w:hAnsi="Arial" w:cs="Arial"/>
          <w:sz w:val="20"/>
        </w:rPr>
        <w:tab/>
        <w:t xml:space="preserve">   200 000 000 forint</w:t>
      </w:r>
    </w:p>
    <w:p w14:paraId="54DC46FB" w14:textId="5AC3618A" w:rsidR="00C87F74" w:rsidRPr="003170C2" w:rsidRDefault="00C87F74" w:rsidP="00C87F74">
      <w:pPr>
        <w:tabs>
          <w:tab w:val="left" w:pos="2127"/>
        </w:tabs>
        <w:spacing w:after="120"/>
        <w:rPr>
          <w:rFonts w:ascii="Arial" w:hAnsi="Arial" w:cs="Arial"/>
          <w:sz w:val="20"/>
        </w:rPr>
      </w:pPr>
      <w:r w:rsidRPr="003170C2">
        <w:rPr>
          <w:rFonts w:ascii="Arial" w:hAnsi="Arial" w:cs="Arial"/>
          <w:sz w:val="20"/>
        </w:rPr>
        <w:t>Harmadik folyósítás (2023.szeptember</w:t>
      </w:r>
      <w:proofErr w:type="gramStart"/>
      <w:r w:rsidRPr="003170C2">
        <w:rPr>
          <w:rFonts w:ascii="Arial" w:hAnsi="Arial" w:cs="Arial"/>
          <w:sz w:val="20"/>
        </w:rPr>
        <w:t xml:space="preserve">):   </w:t>
      </w:r>
      <w:proofErr w:type="gramEnd"/>
      <w:r w:rsidRPr="003170C2">
        <w:rPr>
          <w:rFonts w:ascii="Arial" w:hAnsi="Arial" w:cs="Arial"/>
          <w:sz w:val="20"/>
        </w:rPr>
        <w:t>300 000 000 forint</w:t>
      </w:r>
    </w:p>
    <w:p w14:paraId="32E8E10D" w14:textId="77777777" w:rsidR="00C87F74" w:rsidRPr="003170C2" w:rsidRDefault="00C87F74" w:rsidP="00C87F74">
      <w:pPr>
        <w:tabs>
          <w:tab w:val="left" w:pos="2127"/>
        </w:tabs>
        <w:spacing w:after="120"/>
        <w:rPr>
          <w:rFonts w:ascii="Arial" w:hAnsi="Arial" w:cs="Arial"/>
          <w:sz w:val="20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186"/>
        <w:gridCol w:w="2268"/>
        <w:gridCol w:w="3402"/>
      </w:tblGrid>
      <w:tr w:rsidR="00A34416" w:rsidRPr="003170C2" w14:paraId="4F3C4EF8" w14:textId="77777777" w:rsidTr="00A34416"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6D51" w14:textId="77777777" w:rsidR="00A34416" w:rsidRPr="003170C2" w:rsidRDefault="00A34416" w:rsidP="00A34416">
            <w:pPr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Tárgyhónap</w:t>
            </w:r>
          </w:p>
        </w:tc>
        <w:tc>
          <w:tcPr>
            <w:tcW w:w="1186" w:type="dxa"/>
          </w:tcPr>
          <w:p w14:paraId="294D6D5A" w14:textId="438B7984" w:rsidR="00A34416" w:rsidRPr="003170C2" w:rsidRDefault="00A34416" w:rsidP="00A344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ISO kód</w:t>
            </w:r>
          </w:p>
        </w:tc>
        <w:tc>
          <w:tcPr>
            <w:tcW w:w="2268" w:type="dxa"/>
            <w:hideMark/>
          </w:tcPr>
          <w:p w14:paraId="63847BBD" w14:textId="6DCD8281" w:rsidR="00A34416" w:rsidRPr="003170C2" w:rsidRDefault="00A34416" w:rsidP="00A344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A szerződés összege</w:t>
            </w:r>
          </w:p>
        </w:tc>
        <w:tc>
          <w:tcPr>
            <w:tcW w:w="3402" w:type="dxa"/>
            <w:hideMark/>
          </w:tcPr>
          <w:p w14:paraId="6C8BEE27" w14:textId="77777777" w:rsidR="00A34416" w:rsidRPr="003170C2" w:rsidRDefault="00A34416" w:rsidP="00A344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A bankközi ügyletből tárgyhónap végén fennálló állomány</w:t>
            </w:r>
          </w:p>
        </w:tc>
      </w:tr>
      <w:tr w:rsidR="00A34416" w:rsidRPr="003170C2" w14:paraId="28230A42" w14:textId="77777777" w:rsidTr="00A34416"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7897" w14:textId="77777777" w:rsidR="00A34416" w:rsidRPr="003170C2" w:rsidRDefault="00A34416" w:rsidP="00A344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86" w:type="dxa"/>
          </w:tcPr>
          <w:p w14:paraId="43E5CD08" w14:textId="58C1840F" w:rsidR="00A34416" w:rsidRPr="00A34416" w:rsidRDefault="00A34416" w:rsidP="00A344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34416">
              <w:rPr>
                <w:rFonts w:ascii="Arial" w:hAnsi="Arial" w:cs="Arial"/>
                <w:b/>
                <w:bCs/>
                <w:sz w:val="20"/>
              </w:rPr>
              <w:t>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1BFE" w14:textId="0FFB7D60" w:rsidR="00A34416" w:rsidRPr="003170C2" w:rsidRDefault="00A34416" w:rsidP="00A344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</w:t>
            </w:r>
          </w:p>
        </w:tc>
        <w:tc>
          <w:tcPr>
            <w:tcW w:w="3402" w:type="dxa"/>
          </w:tcPr>
          <w:p w14:paraId="4733C540" w14:textId="3E058C2A" w:rsidR="00A34416" w:rsidRPr="003170C2" w:rsidRDefault="00A34416" w:rsidP="00A344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</w:t>
            </w:r>
          </w:p>
        </w:tc>
      </w:tr>
      <w:tr w:rsidR="00A34416" w:rsidRPr="003170C2" w14:paraId="2FCB8E6A" w14:textId="77777777" w:rsidTr="00A34416"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6339" w14:textId="77777777" w:rsidR="00A34416" w:rsidRPr="003170C2" w:rsidRDefault="00A34416" w:rsidP="00A34416">
            <w:pPr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2023.06.</w:t>
            </w:r>
          </w:p>
        </w:tc>
        <w:tc>
          <w:tcPr>
            <w:tcW w:w="1186" w:type="dxa"/>
          </w:tcPr>
          <w:p w14:paraId="7028FE2D" w14:textId="12F41BC1" w:rsidR="00A34416" w:rsidRPr="003170C2" w:rsidRDefault="00A34416" w:rsidP="00A344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HUF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775" w14:textId="60EAB533" w:rsidR="00A34416" w:rsidRPr="003170C2" w:rsidRDefault="00A34416" w:rsidP="00A34416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402" w:type="dxa"/>
          </w:tcPr>
          <w:p w14:paraId="148AE6F9" w14:textId="0C4EAEF2" w:rsidR="00A34416" w:rsidRPr="003170C2" w:rsidRDefault="00A34416" w:rsidP="00A34416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0</w:t>
            </w:r>
          </w:p>
        </w:tc>
      </w:tr>
      <w:tr w:rsidR="00A34416" w:rsidRPr="003170C2" w14:paraId="7316118C" w14:textId="77777777" w:rsidTr="00A34416"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593" w14:textId="77777777" w:rsidR="00A34416" w:rsidRPr="003170C2" w:rsidRDefault="00A34416" w:rsidP="00A34416">
            <w:pPr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lastRenderedPageBreak/>
              <w:t>2023.07.</w:t>
            </w:r>
          </w:p>
        </w:tc>
        <w:tc>
          <w:tcPr>
            <w:tcW w:w="1186" w:type="dxa"/>
          </w:tcPr>
          <w:p w14:paraId="33DE767D" w14:textId="39D96898" w:rsidR="00A34416" w:rsidRPr="003170C2" w:rsidRDefault="00A34416" w:rsidP="00A344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HUF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23A9" w14:textId="273647AF" w:rsidR="00A34416" w:rsidRPr="003170C2" w:rsidRDefault="00A34416" w:rsidP="00A34416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400 000 000</w:t>
            </w:r>
          </w:p>
        </w:tc>
        <w:tc>
          <w:tcPr>
            <w:tcW w:w="3402" w:type="dxa"/>
            <w:hideMark/>
          </w:tcPr>
          <w:p w14:paraId="302413BD" w14:textId="419A3E66" w:rsidR="00A34416" w:rsidRPr="003170C2" w:rsidRDefault="00A34416" w:rsidP="00A34416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400 000 000</w:t>
            </w:r>
          </w:p>
        </w:tc>
      </w:tr>
      <w:tr w:rsidR="00A34416" w:rsidRPr="003170C2" w14:paraId="16DD36B8" w14:textId="77777777" w:rsidTr="00A34416"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DA4E7" w14:textId="77777777" w:rsidR="00A34416" w:rsidRPr="003170C2" w:rsidRDefault="00A34416" w:rsidP="00A34416">
            <w:pPr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2023.08.</w:t>
            </w:r>
          </w:p>
        </w:tc>
        <w:tc>
          <w:tcPr>
            <w:tcW w:w="1186" w:type="dxa"/>
          </w:tcPr>
          <w:p w14:paraId="26D22BC9" w14:textId="648E72DF" w:rsidR="00A34416" w:rsidRPr="003170C2" w:rsidRDefault="00A34416" w:rsidP="00A344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HUF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BDB6D" w14:textId="6868DC77" w:rsidR="00A34416" w:rsidRPr="003170C2" w:rsidRDefault="00A34416" w:rsidP="00A34416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700 000 000</w:t>
            </w:r>
          </w:p>
        </w:tc>
        <w:tc>
          <w:tcPr>
            <w:tcW w:w="3402" w:type="dxa"/>
            <w:hideMark/>
          </w:tcPr>
          <w:p w14:paraId="1DBDD691" w14:textId="5558A9A4" w:rsidR="00A34416" w:rsidRPr="003170C2" w:rsidRDefault="00A34416" w:rsidP="00A34416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700 000 000</w:t>
            </w:r>
          </w:p>
        </w:tc>
      </w:tr>
      <w:tr w:rsidR="00A34416" w:rsidRPr="003170C2" w14:paraId="7ADCDA9A" w14:textId="77777777" w:rsidTr="00A34416"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C2A89" w14:textId="05EA0CA5" w:rsidR="00A34416" w:rsidRPr="003170C2" w:rsidRDefault="00A34416" w:rsidP="00A34416">
            <w:pPr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2023.09.</w:t>
            </w:r>
          </w:p>
        </w:tc>
        <w:tc>
          <w:tcPr>
            <w:tcW w:w="1186" w:type="dxa"/>
          </w:tcPr>
          <w:p w14:paraId="11CD4215" w14:textId="6392C96F" w:rsidR="00A34416" w:rsidRPr="003170C2" w:rsidRDefault="00A34416" w:rsidP="00A344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HUF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9B37" w14:textId="19DE9D8B" w:rsidR="00A34416" w:rsidRPr="003170C2" w:rsidRDefault="00A34416" w:rsidP="00A34416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1 000 000 000</w:t>
            </w:r>
          </w:p>
        </w:tc>
        <w:tc>
          <w:tcPr>
            <w:tcW w:w="3402" w:type="dxa"/>
            <w:hideMark/>
          </w:tcPr>
          <w:p w14:paraId="119777D5" w14:textId="4570E992" w:rsidR="00A34416" w:rsidRPr="003170C2" w:rsidRDefault="00A34416" w:rsidP="00A34416">
            <w:pPr>
              <w:jc w:val="right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1 000 000 000</w:t>
            </w:r>
          </w:p>
        </w:tc>
      </w:tr>
    </w:tbl>
    <w:p w14:paraId="4D970611" w14:textId="77777777" w:rsidR="00C87F74" w:rsidRPr="003170C2" w:rsidRDefault="00C87F74" w:rsidP="00431D9D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lang w:eastAsia="en-US"/>
        </w:rPr>
      </w:pPr>
    </w:p>
    <w:p w14:paraId="14B57358" w14:textId="451C99BD" w:rsidR="0080459A" w:rsidRPr="003170C2" w:rsidRDefault="00A34416" w:rsidP="00431D9D">
      <w:pPr>
        <w:tabs>
          <w:tab w:val="left" w:pos="2127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Egy hitelkeret-szerződés esetében a</w:t>
      </w:r>
      <w:r w:rsidRPr="003170C2">
        <w:rPr>
          <w:rFonts w:ascii="Arial" w:hAnsi="Arial" w:cs="Arial"/>
          <w:sz w:val="20"/>
        </w:rPr>
        <w:t xml:space="preserve"> jelentendő sorok száma attól függ, hogy a bankközi ügylet </w:t>
      </w:r>
      <w:r>
        <w:rPr>
          <w:rFonts w:ascii="Arial" w:hAnsi="Arial" w:cs="Arial"/>
          <w:sz w:val="20"/>
        </w:rPr>
        <w:t>hány</w:t>
      </w:r>
      <w:r w:rsidRPr="003170C2">
        <w:rPr>
          <w:rFonts w:ascii="Arial" w:hAnsi="Arial" w:cs="Arial"/>
          <w:sz w:val="20"/>
        </w:rPr>
        <w:t xml:space="preserve"> „homogén”, </w:t>
      </w:r>
      <w:r>
        <w:rPr>
          <w:rFonts w:ascii="Arial" w:hAnsi="Arial" w:cs="Arial"/>
          <w:sz w:val="20"/>
        </w:rPr>
        <w:t xml:space="preserve">tehát </w:t>
      </w:r>
      <w:r w:rsidRPr="003170C2">
        <w:rPr>
          <w:rFonts w:ascii="Arial" w:hAnsi="Arial" w:cs="Arial"/>
          <w:sz w:val="20"/>
        </w:rPr>
        <w:t>teljesen azonos paraméterekkel rendelkező részből áll</w:t>
      </w:r>
      <w:r>
        <w:rPr>
          <w:rFonts w:ascii="Arial" w:hAnsi="Arial" w:cs="Arial"/>
          <w:sz w:val="20"/>
        </w:rPr>
        <w:t xml:space="preserve">, azaz </w:t>
      </w:r>
      <w:r w:rsidRPr="003170C2">
        <w:rPr>
          <w:rFonts w:ascii="Arial" w:hAnsi="Arial" w:cs="Arial"/>
          <w:sz w:val="20"/>
        </w:rPr>
        <w:t>egy szerződésen belül egy sorban jelenthetőek azon részösszegek, melyek esetében „A szerződés összege” és „A bankközi ügyletből tárgyhónap végén fennálló állomány” oszlopok</w:t>
      </w:r>
      <w:r>
        <w:rPr>
          <w:rFonts w:ascii="Arial" w:hAnsi="Arial" w:cs="Arial"/>
          <w:sz w:val="20"/>
        </w:rPr>
        <w:t xml:space="preserve">on </w:t>
      </w:r>
      <w:r w:rsidRPr="003170C2">
        <w:rPr>
          <w:rFonts w:ascii="Arial" w:hAnsi="Arial" w:cs="Arial"/>
          <w:sz w:val="20"/>
        </w:rPr>
        <w:t>kívül minden oszlopban azonos értékek szerepelnek.</w:t>
      </w:r>
      <w:r w:rsidR="001D03C1">
        <w:rPr>
          <w:rFonts w:ascii="Arial" w:hAnsi="Arial" w:cs="Arial"/>
          <w:sz w:val="20"/>
        </w:rPr>
        <w:t xml:space="preserve"> A </w:t>
      </w:r>
      <w:proofErr w:type="spellStart"/>
      <w:r w:rsidR="001D03C1">
        <w:rPr>
          <w:rFonts w:ascii="Arial" w:hAnsi="Arial" w:cs="Arial"/>
          <w:sz w:val="20"/>
        </w:rPr>
        <w:t>rulírozó</w:t>
      </w:r>
      <w:proofErr w:type="spellEnd"/>
      <w:r w:rsidR="001D03C1">
        <w:rPr>
          <w:rFonts w:ascii="Arial" w:hAnsi="Arial" w:cs="Arial"/>
          <w:sz w:val="20"/>
        </w:rPr>
        <w:t xml:space="preserve"> hitelszerződés jelenthető egy soron.</w:t>
      </w:r>
    </w:p>
    <w:p w14:paraId="3E6DBA07" w14:textId="77777777" w:rsidR="00C87F74" w:rsidRPr="003170C2" w:rsidRDefault="00C87F74" w:rsidP="00431D9D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lang w:eastAsia="en-US"/>
        </w:rPr>
      </w:pPr>
    </w:p>
    <w:p w14:paraId="4DC43D52" w14:textId="02BD23B7" w:rsidR="00B02594" w:rsidRPr="003170C2" w:rsidRDefault="00B02594" w:rsidP="00431D9D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lang w:eastAsia="en-US"/>
        </w:rPr>
      </w:pPr>
      <w:r w:rsidRPr="003170C2">
        <w:rPr>
          <w:rFonts w:ascii="Arial" w:hAnsi="Arial" w:cs="Arial"/>
          <w:snapToGrid w:val="0"/>
          <w:sz w:val="20"/>
          <w:lang w:eastAsia="en-US"/>
        </w:rPr>
        <w:t>4. A látra szóló és folyószámlabetétek, valamint folyószámlahitelek esetében nem értelmezhető oszlopok a következő értékekkel jelentendők:</w:t>
      </w:r>
    </w:p>
    <w:p w14:paraId="59648F65" w14:textId="77777777" w:rsidR="00B02594" w:rsidRPr="003170C2" w:rsidRDefault="00B02594" w:rsidP="00431D9D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lang w:eastAsia="en-US"/>
        </w:rPr>
      </w:pPr>
    </w:p>
    <w:tbl>
      <w:tblPr>
        <w:tblW w:w="8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1593"/>
        <w:gridCol w:w="1594"/>
        <w:gridCol w:w="1590"/>
        <w:gridCol w:w="1562"/>
        <w:gridCol w:w="146"/>
      </w:tblGrid>
      <w:tr w:rsidR="003170C2" w:rsidRPr="003170C2" w14:paraId="7E012269" w14:textId="77777777" w:rsidTr="00425502">
        <w:trPr>
          <w:gridAfter w:val="1"/>
          <w:wAfter w:w="146" w:type="dxa"/>
          <w:trHeight w:val="525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97D0" w14:textId="64BB13BB" w:rsidR="00425502" w:rsidRPr="003170C2" w:rsidRDefault="00425502" w:rsidP="00B02594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A bankközi ügylet záró időpontja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5DB0" w14:textId="6287C878" w:rsidR="00425502" w:rsidRPr="00B02594" w:rsidRDefault="00425502" w:rsidP="00B02594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2594">
              <w:rPr>
                <w:rFonts w:ascii="Arial" w:hAnsi="Arial" w:cs="Arial"/>
                <w:b/>
                <w:bCs/>
                <w:sz w:val="20"/>
              </w:rPr>
              <w:t>Tőketörlesztés módja (kódlista)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F584" w14:textId="77777777" w:rsidR="00425502" w:rsidRPr="00B02594" w:rsidRDefault="00425502" w:rsidP="00B02594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2594">
              <w:rPr>
                <w:rFonts w:ascii="Arial" w:hAnsi="Arial" w:cs="Arial"/>
                <w:b/>
                <w:bCs/>
                <w:sz w:val="20"/>
              </w:rPr>
              <w:t>Tőketörlesztés gyakorisága (kódlista)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94DA" w14:textId="77777777" w:rsidR="00425502" w:rsidRPr="00B02594" w:rsidRDefault="00425502" w:rsidP="00B02594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2594">
              <w:rPr>
                <w:rFonts w:ascii="Arial" w:hAnsi="Arial" w:cs="Arial"/>
                <w:b/>
                <w:bCs/>
                <w:sz w:val="20"/>
              </w:rPr>
              <w:t>Következő tőketörlesztés dátuma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4D99" w14:textId="77777777" w:rsidR="00425502" w:rsidRPr="00B02594" w:rsidRDefault="00425502" w:rsidP="00B02594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2594">
              <w:rPr>
                <w:rFonts w:ascii="Arial" w:hAnsi="Arial" w:cs="Arial"/>
                <w:b/>
                <w:bCs/>
                <w:sz w:val="20"/>
              </w:rPr>
              <w:t>Következő átárazás dátuma</w:t>
            </w:r>
          </w:p>
        </w:tc>
      </w:tr>
      <w:tr w:rsidR="003170C2" w:rsidRPr="003170C2" w14:paraId="54C1A5CD" w14:textId="77777777" w:rsidTr="00425502">
        <w:trPr>
          <w:trHeight w:val="455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958A" w14:textId="77777777" w:rsidR="00425502" w:rsidRPr="003170C2" w:rsidRDefault="00425502" w:rsidP="00B02594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214A" w14:textId="6026AF79" w:rsidR="00425502" w:rsidRPr="00B02594" w:rsidRDefault="00425502" w:rsidP="00B02594">
            <w:pPr>
              <w:keepLines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D332" w14:textId="77777777" w:rsidR="00425502" w:rsidRPr="00B02594" w:rsidRDefault="00425502" w:rsidP="00B02594">
            <w:pPr>
              <w:keepLines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11A9" w14:textId="77777777" w:rsidR="00425502" w:rsidRPr="00B02594" w:rsidRDefault="00425502" w:rsidP="00B02594">
            <w:pPr>
              <w:keepLines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806F" w14:textId="77777777" w:rsidR="00425502" w:rsidRPr="00B02594" w:rsidRDefault="00425502" w:rsidP="00B02594">
            <w:pPr>
              <w:keepLines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D8A3" w14:textId="77777777" w:rsidR="00425502" w:rsidRPr="00B02594" w:rsidRDefault="00425502" w:rsidP="00B02594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170C2" w:rsidRPr="003170C2" w14:paraId="03EAC24D" w14:textId="77777777" w:rsidTr="00425502">
        <w:trPr>
          <w:trHeight w:val="29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8134" w14:textId="38A949D2" w:rsidR="00425502" w:rsidRPr="003170C2" w:rsidRDefault="00425502" w:rsidP="00B02594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170C2">
              <w:rPr>
                <w:rFonts w:ascii="Arial" w:hAnsi="Arial" w:cs="Arial"/>
                <w:b/>
                <w:bCs/>
                <w:sz w:val="20"/>
              </w:rPr>
              <w:t>f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9958" w14:textId="2E43AE25" w:rsidR="00425502" w:rsidRPr="00B02594" w:rsidRDefault="00425502" w:rsidP="00B02594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2594">
              <w:rPr>
                <w:rFonts w:ascii="Arial" w:hAnsi="Arial" w:cs="Arial"/>
                <w:b/>
                <w:bCs/>
                <w:sz w:val="20"/>
              </w:rPr>
              <w:t>k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7FB7" w14:textId="77777777" w:rsidR="00425502" w:rsidRPr="00B02594" w:rsidRDefault="00425502" w:rsidP="00B02594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2594">
              <w:rPr>
                <w:rFonts w:ascii="Arial" w:hAnsi="Arial" w:cs="Arial"/>
                <w:b/>
                <w:bCs/>
                <w:sz w:val="20"/>
              </w:rPr>
              <w:t>l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528B" w14:textId="77777777" w:rsidR="00425502" w:rsidRPr="00B02594" w:rsidRDefault="00425502" w:rsidP="00B02594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2594">
              <w:rPr>
                <w:rFonts w:ascii="Arial" w:hAnsi="Arial" w:cs="Arial"/>
                <w:b/>
                <w:bCs/>
                <w:sz w:val="20"/>
              </w:rPr>
              <w:t>m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097F" w14:textId="77777777" w:rsidR="00425502" w:rsidRPr="00B02594" w:rsidRDefault="00425502" w:rsidP="00B02594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2594"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  <w:tc>
          <w:tcPr>
            <w:tcW w:w="146" w:type="dxa"/>
            <w:vAlign w:val="center"/>
            <w:hideMark/>
          </w:tcPr>
          <w:p w14:paraId="40AB3A5C" w14:textId="77777777" w:rsidR="00425502" w:rsidRPr="00B02594" w:rsidRDefault="00425502" w:rsidP="00B02594">
            <w:pPr>
              <w:keepLine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70C2" w:rsidRPr="003170C2" w14:paraId="79E458ED" w14:textId="77777777" w:rsidTr="00425502">
        <w:trPr>
          <w:trHeight w:val="31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AE9A" w14:textId="46976277" w:rsidR="00425502" w:rsidRPr="001D03C1" w:rsidRDefault="00425502" w:rsidP="00B02594">
            <w:pPr>
              <w:keepLines w:val="0"/>
              <w:jc w:val="center"/>
              <w:rPr>
                <w:rFonts w:ascii="Arial" w:hAnsi="Arial" w:cs="Arial"/>
                <w:sz w:val="20"/>
              </w:rPr>
            </w:pPr>
            <w:r w:rsidRPr="001D03C1">
              <w:rPr>
                <w:rFonts w:ascii="Arial" w:hAnsi="Arial" w:cs="Arial"/>
                <w:sz w:val="20"/>
              </w:rPr>
              <w:t>9999.12.31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C682" w14:textId="447597D5" w:rsidR="00425502" w:rsidRPr="00B02594" w:rsidRDefault="00425502" w:rsidP="00B02594">
            <w:pPr>
              <w:keepLines w:val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02594">
              <w:rPr>
                <w:rFonts w:ascii="Arial" w:hAnsi="Arial" w:cs="Arial"/>
                <w:sz w:val="20"/>
              </w:rPr>
              <w:t>EGYEB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4E75" w14:textId="77777777" w:rsidR="00425502" w:rsidRPr="00B02594" w:rsidRDefault="00425502" w:rsidP="00B02594">
            <w:pPr>
              <w:keepLines w:val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02594">
              <w:rPr>
                <w:rFonts w:ascii="Arial" w:hAnsi="Arial" w:cs="Arial"/>
                <w:sz w:val="20"/>
              </w:rPr>
              <w:t>EGYEB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A132" w14:textId="77777777" w:rsidR="00425502" w:rsidRPr="00B02594" w:rsidRDefault="00425502" w:rsidP="00B02594">
            <w:pPr>
              <w:keepLines w:val="0"/>
              <w:jc w:val="center"/>
              <w:rPr>
                <w:rFonts w:ascii="Arial" w:hAnsi="Arial" w:cs="Arial"/>
                <w:sz w:val="20"/>
              </w:rPr>
            </w:pPr>
            <w:r w:rsidRPr="00B02594">
              <w:rPr>
                <w:rFonts w:ascii="Arial" w:hAnsi="Arial" w:cs="Arial"/>
                <w:sz w:val="20"/>
              </w:rPr>
              <w:t>9999.12.31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71C1" w14:textId="77777777" w:rsidR="00425502" w:rsidRPr="00B02594" w:rsidRDefault="00425502" w:rsidP="00B02594">
            <w:pPr>
              <w:keepLines w:val="0"/>
              <w:jc w:val="center"/>
              <w:rPr>
                <w:rFonts w:ascii="Arial" w:hAnsi="Arial" w:cs="Arial"/>
                <w:sz w:val="20"/>
              </w:rPr>
            </w:pPr>
            <w:r w:rsidRPr="00B02594">
              <w:rPr>
                <w:rFonts w:ascii="Arial" w:hAnsi="Arial" w:cs="Arial"/>
                <w:sz w:val="20"/>
              </w:rPr>
              <w:t>9999.12.31</w:t>
            </w:r>
          </w:p>
        </w:tc>
        <w:tc>
          <w:tcPr>
            <w:tcW w:w="146" w:type="dxa"/>
            <w:vAlign w:val="center"/>
            <w:hideMark/>
          </w:tcPr>
          <w:p w14:paraId="1E067C89" w14:textId="77777777" w:rsidR="00425502" w:rsidRPr="00B02594" w:rsidRDefault="00425502" w:rsidP="00B02594">
            <w:pPr>
              <w:keepLines w:val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123446C" w14:textId="77777777" w:rsidR="00B02594" w:rsidRPr="003170C2" w:rsidRDefault="00B02594" w:rsidP="00431D9D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lang w:eastAsia="en-US"/>
        </w:rPr>
      </w:pPr>
    </w:p>
    <w:p w14:paraId="3C77A155" w14:textId="28AB1DD8" w:rsidR="00B02594" w:rsidRPr="003170C2" w:rsidRDefault="00425502" w:rsidP="00431D9D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lang w:eastAsia="en-US"/>
        </w:rPr>
      </w:pPr>
      <w:r w:rsidRPr="003170C2">
        <w:rPr>
          <w:rFonts w:ascii="Arial" w:hAnsi="Arial" w:cs="Arial"/>
          <w:snapToGrid w:val="0"/>
          <w:sz w:val="20"/>
          <w:lang w:eastAsia="en-US"/>
        </w:rPr>
        <w:t xml:space="preserve">Diszkrecionális </w:t>
      </w:r>
      <w:proofErr w:type="spellStart"/>
      <w:r w:rsidRPr="003170C2">
        <w:rPr>
          <w:rFonts w:ascii="Arial" w:hAnsi="Arial" w:cs="Arial"/>
          <w:snapToGrid w:val="0"/>
          <w:sz w:val="20"/>
          <w:lang w:eastAsia="en-US"/>
        </w:rPr>
        <w:t>árazású</w:t>
      </w:r>
      <w:proofErr w:type="spellEnd"/>
      <w:r w:rsidRPr="003170C2">
        <w:rPr>
          <w:rFonts w:ascii="Arial" w:hAnsi="Arial" w:cs="Arial"/>
          <w:snapToGrid w:val="0"/>
          <w:sz w:val="20"/>
          <w:lang w:eastAsia="en-US"/>
        </w:rPr>
        <w:t xml:space="preserve"> ügyletek esetében a következő kódértékek használhatóak az „n”, „p” és „q” oszlopokban:</w:t>
      </w:r>
    </w:p>
    <w:tbl>
      <w:tblPr>
        <w:tblW w:w="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1565"/>
        <w:gridCol w:w="1565"/>
      </w:tblGrid>
      <w:tr w:rsidR="003170C2" w:rsidRPr="003170C2" w14:paraId="5E4C1782" w14:textId="5C24FB17" w:rsidTr="00425502">
        <w:trPr>
          <w:trHeight w:val="1264"/>
        </w:trPr>
        <w:tc>
          <w:tcPr>
            <w:tcW w:w="1565" w:type="dxa"/>
            <w:shd w:val="clear" w:color="auto" w:fill="auto"/>
            <w:vAlign w:val="center"/>
            <w:hideMark/>
          </w:tcPr>
          <w:p w14:paraId="163DDCCB" w14:textId="77777777" w:rsidR="00425502" w:rsidRPr="00B02594" w:rsidRDefault="00425502" w:rsidP="00425502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2594">
              <w:rPr>
                <w:rFonts w:ascii="Arial" w:hAnsi="Arial" w:cs="Arial"/>
                <w:b/>
                <w:bCs/>
                <w:sz w:val="20"/>
              </w:rPr>
              <w:t>Kamatozás típusa (kódlista)</w:t>
            </w:r>
          </w:p>
        </w:tc>
        <w:tc>
          <w:tcPr>
            <w:tcW w:w="1565" w:type="dxa"/>
            <w:vAlign w:val="center"/>
          </w:tcPr>
          <w:p w14:paraId="3FA56731" w14:textId="59D8A56E" w:rsidR="00425502" w:rsidRPr="003170C2" w:rsidRDefault="00425502" w:rsidP="00425502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2594">
              <w:rPr>
                <w:rFonts w:ascii="Arial" w:hAnsi="Arial" w:cs="Arial"/>
                <w:b/>
                <w:bCs/>
                <w:sz w:val="20"/>
              </w:rPr>
              <w:t>Referencia kamat átárazási periódusa (kódlista)</w:t>
            </w:r>
          </w:p>
        </w:tc>
        <w:tc>
          <w:tcPr>
            <w:tcW w:w="1565" w:type="dxa"/>
            <w:vAlign w:val="center"/>
          </w:tcPr>
          <w:p w14:paraId="11C18038" w14:textId="43EDF85B" w:rsidR="00425502" w:rsidRPr="003170C2" w:rsidRDefault="00425502" w:rsidP="00425502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2594">
              <w:rPr>
                <w:rFonts w:ascii="Arial" w:hAnsi="Arial" w:cs="Arial"/>
                <w:b/>
                <w:bCs/>
                <w:sz w:val="20"/>
              </w:rPr>
              <w:t>Referencia kamat megnevezése (kódlista)</w:t>
            </w:r>
          </w:p>
        </w:tc>
      </w:tr>
      <w:tr w:rsidR="003170C2" w:rsidRPr="003170C2" w14:paraId="4F975FBF" w14:textId="4760962C" w:rsidTr="00425502">
        <w:trPr>
          <w:trHeight w:val="290"/>
        </w:trPr>
        <w:tc>
          <w:tcPr>
            <w:tcW w:w="1565" w:type="dxa"/>
            <w:shd w:val="clear" w:color="auto" w:fill="auto"/>
            <w:vAlign w:val="center"/>
            <w:hideMark/>
          </w:tcPr>
          <w:p w14:paraId="1F4C5CF8" w14:textId="77777777" w:rsidR="00425502" w:rsidRPr="00B02594" w:rsidRDefault="00425502" w:rsidP="00425502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2594">
              <w:rPr>
                <w:rFonts w:ascii="Arial" w:hAnsi="Arial" w:cs="Arial"/>
                <w:b/>
                <w:bCs/>
                <w:sz w:val="20"/>
              </w:rPr>
              <w:t>n</w:t>
            </w:r>
          </w:p>
        </w:tc>
        <w:tc>
          <w:tcPr>
            <w:tcW w:w="1565" w:type="dxa"/>
            <w:vAlign w:val="center"/>
          </w:tcPr>
          <w:p w14:paraId="78577137" w14:textId="674F55EF" w:rsidR="00425502" w:rsidRPr="003170C2" w:rsidRDefault="00425502" w:rsidP="00425502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2594">
              <w:rPr>
                <w:rFonts w:ascii="Arial" w:hAnsi="Arial" w:cs="Arial"/>
                <w:b/>
                <w:bCs/>
                <w:sz w:val="20"/>
              </w:rPr>
              <w:t>p</w:t>
            </w:r>
          </w:p>
        </w:tc>
        <w:tc>
          <w:tcPr>
            <w:tcW w:w="1565" w:type="dxa"/>
            <w:vAlign w:val="center"/>
          </w:tcPr>
          <w:p w14:paraId="5F6DE7CE" w14:textId="37A43FD6" w:rsidR="00425502" w:rsidRPr="003170C2" w:rsidRDefault="00425502" w:rsidP="00425502">
            <w:pPr>
              <w:keepLines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2594">
              <w:rPr>
                <w:rFonts w:ascii="Arial" w:hAnsi="Arial" w:cs="Arial"/>
                <w:b/>
                <w:bCs/>
                <w:sz w:val="20"/>
              </w:rPr>
              <w:t>q</w:t>
            </w:r>
          </w:p>
        </w:tc>
      </w:tr>
      <w:tr w:rsidR="003170C2" w:rsidRPr="003170C2" w14:paraId="44468A25" w14:textId="1662B12A" w:rsidTr="00425502">
        <w:trPr>
          <w:trHeight w:val="310"/>
        </w:trPr>
        <w:tc>
          <w:tcPr>
            <w:tcW w:w="1565" w:type="dxa"/>
            <w:shd w:val="clear" w:color="auto" w:fill="auto"/>
            <w:vAlign w:val="center"/>
            <w:hideMark/>
          </w:tcPr>
          <w:p w14:paraId="7D41116D" w14:textId="63081474" w:rsidR="00425502" w:rsidRPr="00B02594" w:rsidRDefault="00425502" w:rsidP="00425502">
            <w:pPr>
              <w:keepLines w:val="0"/>
              <w:jc w:val="center"/>
              <w:rPr>
                <w:rFonts w:ascii="Arial" w:hAnsi="Arial" w:cs="Arial"/>
                <w:sz w:val="20"/>
              </w:rPr>
            </w:pPr>
            <w:r w:rsidRPr="003170C2">
              <w:rPr>
                <w:rFonts w:ascii="Arial" w:hAnsi="Arial" w:cs="Arial"/>
                <w:sz w:val="20"/>
              </w:rPr>
              <w:t>EK</w:t>
            </w:r>
          </w:p>
        </w:tc>
        <w:tc>
          <w:tcPr>
            <w:tcW w:w="1565" w:type="dxa"/>
            <w:vAlign w:val="center"/>
          </w:tcPr>
          <w:p w14:paraId="715F2F7A" w14:textId="69A09E05" w:rsidR="00425502" w:rsidRPr="003170C2" w:rsidRDefault="00425502" w:rsidP="00425502">
            <w:pPr>
              <w:keepLines w:val="0"/>
              <w:jc w:val="center"/>
              <w:rPr>
                <w:rFonts w:ascii="Arial" w:hAnsi="Arial" w:cs="Arial"/>
                <w:sz w:val="20"/>
              </w:rPr>
            </w:pPr>
            <w:r w:rsidRPr="00B02594">
              <w:rPr>
                <w:rFonts w:ascii="Arial" w:hAnsi="Arial" w:cs="Arial"/>
                <w:sz w:val="20"/>
              </w:rPr>
              <w:t>NINCS</w:t>
            </w:r>
          </w:p>
        </w:tc>
        <w:tc>
          <w:tcPr>
            <w:tcW w:w="1565" w:type="dxa"/>
            <w:vAlign w:val="center"/>
          </w:tcPr>
          <w:p w14:paraId="63335E3D" w14:textId="5CECCC66" w:rsidR="00425502" w:rsidRPr="003170C2" w:rsidRDefault="00425502" w:rsidP="00425502">
            <w:pPr>
              <w:keepLines w:val="0"/>
              <w:jc w:val="center"/>
              <w:rPr>
                <w:rFonts w:ascii="Arial" w:hAnsi="Arial" w:cs="Arial"/>
                <w:sz w:val="20"/>
              </w:rPr>
            </w:pPr>
            <w:r w:rsidRPr="00B02594">
              <w:rPr>
                <w:rFonts w:ascii="Arial" w:hAnsi="Arial" w:cs="Arial"/>
                <w:sz w:val="20"/>
              </w:rPr>
              <w:t>NINCS</w:t>
            </w:r>
          </w:p>
        </w:tc>
      </w:tr>
    </w:tbl>
    <w:p w14:paraId="2A359087" w14:textId="77777777" w:rsidR="00425502" w:rsidRDefault="00425502" w:rsidP="00431D9D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highlight w:val="yellow"/>
          <w:lang w:eastAsia="en-US"/>
        </w:rPr>
      </w:pPr>
    </w:p>
    <w:p w14:paraId="54BEBAC7" w14:textId="2B0EAFFD" w:rsidR="001D03C1" w:rsidRPr="001D03C1" w:rsidRDefault="001D03C1" w:rsidP="00431D9D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lang w:eastAsia="en-US"/>
        </w:rPr>
      </w:pPr>
      <w:r w:rsidRPr="001D03C1">
        <w:rPr>
          <w:rFonts w:ascii="Arial" w:hAnsi="Arial" w:cs="Arial"/>
          <w:snapToGrid w:val="0"/>
          <w:sz w:val="20"/>
          <w:lang w:eastAsia="en-US"/>
        </w:rPr>
        <w:t>A látra szóló és folyószámlabetétek, illetve folyószámlahitelek jelenthetőek egy-egy soron.</w:t>
      </w:r>
    </w:p>
    <w:p w14:paraId="723A2156" w14:textId="77777777" w:rsidR="001D03C1" w:rsidRDefault="001D03C1" w:rsidP="00431D9D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lang w:eastAsia="en-US"/>
        </w:rPr>
      </w:pPr>
    </w:p>
    <w:p w14:paraId="2D401926" w14:textId="7A8000A7" w:rsidR="00C558DE" w:rsidRDefault="00C558DE" w:rsidP="00431D9D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lang w:eastAsia="en-US"/>
        </w:rPr>
      </w:pPr>
      <w:r>
        <w:rPr>
          <w:rFonts w:ascii="Arial" w:hAnsi="Arial" w:cs="Arial"/>
          <w:snapToGrid w:val="0"/>
          <w:sz w:val="20"/>
          <w:lang w:eastAsia="en-US"/>
        </w:rPr>
        <w:t xml:space="preserve">5. </w:t>
      </w:r>
      <w:r w:rsidRPr="006E602B">
        <w:rPr>
          <w:rFonts w:ascii="Arial" w:hAnsi="Arial" w:cs="Arial"/>
          <w:snapToGrid w:val="0"/>
          <w:sz w:val="20"/>
          <w:lang w:eastAsia="en-US"/>
        </w:rPr>
        <w:t xml:space="preserve">A kódlista alapján jelentendő </w:t>
      </w:r>
      <w:r>
        <w:rPr>
          <w:rFonts w:ascii="Arial" w:hAnsi="Arial" w:cs="Arial"/>
          <w:snapToGrid w:val="0"/>
          <w:sz w:val="20"/>
          <w:lang w:eastAsia="en-US"/>
        </w:rPr>
        <w:t xml:space="preserve">oszlopokban </w:t>
      </w:r>
      <w:r w:rsidRPr="006E602B">
        <w:rPr>
          <w:rFonts w:ascii="Arial" w:hAnsi="Arial" w:cs="Arial"/>
          <w:snapToGrid w:val="0"/>
          <w:sz w:val="20"/>
          <w:lang w:eastAsia="en-US"/>
        </w:rPr>
        <w:t>a kódlista valamely elemét kötelező kiválasztani (</w:t>
      </w:r>
      <w:proofErr w:type="gramStart"/>
      <w:r w:rsidRPr="006E602B">
        <w:rPr>
          <w:rFonts w:ascii="Arial" w:hAnsi="Arial" w:cs="Arial"/>
          <w:snapToGrid w:val="0"/>
          <w:sz w:val="20"/>
          <w:lang w:eastAsia="en-US"/>
        </w:rPr>
        <w:t>pl.</w:t>
      </w:r>
      <w:proofErr w:type="gramEnd"/>
      <w:r w:rsidRPr="006E602B">
        <w:rPr>
          <w:rFonts w:ascii="Arial" w:hAnsi="Arial" w:cs="Arial"/>
          <w:snapToGrid w:val="0"/>
          <w:sz w:val="20"/>
          <w:lang w:eastAsia="en-US"/>
        </w:rPr>
        <w:t xml:space="preserve"> ha nem értelmezhető a „Referencia kamat megnevezése”, mert az adott ügylet fix kamatozású, akkor a „NINCS” érték jelentendő az oszlop üresen hagyása helyett).</w:t>
      </w:r>
    </w:p>
    <w:p w14:paraId="2E27FB56" w14:textId="77777777" w:rsidR="00C558DE" w:rsidRPr="001D03C1" w:rsidRDefault="00C558DE" w:rsidP="00431D9D">
      <w:pPr>
        <w:tabs>
          <w:tab w:val="left" w:pos="2127"/>
        </w:tabs>
        <w:spacing w:after="120"/>
        <w:rPr>
          <w:rFonts w:ascii="Arial" w:hAnsi="Arial" w:cs="Arial"/>
          <w:snapToGrid w:val="0"/>
          <w:sz w:val="20"/>
          <w:lang w:eastAsia="en-US"/>
        </w:rPr>
      </w:pPr>
    </w:p>
    <w:p w14:paraId="649A4A5B" w14:textId="7FE1CF5C" w:rsidR="00C558DE" w:rsidRPr="004F6F8D" w:rsidRDefault="00C558DE" w:rsidP="004C4029">
      <w:pPr>
        <w:spacing w:after="120"/>
        <w:ind w:right="-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4C4029" w:rsidRPr="004F6F8D">
        <w:rPr>
          <w:rFonts w:ascii="Arial" w:hAnsi="Arial" w:cs="Arial"/>
          <w:sz w:val="20"/>
        </w:rPr>
        <w:t>. Az „</w:t>
      </w:r>
      <w:r w:rsidR="007E40EA" w:rsidRPr="004F6F8D">
        <w:rPr>
          <w:rFonts w:ascii="Arial" w:hAnsi="Arial" w:cs="Arial"/>
          <w:sz w:val="20"/>
        </w:rPr>
        <w:t>Aktuális (állományi) kamatláb (%-ban)</w:t>
      </w:r>
      <w:r w:rsidR="004C4029" w:rsidRPr="004F6F8D">
        <w:rPr>
          <w:rFonts w:ascii="Arial" w:hAnsi="Arial" w:cs="Arial"/>
          <w:sz w:val="20"/>
        </w:rPr>
        <w:t>” oszlopban</w:t>
      </w:r>
      <w:r w:rsidR="007E40EA" w:rsidRPr="004F6F8D">
        <w:rPr>
          <w:rFonts w:ascii="Arial" w:hAnsi="Arial" w:cs="Arial"/>
          <w:sz w:val="20"/>
        </w:rPr>
        <w:t xml:space="preserve"> a tárgyhónap végén fennálló állományra vonatkozó aktuális kamatlábat kell megadni, amely az állományokra a tárgyhónap utolsó napján alkalmazott tényleges (nem a meghirdetett) kamatlábbal egyenlő. </w:t>
      </w:r>
      <w:r w:rsidR="004C4029" w:rsidRPr="004F6F8D">
        <w:rPr>
          <w:rFonts w:ascii="Arial" w:hAnsi="Arial" w:cs="Arial"/>
          <w:sz w:val="20"/>
        </w:rPr>
        <w:t xml:space="preserve">A kamatlábat éves százalékos mértékben, névleges kamatlábként </w:t>
      </w:r>
      <w:r w:rsidR="001759B7" w:rsidRPr="004F6F8D">
        <w:rPr>
          <w:rFonts w:ascii="Arial" w:hAnsi="Arial" w:cs="Arial"/>
          <w:sz w:val="20"/>
        </w:rPr>
        <w:t xml:space="preserve">kifejezve </w:t>
      </w:r>
      <w:r w:rsidR="004C4029" w:rsidRPr="004F6F8D">
        <w:rPr>
          <w:rFonts w:ascii="Arial" w:hAnsi="Arial" w:cs="Arial"/>
          <w:sz w:val="20"/>
        </w:rPr>
        <w:t>kell jelenteni.</w:t>
      </w:r>
    </w:p>
    <w:sectPr w:rsidR="00C558DE" w:rsidRPr="004F6F8D" w:rsidSect="004D4A4D">
      <w:headerReference w:type="default" r:id="rId8"/>
      <w:footerReference w:type="default" r:id="rId9"/>
      <w:pgSz w:w="11907" w:h="16840" w:code="9"/>
      <w:pgMar w:top="1134" w:right="1304" w:bottom="1134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2A8F7" w14:textId="77777777" w:rsidR="00315724" w:rsidRDefault="00315724">
      <w:r>
        <w:separator/>
      </w:r>
    </w:p>
  </w:endnote>
  <w:endnote w:type="continuationSeparator" w:id="0">
    <w:p w14:paraId="65F01DC3" w14:textId="77777777" w:rsidR="00315724" w:rsidRDefault="00315724">
      <w:r>
        <w:continuationSeparator/>
      </w:r>
    </w:p>
  </w:endnote>
  <w:endnote w:type="continuationNotice" w:id="1">
    <w:p w14:paraId="445BDBB4" w14:textId="77777777" w:rsidR="00315724" w:rsidRDefault="00315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1AE5" w14:textId="77777777" w:rsidR="00A3215A" w:rsidRDefault="00A3215A">
    <w:pPr>
      <w:pStyle w:val="llb"/>
    </w:pPr>
  </w:p>
  <w:p w14:paraId="6C6778D6" w14:textId="77777777" w:rsidR="00A3215A" w:rsidRDefault="00A321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FCA25" w14:textId="77777777" w:rsidR="00315724" w:rsidRDefault="00315724">
      <w:r>
        <w:separator/>
      </w:r>
    </w:p>
  </w:footnote>
  <w:footnote w:type="continuationSeparator" w:id="0">
    <w:p w14:paraId="31708CB5" w14:textId="77777777" w:rsidR="00315724" w:rsidRDefault="00315724">
      <w:r>
        <w:continuationSeparator/>
      </w:r>
    </w:p>
  </w:footnote>
  <w:footnote w:type="continuationNotice" w:id="1">
    <w:p w14:paraId="790BD15B" w14:textId="77777777" w:rsidR="00315724" w:rsidRDefault="003157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3770" w14:textId="77777777" w:rsidR="00315724" w:rsidRDefault="0031572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1D0"/>
    <w:multiLevelType w:val="hybridMultilevel"/>
    <w:tmpl w:val="1258FC6A"/>
    <w:lvl w:ilvl="0" w:tplc="2AA088BC">
      <w:start w:val="8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B10F7"/>
    <w:multiLevelType w:val="hybridMultilevel"/>
    <w:tmpl w:val="9876530E"/>
    <w:lvl w:ilvl="0" w:tplc="C7A6E32C">
      <w:start w:val="1"/>
      <w:numFmt w:val="lowerLetter"/>
      <w:lvlText w:val="%1.)"/>
      <w:lvlJc w:val="left"/>
      <w:pPr>
        <w:ind w:left="64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D11B9C"/>
    <w:multiLevelType w:val="hybridMultilevel"/>
    <w:tmpl w:val="B89E12A0"/>
    <w:lvl w:ilvl="0" w:tplc="E012973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F7A08"/>
    <w:multiLevelType w:val="hybridMultilevel"/>
    <w:tmpl w:val="14BCEB14"/>
    <w:lvl w:ilvl="0" w:tplc="C6CAC92C">
      <w:start w:val="12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00623F"/>
    <w:multiLevelType w:val="hybridMultilevel"/>
    <w:tmpl w:val="D16A5356"/>
    <w:lvl w:ilvl="0" w:tplc="040E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8750E7"/>
    <w:multiLevelType w:val="hybridMultilevel"/>
    <w:tmpl w:val="EFB473FA"/>
    <w:lvl w:ilvl="0" w:tplc="C58049A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7BD449F"/>
    <w:multiLevelType w:val="singleLevel"/>
    <w:tmpl w:val="8DB4DD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 w15:restartNumberingAfterBreak="0">
    <w:nsid w:val="5E6B7C15"/>
    <w:multiLevelType w:val="hybridMultilevel"/>
    <w:tmpl w:val="EFF4229A"/>
    <w:lvl w:ilvl="0" w:tplc="B6D20AFC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26F0C"/>
    <w:multiLevelType w:val="hybridMultilevel"/>
    <w:tmpl w:val="3258D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169F2"/>
    <w:multiLevelType w:val="hybridMultilevel"/>
    <w:tmpl w:val="5C8A880A"/>
    <w:lvl w:ilvl="0" w:tplc="040E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25872">
    <w:abstractNumId w:val="6"/>
  </w:num>
  <w:num w:numId="2" w16cid:durableId="751242406">
    <w:abstractNumId w:val="4"/>
  </w:num>
  <w:num w:numId="3" w16cid:durableId="222101864">
    <w:abstractNumId w:val="1"/>
  </w:num>
  <w:num w:numId="4" w16cid:durableId="959069222">
    <w:abstractNumId w:val="5"/>
  </w:num>
  <w:num w:numId="5" w16cid:durableId="813176661">
    <w:abstractNumId w:val="9"/>
  </w:num>
  <w:num w:numId="6" w16cid:durableId="1487941902">
    <w:abstractNumId w:val="3"/>
  </w:num>
  <w:num w:numId="7" w16cid:durableId="710349646">
    <w:abstractNumId w:val="2"/>
  </w:num>
  <w:num w:numId="8" w16cid:durableId="1850683080">
    <w:abstractNumId w:val="7"/>
  </w:num>
  <w:num w:numId="9" w16cid:durableId="158814867">
    <w:abstractNumId w:val="0"/>
  </w:num>
  <w:num w:numId="10" w16cid:durableId="439842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C0"/>
    <w:rsid w:val="00003CE2"/>
    <w:rsid w:val="000044D5"/>
    <w:rsid w:val="000205AE"/>
    <w:rsid w:val="00023FC7"/>
    <w:rsid w:val="000345B2"/>
    <w:rsid w:val="00070A6F"/>
    <w:rsid w:val="00074CE8"/>
    <w:rsid w:val="000846AD"/>
    <w:rsid w:val="00085575"/>
    <w:rsid w:val="00085EF9"/>
    <w:rsid w:val="00090974"/>
    <w:rsid w:val="00092A10"/>
    <w:rsid w:val="000A0F7C"/>
    <w:rsid w:val="000B047B"/>
    <w:rsid w:val="000D00BA"/>
    <w:rsid w:val="000E28AB"/>
    <w:rsid w:val="000E3317"/>
    <w:rsid w:val="000E3BCC"/>
    <w:rsid w:val="000F4B05"/>
    <w:rsid w:val="00102A43"/>
    <w:rsid w:val="0010776E"/>
    <w:rsid w:val="00107CE5"/>
    <w:rsid w:val="001129CC"/>
    <w:rsid w:val="00142398"/>
    <w:rsid w:val="00152CD2"/>
    <w:rsid w:val="001552A3"/>
    <w:rsid w:val="001759B7"/>
    <w:rsid w:val="00177198"/>
    <w:rsid w:val="0018584C"/>
    <w:rsid w:val="00187775"/>
    <w:rsid w:val="001906B6"/>
    <w:rsid w:val="0019550B"/>
    <w:rsid w:val="001970F2"/>
    <w:rsid w:val="001A4727"/>
    <w:rsid w:val="001B5874"/>
    <w:rsid w:val="001C4CC4"/>
    <w:rsid w:val="001C51DF"/>
    <w:rsid w:val="001D03C1"/>
    <w:rsid w:val="001D4E11"/>
    <w:rsid w:val="001E161F"/>
    <w:rsid w:val="001F5FAD"/>
    <w:rsid w:val="00203CBE"/>
    <w:rsid w:val="00214DB9"/>
    <w:rsid w:val="00215FA0"/>
    <w:rsid w:val="00220177"/>
    <w:rsid w:val="00240DAA"/>
    <w:rsid w:val="00241C4B"/>
    <w:rsid w:val="0024539B"/>
    <w:rsid w:val="00267A0C"/>
    <w:rsid w:val="0027210D"/>
    <w:rsid w:val="00272B9D"/>
    <w:rsid w:val="0027575F"/>
    <w:rsid w:val="0029701A"/>
    <w:rsid w:val="002A435B"/>
    <w:rsid w:val="002C123D"/>
    <w:rsid w:val="002D627C"/>
    <w:rsid w:val="002F1A6D"/>
    <w:rsid w:val="002F47D6"/>
    <w:rsid w:val="003136F4"/>
    <w:rsid w:val="00315724"/>
    <w:rsid w:val="003170C2"/>
    <w:rsid w:val="00325DB3"/>
    <w:rsid w:val="0033358D"/>
    <w:rsid w:val="00333B96"/>
    <w:rsid w:val="00337859"/>
    <w:rsid w:val="00342AE2"/>
    <w:rsid w:val="0034637A"/>
    <w:rsid w:val="0035786D"/>
    <w:rsid w:val="003620E2"/>
    <w:rsid w:val="0036467A"/>
    <w:rsid w:val="00365121"/>
    <w:rsid w:val="00381CFA"/>
    <w:rsid w:val="0038708D"/>
    <w:rsid w:val="003A39DF"/>
    <w:rsid w:val="003A3AA5"/>
    <w:rsid w:val="003B4751"/>
    <w:rsid w:val="003C498E"/>
    <w:rsid w:val="003D0772"/>
    <w:rsid w:val="003E1912"/>
    <w:rsid w:val="003E2708"/>
    <w:rsid w:val="003F5594"/>
    <w:rsid w:val="00406A3A"/>
    <w:rsid w:val="00412CCC"/>
    <w:rsid w:val="0041708D"/>
    <w:rsid w:val="00420C1C"/>
    <w:rsid w:val="00425502"/>
    <w:rsid w:val="00431D9D"/>
    <w:rsid w:val="00433412"/>
    <w:rsid w:val="0043528F"/>
    <w:rsid w:val="004458D8"/>
    <w:rsid w:val="004473F3"/>
    <w:rsid w:val="004760D4"/>
    <w:rsid w:val="004A0058"/>
    <w:rsid w:val="004A4BD5"/>
    <w:rsid w:val="004C023B"/>
    <w:rsid w:val="004C0281"/>
    <w:rsid w:val="004C1BAD"/>
    <w:rsid w:val="004C2ED7"/>
    <w:rsid w:val="004C4029"/>
    <w:rsid w:val="004C75B0"/>
    <w:rsid w:val="004D3B3F"/>
    <w:rsid w:val="004D4A4D"/>
    <w:rsid w:val="004E25E0"/>
    <w:rsid w:val="004F13DD"/>
    <w:rsid w:val="004F1AE0"/>
    <w:rsid w:val="004F5839"/>
    <w:rsid w:val="004F6F8D"/>
    <w:rsid w:val="00502FA9"/>
    <w:rsid w:val="005031A5"/>
    <w:rsid w:val="00512EAC"/>
    <w:rsid w:val="005144AE"/>
    <w:rsid w:val="00514B02"/>
    <w:rsid w:val="00515362"/>
    <w:rsid w:val="00521D26"/>
    <w:rsid w:val="0055399D"/>
    <w:rsid w:val="00555BAA"/>
    <w:rsid w:val="00560B29"/>
    <w:rsid w:val="005813B7"/>
    <w:rsid w:val="0059164D"/>
    <w:rsid w:val="005932B6"/>
    <w:rsid w:val="0059463B"/>
    <w:rsid w:val="00596F5B"/>
    <w:rsid w:val="005A71AB"/>
    <w:rsid w:val="005B5A92"/>
    <w:rsid w:val="005C2734"/>
    <w:rsid w:val="005C78B7"/>
    <w:rsid w:val="005D0FD9"/>
    <w:rsid w:val="005E0F80"/>
    <w:rsid w:val="005E7F7A"/>
    <w:rsid w:val="005F11DA"/>
    <w:rsid w:val="00600CB4"/>
    <w:rsid w:val="00602363"/>
    <w:rsid w:val="00605038"/>
    <w:rsid w:val="006058F8"/>
    <w:rsid w:val="0061010A"/>
    <w:rsid w:val="00611E16"/>
    <w:rsid w:val="00630B46"/>
    <w:rsid w:val="0063199D"/>
    <w:rsid w:val="00633878"/>
    <w:rsid w:val="00635439"/>
    <w:rsid w:val="00643DEC"/>
    <w:rsid w:val="00647C65"/>
    <w:rsid w:val="00660205"/>
    <w:rsid w:val="006851D3"/>
    <w:rsid w:val="00686DF1"/>
    <w:rsid w:val="00692056"/>
    <w:rsid w:val="00696670"/>
    <w:rsid w:val="006A4176"/>
    <w:rsid w:val="006B7265"/>
    <w:rsid w:val="006C534B"/>
    <w:rsid w:val="006D503F"/>
    <w:rsid w:val="006E3F55"/>
    <w:rsid w:val="006E58C8"/>
    <w:rsid w:val="006E602B"/>
    <w:rsid w:val="006E7E8E"/>
    <w:rsid w:val="006F5F5D"/>
    <w:rsid w:val="00702805"/>
    <w:rsid w:val="007203C6"/>
    <w:rsid w:val="007275A1"/>
    <w:rsid w:val="0073035A"/>
    <w:rsid w:val="00732DE2"/>
    <w:rsid w:val="007345D4"/>
    <w:rsid w:val="00745CA7"/>
    <w:rsid w:val="00756E7C"/>
    <w:rsid w:val="00763C52"/>
    <w:rsid w:val="00765FD1"/>
    <w:rsid w:val="00773864"/>
    <w:rsid w:val="00781D93"/>
    <w:rsid w:val="00782DA6"/>
    <w:rsid w:val="007A0F90"/>
    <w:rsid w:val="007C0895"/>
    <w:rsid w:val="007E40EA"/>
    <w:rsid w:val="007F15E6"/>
    <w:rsid w:val="00801FA2"/>
    <w:rsid w:val="00803829"/>
    <w:rsid w:val="0080459A"/>
    <w:rsid w:val="00805522"/>
    <w:rsid w:val="00805F4A"/>
    <w:rsid w:val="00815EE0"/>
    <w:rsid w:val="008161DF"/>
    <w:rsid w:val="00820220"/>
    <w:rsid w:val="00822053"/>
    <w:rsid w:val="008269B4"/>
    <w:rsid w:val="008371B0"/>
    <w:rsid w:val="0084081E"/>
    <w:rsid w:val="00862976"/>
    <w:rsid w:val="00865FF9"/>
    <w:rsid w:val="00866B41"/>
    <w:rsid w:val="008724E9"/>
    <w:rsid w:val="008822AF"/>
    <w:rsid w:val="008A0BA2"/>
    <w:rsid w:val="008A3BA9"/>
    <w:rsid w:val="008A605F"/>
    <w:rsid w:val="008E60FB"/>
    <w:rsid w:val="008F47E8"/>
    <w:rsid w:val="00900BE6"/>
    <w:rsid w:val="00910F3D"/>
    <w:rsid w:val="00913AE8"/>
    <w:rsid w:val="009307FC"/>
    <w:rsid w:val="00943A7C"/>
    <w:rsid w:val="00966A81"/>
    <w:rsid w:val="009948DF"/>
    <w:rsid w:val="009A4CBC"/>
    <w:rsid w:val="009B2449"/>
    <w:rsid w:val="009C583B"/>
    <w:rsid w:val="009D0770"/>
    <w:rsid w:val="009D6E3A"/>
    <w:rsid w:val="009E0458"/>
    <w:rsid w:val="009E20D3"/>
    <w:rsid w:val="009E4396"/>
    <w:rsid w:val="009E4D85"/>
    <w:rsid w:val="00A02213"/>
    <w:rsid w:val="00A04185"/>
    <w:rsid w:val="00A06093"/>
    <w:rsid w:val="00A06861"/>
    <w:rsid w:val="00A06E18"/>
    <w:rsid w:val="00A2263D"/>
    <w:rsid w:val="00A253FA"/>
    <w:rsid w:val="00A3215A"/>
    <w:rsid w:val="00A34416"/>
    <w:rsid w:val="00A4600F"/>
    <w:rsid w:val="00A50A40"/>
    <w:rsid w:val="00A55001"/>
    <w:rsid w:val="00A6706C"/>
    <w:rsid w:val="00A744AB"/>
    <w:rsid w:val="00A776E5"/>
    <w:rsid w:val="00A93380"/>
    <w:rsid w:val="00A97B71"/>
    <w:rsid w:val="00AA394B"/>
    <w:rsid w:val="00AA3963"/>
    <w:rsid w:val="00AD586C"/>
    <w:rsid w:val="00AF010F"/>
    <w:rsid w:val="00AF0C6A"/>
    <w:rsid w:val="00B0218E"/>
    <w:rsid w:val="00B02594"/>
    <w:rsid w:val="00B1724D"/>
    <w:rsid w:val="00B17722"/>
    <w:rsid w:val="00B23237"/>
    <w:rsid w:val="00B2629C"/>
    <w:rsid w:val="00B3331B"/>
    <w:rsid w:val="00B4313D"/>
    <w:rsid w:val="00B43599"/>
    <w:rsid w:val="00B43E5D"/>
    <w:rsid w:val="00B649BB"/>
    <w:rsid w:val="00B74307"/>
    <w:rsid w:val="00B7617A"/>
    <w:rsid w:val="00B8297F"/>
    <w:rsid w:val="00B86B56"/>
    <w:rsid w:val="00B878CD"/>
    <w:rsid w:val="00B87C56"/>
    <w:rsid w:val="00B947DA"/>
    <w:rsid w:val="00BA0662"/>
    <w:rsid w:val="00BA354D"/>
    <w:rsid w:val="00BB637D"/>
    <w:rsid w:val="00BC06D9"/>
    <w:rsid w:val="00BC27C1"/>
    <w:rsid w:val="00BC4E22"/>
    <w:rsid w:val="00BC7847"/>
    <w:rsid w:val="00BD6FD2"/>
    <w:rsid w:val="00BF2CD0"/>
    <w:rsid w:val="00C11A53"/>
    <w:rsid w:val="00C22881"/>
    <w:rsid w:val="00C34E64"/>
    <w:rsid w:val="00C46308"/>
    <w:rsid w:val="00C558DE"/>
    <w:rsid w:val="00C57CD8"/>
    <w:rsid w:val="00C64C15"/>
    <w:rsid w:val="00C80336"/>
    <w:rsid w:val="00C80470"/>
    <w:rsid w:val="00C87F74"/>
    <w:rsid w:val="00C917CF"/>
    <w:rsid w:val="00CA397E"/>
    <w:rsid w:val="00CB2F21"/>
    <w:rsid w:val="00CB5092"/>
    <w:rsid w:val="00CB73C0"/>
    <w:rsid w:val="00CC44AB"/>
    <w:rsid w:val="00CC4688"/>
    <w:rsid w:val="00CC5959"/>
    <w:rsid w:val="00CC63D7"/>
    <w:rsid w:val="00CE59EA"/>
    <w:rsid w:val="00CF1D28"/>
    <w:rsid w:val="00D066EB"/>
    <w:rsid w:val="00D12554"/>
    <w:rsid w:val="00D23634"/>
    <w:rsid w:val="00D2560B"/>
    <w:rsid w:val="00D27EFC"/>
    <w:rsid w:val="00D34F34"/>
    <w:rsid w:val="00D524C1"/>
    <w:rsid w:val="00D576CC"/>
    <w:rsid w:val="00D77368"/>
    <w:rsid w:val="00D9076F"/>
    <w:rsid w:val="00DA60A9"/>
    <w:rsid w:val="00DA7F6D"/>
    <w:rsid w:val="00DB5FA1"/>
    <w:rsid w:val="00DB7AD3"/>
    <w:rsid w:val="00DC2EC3"/>
    <w:rsid w:val="00DC585C"/>
    <w:rsid w:val="00DE3AFC"/>
    <w:rsid w:val="00DE77C6"/>
    <w:rsid w:val="00E05655"/>
    <w:rsid w:val="00E11B2C"/>
    <w:rsid w:val="00E13C3C"/>
    <w:rsid w:val="00E14BFA"/>
    <w:rsid w:val="00E23F3D"/>
    <w:rsid w:val="00E330C2"/>
    <w:rsid w:val="00E34AC9"/>
    <w:rsid w:val="00E41F72"/>
    <w:rsid w:val="00E449D2"/>
    <w:rsid w:val="00E523E1"/>
    <w:rsid w:val="00E52B40"/>
    <w:rsid w:val="00E63040"/>
    <w:rsid w:val="00E70530"/>
    <w:rsid w:val="00E8176F"/>
    <w:rsid w:val="00E9125C"/>
    <w:rsid w:val="00EA6B1A"/>
    <w:rsid w:val="00EC0E6C"/>
    <w:rsid w:val="00EC4AAD"/>
    <w:rsid w:val="00ED0F10"/>
    <w:rsid w:val="00ED6A0A"/>
    <w:rsid w:val="00ED761D"/>
    <w:rsid w:val="00EE31A0"/>
    <w:rsid w:val="00EE6091"/>
    <w:rsid w:val="00F0453C"/>
    <w:rsid w:val="00F06DDB"/>
    <w:rsid w:val="00F07576"/>
    <w:rsid w:val="00F111F6"/>
    <w:rsid w:val="00F113DB"/>
    <w:rsid w:val="00F15A0D"/>
    <w:rsid w:val="00F21A19"/>
    <w:rsid w:val="00F476D8"/>
    <w:rsid w:val="00F47EBE"/>
    <w:rsid w:val="00F5025A"/>
    <w:rsid w:val="00F52E60"/>
    <w:rsid w:val="00F56BC3"/>
    <w:rsid w:val="00F575B7"/>
    <w:rsid w:val="00F710D1"/>
    <w:rsid w:val="00F72AEB"/>
    <w:rsid w:val="00F732EC"/>
    <w:rsid w:val="00F749A0"/>
    <w:rsid w:val="00F7647C"/>
    <w:rsid w:val="00F91629"/>
    <w:rsid w:val="00F93BF8"/>
    <w:rsid w:val="00FB0FD3"/>
    <w:rsid w:val="00FC4B21"/>
    <w:rsid w:val="00FD38F1"/>
    <w:rsid w:val="00FE2D92"/>
    <w:rsid w:val="00FE41A0"/>
    <w:rsid w:val="00F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9CCE6"/>
  <w15:chartTrackingRefBased/>
  <w15:docId w15:val="{9B61A776-D9D7-4CED-B4AB-45B21512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4A4D"/>
    <w:pPr>
      <w:keepLines/>
      <w:jc w:val="both"/>
    </w:pPr>
    <w:rPr>
      <w:sz w:val="24"/>
    </w:rPr>
  </w:style>
  <w:style w:type="paragraph" w:styleId="Cmsor1">
    <w:name w:val="heading 1"/>
    <w:basedOn w:val="Norml"/>
    <w:next w:val="Norml"/>
    <w:qFormat/>
    <w:rsid w:val="004D4A4D"/>
    <w:pPr>
      <w:spacing w:before="240"/>
      <w:outlineLvl w:val="0"/>
    </w:pPr>
    <w:rPr>
      <w:rFonts w:ascii="Arial" w:hAnsi="Arial"/>
      <w:b/>
      <w:u w:val="single"/>
    </w:rPr>
  </w:style>
  <w:style w:type="paragraph" w:styleId="Cmsor2">
    <w:name w:val="heading 2"/>
    <w:basedOn w:val="Norml"/>
    <w:next w:val="Norml"/>
    <w:qFormat/>
    <w:rsid w:val="004D4A4D"/>
    <w:pPr>
      <w:spacing w:before="120"/>
      <w:outlineLvl w:val="1"/>
    </w:pPr>
    <w:rPr>
      <w:rFonts w:ascii="Arial" w:hAnsi="Arial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4D4A4D"/>
    <w:pPr>
      <w:ind w:left="284" w:hanging="284"/>
    </w:pPr>
  </w:style>
  <w:style w:type="paragraph" w:styleId="Szvegtrzs3">
    <w:name w:val="Body Text 3"/>
    <w:basedOn w:val="Norml"/>
    <w:rsid w:val="004D4A4D"/>
    <w:pPr>
      <w:keepLines w:val="0"/>
    </w:pPr>
  </w:style>
  <w:style w:type="paragraph" w:styleId="lfej">
    <w:name w:val="header"/>
    <w:basedOn w:val="Norml"/>
    <w:rsid w:val="004D4A4D"/>
    <w:pPr>
      <w:tabs>
        <w:tab w:val="center" w:pos="4153"/>
        <w:tab w:val="right" w:pos="8306"/>
      </w:tabs>
    </w:pPr>
  </w:style>
  <w:style w:type="paragraph" w:styleId="llb">
    <w:name w:val="footer"/>
    <w:basedOn w:val="Norml"/>
    <w:rsid w:val="004D4A4D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sid w:val="004D4A4D"/>
    <w:pPr>
      <w:keepLines w:val="0"/>
      <w:widowControl w:val="0"/>
    </w:pPr>
    <w:rPr>
      <w:spacing w:val="-6"/>
    </w:rPr>
  </w:style>
  <w:style w:type="paragraph" w:styleId="Buborkszveg">
    <w:name w:val="Balloon Text"/>
    <w:basedOn w:val="Norml"/>
    <w:semiHidden/>
    <w:rsid w:val="004D4A4D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4D4A4D"/>
    <w:rPr>
      <w:sz w:val="16"/>
      <w:szCs w:val="16"/>
    </w:rPr>
  </w:style>
  <w:style w:type="paragraph" w:styleId="Jegyzetszveg">
    <w:name w:val="annotation text"/>
    <w:basedOn w:val="Norml"/>
    <w:semiHidden/>
    <w:rsid w:val="004D4A4D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4D4A4D"/>
    <w:rPr>
      <w:b/>
      <w:bCs/>
    </w:rPr>
  </w:style>
  <w:style w:type="paragraph" w:styleId="Listaszerbekezds">
    <w:name w:val="List Paragraph"/>
    <w:basedOn w:val="Norml"/>
    <w:uiPriority w:val="34"/>
    <w:qFormat/>
    <w:rsid w:val="004458D8"/>
    <w:pPr>
      <w:ind w:left="709"/>
    </w:pPr>
  </w:style>
  <w:style w:type="paragraph" w:styleId="Vltozat">
    <w:name w:val="Revision"/>
    <w:hidden/>
    <w:uiPriority w:val="99"/>
    <w:semiHidden/>
    <w:rsid w:val="00AF01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72B0F-569F-4A21-B86D-1E20798D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5809</Characters>
  <Application>Microsoft Office Word</Application>
  <DocSecurity>0</DocSecurity>
  <Lines>48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MNB adatgyűjtés azonosító: K02</vt:lpstr>
      <vt:lpstr>MNB adatgyűjtés azonosító: K02</vt:lpstr>
    </vt:vector>
  </TitlesOfParts>
  <Company>Magyar Nemzeti Bank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MNB adatgyűjtés azonosító: K02</dc:title>
  <dc:subject/>
  <dc:creator>Horváth Istvánné (Ani) 10-87</dc:creator>
  <cp:keywords/>
  <cp:lastModifiedBy>Németh-Varga Dániel</cp:lastModifiedBy>
  <cp:revision>2</cp:revision>
  <cp:lastPrinted>2002-07-29T07:16:00Z</cp:lastPrinted>
  <dcterms:created xsi:type="dcterms:W3CDTF">2024-01-08T12:29:00Z</dcterms:created>
  <dcterms:modified xsi:type="dcterms:W3CDTF">2024-01-08T12:29:00Z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2026-06-09T14:32:26Z</vt:filetime>
  </property>
  <property fmtid="{D5CDD505-2E9C-101B-9397-08002B2CF9AE}" pid="3" name="Érvényességet beállító">
    <vt:lpwstr>atzelzs</vt:lpwstr>
  </property>
  <property fmtid="{D5CDD505-2E9C-101B-9397-08002B2CF9AE}" pid="4" name="Érvényességi idő első beállítása">
    <vt:filetime>2021-06-09T14:32:26Z</vt:filetime>
  </property>
  <property fmtid="{D5CDD505-2E9C-101B-9397-08002B2CF9AE}" pid="5" name="MSIP_Label_b0d11092-50c9-4e74-84b5-b1af078dc3d0_Enabled">
    <vt:lpwstr>True</vt:lpwstr>
  </property>
  <property fmtid="{D5CDD505-2E9C-101B-9397-08002B2CF9AE}" pid="6" name="MSIP_Label_b0d11092-50c9-4e74-84b5-b1af078dc3d0_SiteId">
    <vt:lpwstr>97c01ef8-0264-4eef-9c08-fb4a9ba1c0db</vt:lpwstr>
  </property>
  <property fmtid="{D5CDD505-2E9C-101B-9397-08002B2CF9AE}" pid="7" name="MSIP_Label_b0d11092-50c9-4e74-84b5-b1af078dc3d0_Ref">
    <vt:lpwstr>https://api.informationprotection.azure.com/api/97c01ef8-0264-4eef-9c08-fb4a9ba1c0db</vt:lpwstr>
  </property>
  <property fmtid="{D5CDD505-2E9C-101B-9397-08002B2CF9AE}" pid="8" name="MSIP_Label_b0d11092-50c9-4e74-84b5-b1af078dc3d0_Owner">
    <vt:lpwstr>atzelzs@mnb.hu</vt:lpwstr>
  </property>
  <property fmtid="{D5CDD505-2E9C-101B-9397-08002B2CF9AE}" pid="9" name="MSIP_Label_b0d11092-50c9-4e74-84b5-b1af078dc3d0_SetDate">
    <vt:lpwstr>2021-06-09T16:36:53.1127605+02:00</vt:lpwstr>
  </property>
  <property fmtid="{D5CDD505-2E9C-101B-9397-08002B2CF9AE}" pid="10" name="MSIP_Label_b0d11092-50c9-4e74-84b5-b1af078dc3d0_Name">
    <vt:lpwstr>Protected</vt:lpwstr>
  </property>
  <property fmtid="{D5CDD505-2E9C-101B-9397-08002B2CF9AE}" pid="11" name="MSIP_Label_b0d11092-50c9-4e74-84b5-b1af078dc3d0_Application">
    <vt:lpwstr>Microsoft Azure Information Protection</vt:lpwstr>
  </property>
  <property fmtid="{D5CDD505-2E9C-101B-9397-08002B2CF9AE}" pid="12" name="MSIP_Label_b0d11092-50c9-4e74-84b5-b1af078dc3d0_Extended_MSFT_Method">
    <vt:lpwstr>Automatic</vt:lpwstr>
  </property>
  <property fmtid="{D5CDD505-2E9C-101B-9397-08002B2CF9AE}" pid="13" name="Sensitivity">
    <vt:lpwstr>Protected</vt:lpwstr>
  </property>
</Properties>
</file>