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FD2" w:rsidRPr="00C1393F" w:rsidRDefault="00EB3FD2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C1393F">
        <w:rPr>
          <w:rFonts w:ascii="Calibri" w:hAnsi="Calibri"/>
          <w:b/>
          <w:sz w:val="22"/>
          <w:szCs w:val="22"/>
        </w:rPr>
        <w:t>A K14 adatgyűjtéshez kapcsolódó táblán belüli ellenőrzési szempontok</w:t>
      </w:r>
    </w:p>
    <w:p w:rsidR="00EB3FD2" w:rsidRPr="00C1393F" w:rsidRDefault="00EB3FD2">
      <w:pPr>
        <w:spacing w:before="120"/>
        <w:rPr>
          <w:rFonts w:ascii="Calibri" w:hAnsi="Calibri"/>
          <w:i/>
          <w:sz w:val="22"/>
          <w:szCs w:val="22"/>
        </w:rPr>
      </w:pPr>
      <w:r w:rsidRPr="00C1393F">
        <w:rPr>
          <w:rFonts w:ascii="Calibri" w:hAnsi="Calibri"/>
          <w:i/>
          <w:sz w:val="22"/>
          <w:szCs w:val="22"/>
        </w:rPr>
        <w:t>Cellák közti összefüggések</w:t>
      </w:r>
    </w:p>
    <w:p w:rsidR="00EB3FD2" w:rsidRPr="00C1393F" w:rsidRDefault="00EB3FD2">
      <w:pPr>
        <w:rPr>
          <w:rFonts w:ascii="Calibri" w:hAnsi="Calibri"/>
          <w:sz w:val="22"/>
          <w:szCs w:val="22"/>
        </w:rPr>
      </w:pPr>
      <w:r w:rsidRPr="00C1393F">
        <w:rPr>
          <w:rFonts w:ascii="Calibri" w:hAnsi="Calibri"/>
          <w:sz w:val="22"/>
          <w:szCs w:val="22"/>
        </w:rPr>
        <w:t xml:space="preserve">A 01-es tábla „a” oszlop (Értéknap) </w:t>
      </w:r>
      <w:r w:rsidRPr="00C1393F">
        <w:rPr>
          <w:rFonts w:ascii="Calibri" w:hAnsi="Calibri"/>
          <w:position w:val="-4"/>
          <w:sz w:val="22"/>
          <w:szCs w:val="22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7" o:title=""/>
          </v:shape>
          <o:OLEObject Type="Embed" ProgID="Equation.3" ShapeID="_x0000_i1025" DrawAspect="Content" ObjectID="_1730635134" r:id="rId8"/>
        </w:object>
      </w:r>
      <w:r w:rsidRPr="00C1393F">
        <w:rPr>
          <w:rFonts w:ascii="Calibri" w:hAnsi="Calibri"/>
          <w:sz w:val="22"/>
          <w:szCs w:val="22"/>
        </w:rPr>
        <w:t xml:space="preserve"> viszonyítási nap.</w:t>
      </w:r>
    </w:p>
    <w:p w:rsidR="00EB3FD2" w:rsidRPr="00C1393F" w:rsidRDefault="00EB3FD2">
      <w:pPr>
        <w:rPr>
          <w:rFonts w:ascii="Calibri" w:hAnsi="Calibri"/>
          <w:sz w:val="22"/>
          <w:szCs w:val="22"/>
        </w:rPr>
      </w:pPr>
      <w:r w:rsidRPr="00C1393F">
        <w:rPr>
          <w:rFonts w:ascii="Calibri" w:hAnsi="Calibri"/>
          <w:sz w:val="22"/>
          <w:szCs w:val="22"/>
        </w:rPr>
        <w:t xml:space="preserve">A 01-es tábla „b” oszlop (Ügylet lejáratának napja) </w:t>
      </w:r>
      <w:r w:rsidRPr="00C1393F">
        <w:rPr>
          <w:rFonts w:ascii="Calibri" w:hAnsi="Calibri"/>
          <w:position w:val="-4"/>
          <w:sz w:val="22"/>
          <w:szCs w:val="22"/>
        </w:rPr>
        <w:object w:dxaOrig="200" w:dyaOrig="240">
          <v:shape id="_x0000_i1026" type="#_x0000_t75" style="width:9.75pt;height:12pt" o:ole="">
            <v:imagedata r:id="rId9" o:title=""/>
          </v:shape>
          <o:OLEObject Type="Embed" ProgID="Equation.3" ShapeID="_x0000_i1026" DrawAspect="Content" ObjectID="_1730635135" r:id="rId10"/>
        </w:object>
      </w:r>
      <w:r w:rsidRPr="00C1393F">
        <w:rPr>
          <w:rFonts w:ascii="Calibri" w:hAnsi="Calibri"/>
          <w:sz w:val="22"/>
          <w:szCs w:val="22"/>
        </w:rPr>
        <w:t xml:space="preserve"> „a” oszlop (Értéknap).</w:t>
      </w:r>
    </w:p>
    <w:p w:rsidR="00EB3FD2" w:rsidRPr="00C1393F" w:rsidRDefault="00EB3FD2">
      <w:pPr>
        <w:rPr>
          <w:rFonts w:ascii="Calibri" w:hAnsi="Calibri"/>
          <w:sz w:val="22"/>
          <w:szCs w:val="22"/>
        </w:rPr>
      </w:pPr>
      <w:r w:rsidRPr="00C1393F">
        <w:rPr>
          <w:rFonts w:ascii="Calibri" w:hAnsi="Calibri"/>
          <w:sz w:val="22"/>
          <w:szCs w:val="22"/>
        </w:rPr>
        <w:t>A 01-es tábla „i” oszlopában szereplő referenciakamat és az „e” oszlopban szereplő denomináció csak a következő párosításokban fordulhatnak elő: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920"/>
      </w:tblGrid>
      <w:tr w:rsidR="00EB3FD2" w:rsidRPr="00C1393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 xml:space="preserve">A szerződés szerint kapott összeg </w:t>
            </w:r>
            <w:proofErr w:type="spellStart"/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denominációja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Fizetett kamat referenciakamata/</w:t>
            </w:r>
          </w:p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Megnevezés</w:t>
            </w:r>
          </w:p>
        </w:tc>
      </w:tr>
      <w:tr w:rsidR="00EB3FD2" w:rsidRPr="00C1393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e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i</w:t>
            </w:r>
          </w:p>
        </w:tc>
      </w:tr>
      <w:tr w:rsidR="00EB3FD2" w:rsidRPr="00C1393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HUF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BUBOR</w:t>
            </w:r>
          </w:p>
        </w:tc>
      </w:tr>
      <w:tr w:rsidR="00EB3FD2" w:rsidRPr="00C1393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EUR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EURIBOR</w:t>
            </w:r>
          </w:p>
        </w:tc>
      </w:tr>
      <w:tr w:rsidR="00EB3FD2" w:rsidRPr="00C1393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EUR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EURLIBOR</w:t>
            </w:r>
          </w:p>
        </w:tc>
      </w:tr>
      <w:tr w:rsidR="00EB3FD2" w:rsidRPr="00C1393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USD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USDLIBOR</w:t>
            </w:r>
          </w:p>
        </w:tc>
      </w:tr>
      <w:tr w:rsidR="00EB3FD2" w:rsidRPr="00C1393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CHF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CHFLIBOR</w:t>
            </w:r>
          </w:p>
        </w:tc>
      </w:tr>
      <w:tr w:rsidR="000A6ECB" w:rsidRPr="00C1393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6ECB" w:rsidRPr="00C1393F" w:rsidRDefault="000A6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HUF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CB" w:rsidRPr="00C1393F" w:rsidRDefault="000A6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HUFONIA</w:t>
            </w:r>
          </w:p>
        </w:tc>
      </w:tr>
    </w:tbl>
    <w:p w:rsidR="00EB3FD2" w:rsidRPr="00C1393F" w:rsidRDefault="00EB3FD2">
      <w:pPr>
        <w:spacing w:before="120"/>
        <w:rPr>
          <w:rFonts w:ascii="Calibri" w:hAnsi="Calibri"/>
          <w:sz w:val="22"/>
          <w:szCs w:val="22"/>
        </w:rPr>
      </w:pPr>
      <w:r w:rsidRPr="00C1393F">
        <w:rPr>
          <w:rFonts w:ascii="Calibri" w:hAnsi="Calibri"/>
          <w:sz w:val="22"/>
          <w:szCs w:val="22"/>
        </w:rPr>
        <w:t>A 01-es tábla „l” oszlopában szereplő referenciakamat és az „f” oszlopban szereplő denomináció csak a következő párosításokban fordulhatnak elő: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920"/>
      </w:tblGrid>
      <w:tr w:rsidR="00EB3FD2" w:rsidRPr="00C1393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 xml:space="preserve">A szerződés szerint adott összeg </w:t>
            </w:r>
            <w:proofErr w:type="spellStart"/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denominációja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Kapott kamat referenciakamata/</w:t>
            </w:r>
          </w:p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Megnevezés</w:t>
            </w:r>
          </w:p>
        </w:tc>
      </w:tr>
      <w:tr w:rsidR="00EB3FD2" w:rsidRPr="00C1393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f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l</w:t>
            </w:r>
          </w:p>
        </w:tc>
      </w:tr>
      <w:tr w:rsidR="00EB3FD2" w:rsidRPr="00C1393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HUF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BUBOR</w:t>
            </w:r>
          </w:p>
        </w:tc>
      </w:tr>
      <w:tr w:rsidR="00EB3FD2" w:rsidRPr="00C1393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EUR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EURIBOR</w:t>
            </w:r>
          </w:p>
        </w:tc>
      </w:tr>
      <w:tr w:rsidR="00EB3FD2" w:rsidRPr="00C1393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EUR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EURLIBOR</w:t>
            </w:r>
          </w:p>
        </w:tc>
      </w:tr>
      <w:tr w:rsidR="00EB3FD2" w:rsidRPr="00C1393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USD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USDLIBOR</w:t>
            </w:r>
          </w:p>
        </w:tc>
      </w:tr>
      <w:tr w:rsidR="00EB3FD2" w:rsidRPr="00C1393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CHF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FD2" w:rsidRPr="00C1393F" w:rsidRDefault="00EB3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CHFLIBOR</w:t>
            </w:r>
          </w:p>
        </w:tc>
      </w:tr>
      <w:tr w:rsidR="000A6ECB" w:rsidRPr="00C1393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6ECB" w:rsidRPr="00C1393F" w:rsidRDefault="000A6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HUF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CB" w:rsidRPr="00C1393F" w:rsidRDefault="000A6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</w:pPr>
            <w:r w:rsidRPr="00C1393F">
              <w:rPr>
                <w:rFonts w:ascii="Calibri" w:hAnsi="Calibri" w:cs="Arial"/>
                <w:color w:val="000000"/>
                <w:sz w:val="22"/>
                <w:szCs w:val="22"/>
                <w:lang w:eastAsia="hu-HU"/>
              </w:rPr>
              <w:t>HUFONIA</w:t>
            </w:r>
          </w:p>
        </w:tc>
      </w:tr>
    </w:tbl>
    <w:p w:rsidR="00EB3FD2" w:rsidRPr="00C1393F" w:rsidRDefault="00EB3FD2">
      <w:pPr>
        <w:spacing w:before="120"/>
        <w:rPr>
          <w:rFonts w:ascii="Calibri" w:hAnsi="Calibri"/>
          <w:sz w:val="22"/>
          <w:szCs w:val="22"/>
        </w:rPr>
      </w:pPr>
      <w:r w:rsidRPr="00C1393F">
        <w:rPr>
          <w:rFonts w:ascii="Calibri" w:hAnsi="Calibri"/>
          <w:sz w:val="22"/>
          <w:szCs w:val="22"/>
        </w:rPr>
        <w:t>„Egyéb” referenciakamat mellett tetszőleges devizanem állhat.</w:t>
      </w:r>
    </w:p>
    <w:p w:rsidR="00EB3FD2" w:rsidRPr="00C1393F" w:rsidRDefault="00EB3FD2">
      <w:pPr>
        <w:spacing w:before="120"/>
        <w:rPr>
          <w:rFonts w:ascii="Calibri" w:hAnsi="Calibri"/>
          <w:i/>
          <w:sz w:val="22"/>
          <w:szCs w:val="22"/>
        </w:rPr>
      </w:pPr>
      <w:r w:rsidRPr="00C1393F">
        <w:rPr>
          <w:rFonts w:ascii="Calibri" w:hAnsi="Calibri"/>
          <w:i/>
          <w:sz w:val="22"/>
          <w:szCs w:val="22"/>
        </w:rPr>
        <w:t>Cellák kitöltésére vonatkozó szabályok</w:t>
      </w:r>
    </w:p>
    <w:p w:rsidR="00EB3FD2" w:rsidRPr="00C1393F" w:rsidRDefault="00EB3FD2">
      <w:pPr>
        <w:spacing w:before="120"/>
        <w:rPr>
          <w:rFonts w:ascii="Calibri" w:hAnsi="Calibri"/>
          <w:sz w:val="22"/>
          <w:szCs w:val="22"/>
        </w:rPr>
      </w:pPr>
      <w:r w:rsidRPr="00C1393F">
        <w:rPr>
          <w:rFonts w:ascii="Calibri" w:hAnsi="Calibri"/>
          <w:sz w:val="22"/>
          <w:szCs w:val="22"/>
        </w:rPr>
        <w:t>Az összes cella kitöltendő, kivéve a 01-es tábla „h”, „i”, „k”, „l” oszlopait. Mivel a „h” és „i” illetve a „k” és „l” oszlopok összetartoznak, ha az összetartozó oszlopok közül az egyik ki van töltve, akkor a másikban is kell szerepelni egy kódnak, és ha az egyik nincs kitöltve, akkor a másiknak is üres kell legyen.</w:t>
      </w:r>
    </w:p>
    <w:p w:rsidR="00EB3FD2" w:rsidRPr="00C1393F" w:rsidRDefault="00EB3FD2">
      <w:pPr>
        <w:spacing w:before="120"/>
        <w:rPr>
          <w:rFonts w:ascii="Calibri" w:hAnsi="Calibri"/>
          <w:i/>
          <w:sz w:val="22"/>
          <w:szCs w:val="22"/>
        </w:rPr>
      </w:pPr>
      <w:r w:rsidRPr="00C1393F">
        <w:rPr>
          <w:rFonts w:ascii="Calibri" w:hAnsi="Calibri"/>
          <w:i/>
          <w:sz w:val="22"/>
          <w:szCs w:val="22"/>
        </w:rPr>
        <w:t>Cellák értékeire vonatkozó szabályok</w:t>
      </w:r>
    </w:p>
    <w:p w:rsidR="00D065E8" w:rsidRPr="00C1393F" w:rsidRDefault="00EB3FD2" w:rsidP="00D065E8">
      <w:pPr>
        <w:spacing w:before="120"/>
        <w:rPr>
          <w:rFonts w:ascii="Calibri" w:hAnsi="Calibri"/>
          <w:sz w:val="22"/>
          <w:szCs w:val="22"/>
        </w:rPr>
      </w:pPr>
      <w:r w:rsidRPr="00C1393F">
        <w:rPr>
          <w:rFonts w:ascii="Calibri" w:hAnsi="Calibri"/>
          <w:sz w:val="22"/>
          <w:szCs w:val="22"/>
        </w:rPr>
        <w:t>A 01-es tábla „j” és „m” oszlopaiban szereplő kamat maximális értékeire a többi K-s jelentésnél alkalmazott szabály használható. Az ezen cellákban szereplő értékek negatívak is lehetnek. A „j” oszlopban csak akkor szerepelhet negatív érték, ha a „h” és „i” oszlopok ki vannak töltve; az „m” oszlopban csak akkor szerepelhet negatív érték, ha a „k” és „l” oszlopok ki vannak töltve.</w:t>
      </w:r>
      <w:r w:rsidR="00D065E8" w:rsidRPr="00C1393F">
        <w:rPr>
          <w:rFonts w:ascii="Calibri" w:hAnsi="Calibri"/>
          <w:sz w:val="22"/>
          <w:szCs w:val="22"/>
        </w:rPr>
        <w:t xml:space="preserve"> Az „n” oszlop az üres értéket vagy „L” kódtár értéket vehet fel.</w:t>
      </w:r>
    </w:p>
    <w:p w:rsidR="00D065E8" w:rsidRPr="00C1393F" w:rsidRDefault="00D065E8">
      <w:pPr>
        <w:spacing w:before="120"/>
        <w:rPr>
          <w:rFonts w:ascii="Calibri" w:hAnsi="Calibri"/>
          <w:sz w:val="22"/>
          <w:szCs w:val="22"/>
        </w:rPr>
      </w:pPr>
    </w:p>
    <w:p w:rsidR="00EB3FD2" w:rsidRPr="00075979" w:rsidRDefault="00EB3FD2">
      <w:pPr>
        <w:spacing w:before="120"/>
      </w:pPr>
      <w:r w:rsidRPr="00C1393F">
        <w:rPr>
          <w:rFonts w:ascii="Calibri" w:hAnsi="Calibri"/>
          <w:sz w:val="22"/>
          <w:szCs w:val="22"/>
        </w:rPr>
        <w:t>A 02-es tábla „f” oszlopában szereplő kamat nem lehet negatív, maximális értékére a többi K-s jelentésnél alkalmazott szabály vonatkozik</w:t>
      </w:r>
      <w:r>
        <w:t>.</w:t>
      </w:r>
    </w:p>
    <w:sectPr w:rsidR="00EB3FD2" w:rsidRPr="00075979">
      <w:footerReference w:type="even" r:id="rId11"/>
      <w:pgSz w:w="11907" w:h="16840"/>
      <w:pgMar w:top="1320" w:right="1797" w:bottom="1080" w:left="179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0AA" w:rsidRDefault="00D970AA">
      <w:pPr>
        <w:spacing w:after="0"/>
      </w:pPr>
      <w:r>
        <w:separator/>
      </w:r>
    </w:p>
  </w:endnote>
  <w:endnote w:type="continuationSeparator" w:id="0">
    <w:p w:rsidR="00D970AA" w:rsidRDefault="00D970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FD2" w:rsidRDefault="00EB3F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EB3FD2" w:rsidRDefault="00EB3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0AA" w:rsidRDefault="00D970AA">
      <w:pPr>
        <w:spacing w:after="0"/>
      </w:pPr>
      <w:r>
        <w:separator/>
      </w:r>
    </w:p>
  </w:footnote>
  <w:footnote w:type="continuationSeparator" w:id="0">
    <w:p w:rsidR="00D970AA" w:rsidRDefault="00D970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F0BBD"/>
    <w:multiLevelType w:val="multilevel"/>
    <w:tmpl w:val="42C87DA6"/>
    <w:name w:val="PPF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 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"/>
      <w:lvlText w:val="%1. %2. %3"/>
      <w:lvlJc w:val="left"/>
      <w:pPr>
        <w:tabs>
          <w:tab w:val="num" w:pos="1077"/>
        </w:tabs>
        <w:ind w:left="0" w:firstLine="0"/>
      </w:pPr>
    </w:lvl>
    <w:lvl w:ilvl="3">
      <w:start w:val="1"/>
      <w:numFmt w:val="decimal"/>
      <w:pStyle w:val="Heading4"/>
      <w:lvlText w:val="%1. %2. %3. %4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pStyle w:val="Heading5"/>
      <w:lvlText w:val="%1. %2. %3. %4. 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pStyle w:val="Heading6"/>
      <w:lvlText w:val="%1. %2. %3. %4. %5. %6"/>
      <w:lvlJc w:val="left"/>
      <w:pPr>
        <w:tabs>
          <w:tab w:val="num" w:pos="1800"/>
        </w:tabs>
        <w:ind w:left="0" w:firstLine="0"/>
      </w:pPr>
    </w:lvl>
    <w:lvl w:ilvl="6">
      <w:start w:val="1"/>
      <w:numFmt w:val="decimal"/>
      <w:pStyle w:val="Heading7"/>
      <w:lvlText w:val="%1. %2. %3. %4. %5. %6. %7"/>
      <w:lvlJc w:val="left"/>
      <w:pPr>
        <w:tabs>
          <w:tab w:val="num" w:pos="2160"/>
        </w:tabs>
        <w:ind w:left="0" w:firstLine="0"/>
      </w:pPr>
    </w:lvl>
    <w:lvl w:ilvl="7">
      <w:start w:val="1"/>
      <w:numFmt w:val="decimal"/>
      <w:pStyle w:val="Heading8"/>
      <w:lvlText w:val="%1. %2. %3. %4. %5. %6. %7. %8"/>
      <w:lvlJc w:val="left"/>
      <w:pPr>
        <w:tabs>
          <w:tab w:val="num" w:pos="2520"/>
        </w:tabs>
        <w:ind w:left="0" w:firstLine="0"/>
      </w:pPr>
    </w:lvl>
    <w:lvl w:ilvl="8">
      <w:start w:val="1"/>
      <w:numFmt w:val="decimal"/>
      <w:pStyle w:val="Heading9"/>
      <w:lvlText w:val="%1. %2. %3. %4. %5. %6. %7. %8 .%9"/>
      <w:lvlJc w:val="left"/>
      <w:pPr>
        <w:tabs>
          <w:tab w:val="num" w:pos="2880"/>
        </w:tabs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AU" w:vendorID="8" w:dllVersion="513" w:checkStyle="1"/>
  <w:activeWritingStyle w:appName="MSWord" w:lang="hu-HU" w:vendorID="7" w:dllVersion="513" w:checkStyle="1"/>
  <w:activeWritingStyle w:appName="MSWord" w:lang="hu-HU" w:vendorID="7" w:dllVersion="522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FSzam" w:val="False"/>
    <w:docVar w:name="HNum" w:val="False"/>
  </w:docVars>
  <w:rsids>
    <w:rsidRoot w:val="000A6ECB"/>
    <w:rsid w:val="000A6ECB"/>
    <w:rsid w:val="000F33AA"/>
    <w:rsid w:val="001567B5"/>
    <w:rsid w:val="00376F91"/>
    <w:rsid w:val="003770C0"/>
    <w:rsid w:val="003F2932"/>
    <w:rsid w:val="009009F5"/>
    <w:rsid w:val="00987D56"/>
    <w:rsid w:val="00BA18FD"/>
    <w:rsid w:val="00BC2C02"/>
    <w:rsid w:val="00BE7F32"/>
    <w:rsid w:val="00C1393F"/>
    <w:rsid w:val="00D065E8"/>
    <w:rsid w:val="00D970AA"/>
    <w:rsid w:val="00E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32DAC7-1002-414D-88C3-270FCAF0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/>
      <w:jc w:val="both"/>
    </w:pPr>
    <w:rPr>
      <w:rFonts w:ascii="Garamond" w:hAnsi="Garamond"/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360" w:after="240"/>
      <w:jc w:val="left"/>
      <w:outlineLvl w:val="0"/>
    </w:pPr>
    <w:rPr>
      <w:smallCaps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jc w:val="left"/>
      <w:outlineLvl w:val="2"/>
    </w:pPr>
    <w:rPr>
      <w:i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jc w:val="left"/>
      <w:outlineLvl w:val="3"/>
    </w:pPr>
    <w:rPr>
      <w:b/>
      <w:lang w:eastAsia="hu-HU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  <w:rPr>
      <w:rFonts w:ascii="Garamond" w:hAnsi="Garamond"/>
      <w:lang w:val="en-US" w:eastAsia="en-US" w:bidi="ar-SA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rafelirat">
    <w:name w:val="Ábrafelirat"/>
    <w:basedOn w:val="Normal"/>
    <w:next w:val="Normal"/>
    <w:pPr>
      <w:keepNext/>
      <w:widowControl w:val="0"/>
      <w:spacing w:after="0"/>
      <w:jc w:val="center"/>
    </w:pPr>
    <w:rPr>
      <w:i/>
      <w:sz w:val="20"/>
    </w:rPr>
  </w:style>
  <w:style w:type="paragraph" w:customStyle="1" w:styleId="Kp">
    <w:name w:val="Kép"/>
    <w:next w:val="Normal"/>
    <w:pPr>
      <w:keepLines/>
      <w:spacing w:before="120" w:after="120"/>
      <w:jc w:val="center"/>
    </w:pPr>
    <w:rPr>
      <w:lang w:eastAsia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aliases w:val="lábléc,Footnote Text Char1 Char,Footnote Text Char Char Char,lábléc Char Char Char,lábléc Char1 Char,Footnote Text Char1,Footnote Text Char Char,lábléc Char Char,lábléc Char1"/>
    <w:basedOn w:val="Normal"/>
    <w:semiHidden/>
    <w:pPr>
      <w:spacing w:after="0"/>
    </w:pPr>
    <w:rPr>
      <w:sz w:val="20"/>
    </w:rPr>
  </w:style>
  <w:style w:type="character" w:styleId="FootnoteReference">
    <w:name w:val="footnote reference"/>
    <w:basedOn w:val="DefaultParagraphFont"/>
    <w:semiHidden/>
    <w:rPr>
      <w:rFonts w:ascii="Garamond" w:hAnsi="Garamond"/>
      <w:vertAlign w:val="superscript"/>
      <w:lang w:val="en-US" w:eastAsia="en-US" w:bidi="ar-SA"/>
    </w:rPr>
  </w:style>
  <w:style w:type="paragraph" w:customStyle="1" w:styleId="Alcm1">
    <w:name w:val="Alcím1"/>
    <w:basedOn w:val="Normal"/>
    <w:next w:val="Normal"/>
    <w:pPr>
      <w:spacing w:before="240" w:after="240"/>
      <w:jc w:val="center"/>
    </w:pPr>
    <w:rPr>
      <w:i/>
      <w:sz w:val="36"/>
    </w:rPr>
  </w:style>
  <w:style w:type="paragraph" w:customStyle="1" w:styleId="Fcm">
    <w:name w:val="Fõcím"/>
    <w:basedOn w:val="Kp"/>
    <w:next w:val="Normal"/>
    <w:pPr>
      <w:spacing w:before="360" w:after="240"/>
    </w:pPr>
    <w:rPr>
      <w:smallCaps/>
      <w:sz w:val="56"/>
    </w:rPr>
  </w:style>
  <w:style w:type="character" w:styleId="PageNumber">
    <w:name w:val="page number"/>
    <w:basedOn w:val="DefaultParagraphFont"/>
    <w:rPr>
      <w:rFonts w:ascii="Garamond" w:hAnsi="Garamond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pPr>
      <w:tabs>
        <w:tab w:val="left" w:pos="482"/>
        <w:tab w:val="right" w:pos="8406"/>
      </w:tabs>
      <w:spacing w:before="240" w:after="0"/>
    </w:pPr>
    <w:rPr>
      <w:smallCaps/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pos="8406"/>
      </w:tabs>
      <w:spacing w:before="60" w:after="0"/>
      <w:ind w:left="238"/>
    </w:pPr>
    <w:rPr>
      <w:b/>
      <w:noProof/>
      <w:sz w:val="20"/>
    </w:rPr>
  </w:style>
  <w:style w:type="paragraph" w:styleId="TOC3">
    <w:name w:val="toc 3"/>
    <w:basedOn w:val="Normal"/>
    <w:next w:val="Normal"/>
    <w:autoRedefine/>
    <w:semiHidden/>
    <w:pPr>
      <w:tabs>
        <w:tab w:val="right" w:pos="8406"/>
      </w:tabs>
      <w:spacing w:before="160" w:after="0"/>
      <w:ind w:left="482"/>
    </w:pPr>
    <w:rPr>
      <w:i/>
      <w:sz w:val="20"/>
    </w:rPr>
  </w:style>
  <w:style w:type="paragraph" w:customStyle="1" w:styleId="Boxcm">
    <w:name w:val="Boxcím"/>
    <w:basedOn w:val="Normal"/>
    <w:pPr>
      <w:keepNext/>
      <w:ind w:left="567" w:right="567"/>
      <w:jc w:val="center"/>
    </w:pPr>
    <w:rPr>
      <w:rFonts w:ascii="Times New Roman" w:hAnsi="Times New Roman"/>
      <w:b/>
      <w:sz w:val="20"/>
    </w:rPr>
  </w:style>
  <w:style w:type="paragraph" w:customStyle="1" w:styleId="Boxtext">
    <w:name w:val="Boxtext"/>
    <w:basedOn w:val="Normal"/>
    <w:pPr>
      <w:ind w:left="567" w:right="567"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Memocm">
    <w:name w:val="Memocím"/>
    <w:basedOn w:val="Normal"/>
    <w:next w:val="Normal"/>
    <w:pPr>
      <w:keepNext/>
      <w:spacing w:before="120" w:after="240"/>
      <w:jc w:val="center"/>
    </w:pPr>
    <w:rPr>
      <w:i/>
      <w:sz w:val="32"/>
    </w:rPr>
  </w:style>
  <w:style w:type="paragraph" w:customStyle="1" w:styleId="Memotrgy">
    <w:name w:val="Memotárgy"/>
    <w:basedOn w:val="Normal"/>
    <w:next w:val="Normal"/>
    <w:pPr>
      <w:spacing w:before="360" w:after="240"/>
      <w:jc w:val="left"/>
    </w:pPr>
    <w:rPr>
      <w:b/>
      <w:sz w:val="28"/>
    </w:rPr>
  </w:style>
  <w:style w:type="paragraph" w:customStyle="1" w:styleId="Memobevezets">
    <w:name w:val="Memobevezetés"/>
    <w:basedOn w:val="Normal"/>
    <w:next w:val="Normal"/>
    <w:pPr>
      <w:spacing w:before="120" w:after="360"/>
    </w:pPr>
    <w:rPr>
      <w:i/>
    </w:rPr>
  </w:style>
  <w:style w:type="paragraph" w:customStyle="1" w:styleId="Memoheader">
    <w:name w:val="Memoheader"/>
    <w:basedOn w:val="Normal"/>
    <w:next w:val="Memocm"/>
    <w:pPr>
      <w:spacing w:before="1800"/>
      <w:jc w:val="center"/>
    </w:pPr>
    <w:rPr>
      <w:i/>
      <w:spacing w:val="120"/>
      <w:sz w:val="32"/>
    </w:rPr>
  </w:style>
  <w:style w:type="paragraph" w:styleId="TOC4">
    <w:name w:val="toc 4"/>
    <w:basedOn w:val="TOC3"/>
    <w:next w:val="Normal"/>
    <w:autoRedefine/>
    <w:semiHidden/>
    <w:pPr>
      <w:spacing w:before="60"/>
      <w:ind w:left="720"/>
    </w:pPr>
    <w:rPr>
      <w:i w:val="0"/>
      <w:sz w:val="18"/>
    </w:r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Caption">
    <w:name w:val="caption"/>
    <w:basedOn w:val="Normal"/>
    <w:next w:val="Normal"/>
    <w:qFormat/>
    <w:pPr>
      <w:spacing w:before="120"/>
    </w:pPr>
    <w:rPr>
      <w:b/>
    </w:rPr>
  </w:style>
  <w:style w:type="character" w:customStyle="1" w:styleId="Heading4Char">
    <w:name w:val="Heading 4 Char"/>
    <w:basedOn w:val="DefaultParagraphFont"/>
    <w:link w:val="Heading4"/>
    <w:rPr>
      <w:rFonts w:ascii="Garamond" w:hAnsi="Garamond"/>
      <w:b/>
      <w:sz w:val="24"/>
      <w:lang w:val="hu-HU" w:eastAsia="hu-H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pPr>
      <w:spacing w:after="160" w:line="240" w:lineRule="exact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pp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ppf.dot</Template>
  <TotalTime>1</TotalTime>
  <Pages>2</Pages>
  <Words>247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Magyar Nemzeti Bank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csavascs</dc:creator>
  <cp:keywords/>
  <dc:description>Version 4.00</dc:description>
  <cp:lastModifiedBy>Kotulicsné Szilas Marianna</cp:lastModifiedBy>
  <cp:revision>2</cp:revision>
  <cp:lastPrinted>2006-09-20T07:38:00Z</cp:lastPrinted>
  <dcterms:created xsi:type="dcterms:W3CDTF">2022-11-22T14:13:00Z</dcterms:created>
  <dcterms:modified xsi:type="dcterms:W3CDTF">2022-11-22T14:13:00Z</dcterms:modified>
  <cp:category>PPF Főosztályi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2027-11-22T14:12:40Z</vt:filetime>
  </property>
  <property fmtid="{D5CDD505-2E9C-101B-9397-08002B2CF9AE}" pid="3" name="Érvényességet beállító">
    <vt:lpwstr>kotulicsnem</vt:lpwstr>
  </property>
  <property fmtid="{D5CDD505-2E9C-101B-9397-08002B2CF9AE}" pid="4" name="Érvényességi idő első beállítása">
    <vt:filetime>2022-11-22T14:12:40Z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kotulicsnem@mnb.hu</vt:lpwstr>
  </property>
  <property fmtid="{D5CDD505-2E9C-101B-9397-08002B2CF9AE}" pid="8" name="MSIP_Label_b0d11092-50c9-4e74-84b5-b1af078dc3d0_SetDate">
    <vt:lpwstr>2022-11-22T14:12:59.4234724Z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79be45c1-fd9f-4f1d-8f3a-d3bb36e971bf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