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D2" w:rsidRPr="00C1393F" w:rsidRDefault="00EB3FD2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C1393F">
        <w:rPr>
          <w:rFonts w:ascii="Calibri" w:hAnsi="Calibri"/>
          <w:b/>
          <w:sz w:val="22"/>
          <w:szCs w:val="22"/>
        </w:rPr>
        <w:t>A K14 adatgyűjtéshez kapcsolódó táblán belüli ellenőrzési szempontok</w:t>
      </w:r>
    </w:p>
    <w:p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közti összefüggések</w:t>
      </w:r>
    </w:p>
    <w:p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„a” oszlop (Értéknap) </w:t>
      </w:r>
      <w:r w:rsidRPr="00C1393F">
        <w:rPr>
          <w:rFonts w:ascii="Calibri" w:hAnsi="Calibri"/>
          <w:position w:val="-4"/>
          <w:sz w:val="22"/>
          <w:szCs w:val="2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3" ShapeID="_x0000_i1025" DrawAspect="Content" ObjectID="_1736677338" r:id="rId8"/>
        </w:object>
      </w:r>
      <w:r w:rsidRPr="00C1393F">
        <w:rPr>
          <w:rFonts w:ascii="Calibri" w:hAnsi="Calibri"/>
          <w:sz w:val="22"/>
          <w:szCs w:val="22"/>
        </w:rPr>
        <w:t xml:space="preserve"> viszonyítási nap.</w:t>
      </w:r>
    </w:p>
    <w:p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„b” oszlop (Ügylet lejáratának napja) </w:t>
      </w:r>
      <w:r w:rsidRPr="00C1393F">
        <w:rPr>
          <w:rFonts w:ascii="Calibri" w:hAnsi="Calibri"/>
          <w:position w:val="-4"/>
          <w:sz w:val="22"/>
          <w:szCs w:val="22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736677339" r:id="rId10"/>
        </w:object>
      </w:r>
      <w:r w:rsidRPr="00C1393F">
        <w:rPr>
          <w:rFonts w:ascii="Calibri" w:hAnsi="Calibri"/>
          <w:sz w:val="22"/>
          <w:szCs w:val="22"/>
        </w:rPr>
        <w:t xml:space="preserve"> „a” oszlop (Értéknap).</w:t>
      </w:r>
    </w:p>
    <w:p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„i” oszlopában szereplő referenciakamat és az „e”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A szerződés szerint kapott összeg denominációja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Fizetett kamat referenciakamata/</w:t>
            </w:r>
          </w:p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i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„l” oszlopában szereplő referenciakamat és az „f”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A szerződés szerint adott összeg denominációja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Kapott kamat referenciakamata/</w:t>
            </w:r>
          </w:p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l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„Egyéb” referenciakamat mellett tetszőleges devizanem állhat.</w:t>
      </w:r>
    </w:p>
    <w:p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kitöltésére vonatkozó szabályok</w:t>
      </w:r>
    </w:p>
    <w:p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Az összes cella kitöltendő, kivéve a 01-es tábla „h”, „i”, „k”, „l” oszlopait. Mivel a „h” és „i” illetve a „k” és „l” oszlopok összetartoznak, ha az összetartozó oszlopok közül az egyik ki van töltve, akkor a másikban is kell szerepelni egy kódnak, és ha az egyik nincs kitöltve, akkor a másiknak is üres kell legyen.</w:t>
      </w:r>
    </w:p>
    <w:p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értékeire vonatkozó szabályok</w:t>
      </w:r>
    </w:p>
    <w:p w:rsidR="00D065E8" w:rsidRPr="00C1393F" w:rsidRDefault="00EB3FD2" w:rsidP="00D065E8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„j” és „m” oszlopaiban szereplő kamat maximális értékeire a többi K-s jelentésnél alkalmazott szabály használható. Az ezen cellákban szereplő értékek negatívak is lehetnek. A „j” oszlopban csak akkor szerepelhet negatív érték, ha a „h” és „i” oszlopok ki vannak töltve; az „m” oszlopban csak akkor szerepelhet negatív érték, ha a „k” és „l” oszlopok ki vannak töltve.</w:t>
      </w:r>
      <w:r w:rsidR="00D065E8" w:rsidRPr="00C1393F">
        <w:rPr>
          <w:rFonts w:ascii="Calibri" w:hAnsi="Calibri"/>
          <w:sz w:val="22"/>
          <w:szCs w:val="22"/>
        </w:rPr>
        <w:t xml:space="preserve"> Az „n” oszlop az üres értéket vagy „L” kódtár értéket vehet fel.</w:t>
      </w:r>
    </w:p>
    <w:p w:rsidR="00D065E8" w:rsidRPr="00C1393F" w:rsidRDefault="00D065E8">
      <w:pPr>
        <w:spacing w:before="120"/>
        <w:rPr>
          <w:rFonts w:ascii="Calibri" w:hAnsi="Calibri"/>
          <w:sz w:val="22"/>
          <w:szCs w:val="22"/>
        </w:rPr>
      </w:pPr>
    </w:p>
    <w:p w:rsidR="00EB3FD2" w:rsidRPr="00075979" w:rsidRDefault="00EB3FD2">
      <w:pPr>
        <w:spacing w:before="120"/>
      </w:pPr>
      <w:r w:rsidRPr="00C1393F">
        <w:rPr>
          <w:rFonts w:ascii="Calibri" w:hAnsi="Calibri"/>
          <w:sz w:val="22"/>
          <w:szCs w:val="22"/>
        </w:rPr>
        <w:t>A 02-es tábla „f” oszlopában szereplő kamat nem lehet negatív, maximális értékére a többi K-s jelentésnél alkalmazott szabály vonatkozik</w:t>
      </w:r>
      <w:r>
        <w:t>.</w:t>
      </w:r>
    </w:p>
    <w:sectPr w:rsidR="00EB3FD2" w:rsidRPr="00075979">
      <w:footerReference w:type="even" r:id="rId11"/>
      <w:pgSz w:w="11907" w:h="16840"/>
      <w:pgMar w:top="1320" w:right="1797" w:bottom="1080" w:left="179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AA" w:rsidRDefault="00D970AA">
      <w:pPr>
        <w:spacing w:after="0"/>
      </w:pPr>
      <w:r>
        <w:separator/>
      </w:r>
    </w:p>
  </w:endnote>
  <w:endnote w:type="continuationSeparator" w:id="0">
    <w:p w:rsidR="00D970AA" w:rsidRDefault="00D97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D2" w:rsidRDefault="00EB3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B3FD2" w:rsidRDefault="00EB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AA" w:rsidRDefault="00D970AA">
      <w:pPr>
        <w:spacing w:after="0"/>
      </w:pPr>
      <w:r>
        <w:separator/>
      </w:r>
    </w:p>
  </w:footnote>
  <w:footnote w:type="continuationSeparator" w:id="0">
    <w:p w:rsidR="00D970AA" w:rsidRDefault="00D970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0BBD"/>
    <w:multiLevelType w:val="multilevel"/>
    <w:tmpl w:val="42C87DA6"/>
    <w:name w:val="PPF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 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 %2. %3"/>
      <w:lvlJc w:val="left"/>
      <w:pPr>
        <w:tabs>
          <w:tab w:val="num" w:pos="1077"/>
        </w:tabs>
        <w:ind w:left="0" w:firstLine="0"/>
      </w:pPr>
    </w:lvl>
    <w:lvl w:ilvl="3">
      <w:start w:val="1"/>
      <w:numFmt w:val="decimal"/>
      <w:lvlText w:val="%1. %2. %3. 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%1. %2. %3. %4. 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 %2. %3. %4. %5. 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lvlText w:val="%1. %2. %3. %4. %5. %6. %7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lvlText w:val="%1. %2. %3. %4. %5. %6. %7. %8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lvlText w:val="%1. %2. %3. %4. %5. %6. %7. %8 .%9"/>
      <w:lvlJc w:val="left"/>
      <w:pPr>
        <w:tabs>
          <w:tab w:val="num" w:pos="2880"/>
        </w:tabs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Szam" w:val="False"/>
    <w:docVar w:name="HNum" w:val="False"/>
  </w:docVars>
  <w:rsids>
    <w:rsidRoot w:val="000A6ECB"/>
    <w:rsid w:val="000A6ECB"/>
    <w:rsid w:val="000F33AA"/>
    <w:rsid w:val="001567B5"/>
    <w:rsid w:val="00376F91"/>
    <w:rsid w:val="003770C0"/>
    <w:rsid w:val="003F2932"/>
    <w:rsid w:val="009009F5"/>
    <w:rsid w:val="00987D56"/>
    <w:rsid w:val="00BA18FD"/>
    <w:rsid w:val="00BC2C02"/>
    <w:rsid w:val="00BE7F32"/>
    <w:rsid w:val="00C1393F"/>
    <w:rsid w:val="00D065E8"/>
    <w:rsid w:val="00D970AA"/>
    <w:rsid w:val="00E71F0D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32DAC7-1002-414D-88C3-270FCAF0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Garamond" w:hAnsi="Garamond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left"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left"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240"/>
      <w:jc w:val="left"/>
      <w:outlineLvl w:val="3"/>
    </w:pPr>
    <w:rPr>
      <w:b/>
      <w:lang w:eastAsia="hu-HU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felirat">
    <w:name w:val="Ábrafelirat"/>
    <w:basedOn w:val="Normal"/>
    <w:next w:val="Normal"/>
    <w:pPr>
      <w:keepNext/>
      <w:widowControl w:val="0"/>
      <w:spacing w:after="0"/>
      <w:jc w:val="center"/>
    </w:pPr>
    <w:rPr>
      <w:i/>
      <w:sz w:val="20"/>
    </w:rPr>
  </w:style>
  <w:style w:type="paragraph" w:customStyle="1" w:styleId="Kp">
    <w:name w:val="Kép"/>
    <w:next w:val="Normal"/>
    <w:pPr>
      <w:keepLines/>
      <w:spacing w:before="120" w:after="120"/>
      <w:jc w:val="center"/>
    </w:pPr>
    <w:rPr>
      <w:lang w:eastAsia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lábléc,Footnote Text Char1 Char,Footnote Text Char Char Char,lábléc Char Char Char,lábléc Char1 Char,Footnote Text Char1,Footnote Text Char Char,lábléc Char Char,lábléc Char1"/>
    <w:basedOn w:val="Normal"/>
    <w:semiHidden/>
    <w:pPr>
      <w:spacing w:after="0"/>
    </w:pPr>
    <w:rPr>
      <w:sz w:val="20"/>
    </w:rPr>
  </w:style>
  <w:style w:type="character" w:styleId="FootnoteReference">
    <w:name w:val="footnote reference"/>
    <w:basedOn w:val="DefaultParagraphFont"/>
    <w:semiHidden/>
    <w:rPr>
      <w:rFonts w:ascii="Garamond" w:hAnsi="Garamond"/>
      <w:vertAlign w:val="superscript"/>
      <w:lang w:val="en-US" w:eastAsia="en-US" w:bidi="ar-SA"/>
    </w:rPr>
  </w:style>
  <w:style w:type="paragraph" w:customStyle="1" w:styleId="Alcm1">
    <w:name w:val="Alcím1"/>
    <w:basedOn w:val="Normal"/>
    <w:next w:val="Normal"/>
    <w:pPr>
      <w:spacing w:before="240" w:after="240"/>
      <w:jc w:val="center"/>
    </w:pPr>
    <w:rPr>
      <w:i/>
      <w:sz w:val="36"/>
    </w:rPr>
  </w:style>
  <w:style w:type="paragraph" w:customStyle="1" w:styleId="Fcm">
    <w:name w:val="Fõcím"/>
    <w:basedOn w:val="Kp"/>
    <w:next w:val="Normal"/>
    <w:pPr>
      <w:spacing w:before="360" w:after="240"/>
    </w:pPr>
    <w:rPr>
      <w:smallCaps/>
      <w:sz w:val="56"/>
    </w:rPr>
  </w:style>
  <w:style w:type="character" w:styleId="PageNumber">
    <w:name w:val="page number"/>
    <w:basedOn w:val="DefaultParagraphFont"/>
    <w:rPr>
      <w:rFonts w:ascii="Garamond" w:hAnsi="Garamond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pPr>
      <w:tabs>
        <w:tab w:val="left" w:pos="482"/>
        <w:tab w:val="right" w:pos="8406"/>
      </w:tabs>
      <w:spacing w:before="240" w:after="0"/>
    </w:pPr>
    <w:rPr>
      <w:small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pos="8406"/>
      </w:tabs>
      <w:spacing w:before="60" w:after="0"/>
      <w:ind w:left="238"/>
    </w:pPr>
    <w:rPr>
      <w:b/>
      <w:noProof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pos="8406"/>
      </w:tabs>
      <w:spacing w:before="160" w:after="0"/>
      <w:ind w:left="482"/>
    </w:pPr>
    <w:rPr>
      <w:i/>
      <w:sz w:val="20"/>
    </w:rPr>
  </w:style>
  <w:style w:type="paragraph" w:customStyle="1" w:styleId="Boxcm">
    <w:name w:val="Boxcím"/>
    <w:basedOn w:val="Normal"/>
    <w:pPr>
      <w:keepNext/>
      <w:ind w:left="567" w:right="567"/>
      <w:jc w:val="center"/>
    </w:pPr>
    <w:rPr>
      <w:rFonts w:ascii="Times New Roman" w:hAnsi="Times New Roman"/>
      <w:b/>
      <w:sz w:val="20"/>
    </w:rPr>
  </w:style>
  <w:style w:type="paragraph" w:customStyle="1" w:styleId="Boxtext">
    <w:name w:val="Boxtext"/>
    <w:basedOn w:val="Normal"/>
    <w:pPr>
      <w:ind w:left="567" w:right="567"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emocm">
    <w:name w:val="Memocím"/>
    <w:basedOn w:val="Normal"/>
    <w:next w:val="Normal"/>
    <w:pPr>
      <w:keepNext/>
      <w:spacing w:before="120" w:after="240"/>
      <w:jc w:val="center"/>
    </w:pPr>
    <w:rPr>
      <w:i/>
      <w:sz w:val="32"/>
    </w:rPr>
  </w:style>
  <w:style w:type="paragraph" w:customStyle="1" w:styleId="Memotrgy">
    <w:name w:val="Memotárgy"/>
    <w:basedOn w:val="Normal"/>
    <w:next w:val="Normal"/>
    <w:pPr>
      <w:spacing w:before="360" w:after="240"/>
      <w:jc w:val="left"/>
    </w:pPr>
    <w:rPr>
      <w:b/>
      <w:sz w:val="28"/>
    </w:rPr>
  </w:style>
  <w:style w:type="paragraph" w:customStyle="1" w:styleId="Memobevezets">
    <w:name w:val="Memobevezetés"/>
    <w:basedOn w:val="Normal"/>
    <w:next w:val="Normal"/>
    <w:pPr>
      <w:spacing w:before="120" w:after="360"/>
    </w:pPr>
    <w:rPr>
      <w:i/>
    </w:rPr>
  </w:style>
  <w:style w:type="paragraph" w:customStyle="1" w:styleId="Memoheader">
    <w:name w:val="Memoheader"/>
    <w:basedOn w:val="Normal"/>
    <w:next w:val="Memocm"/>
    <w:pPr>
      <w:spacing w:before="1800"/>
      <w:jc w:val="center"/>
    </w:pPr>
    <w:rPr>
      <w:i/>
      <w:spacing w:val="120"/>
      <w:sz w:val="32"/>
    </w:rPr>
  </w:style>
  <w:style w:type="paragraph" w:styleId="TOC4">
    <w:name w:val="toc 4"/>
    <w:basedOn w:val="TOC3"/>
    <w:next w:val="Normal"/>
    <w:autoRedefine/>
    <w:semiHidden/>
    <w:pPr>
      <w:spacing w:before="60"/>
      <w:ind w:left="720"/>
    </w:pPr>
    <w:rPr>
      <w:i w:val="0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z w:val="24"/>
      <w:lang w:val="hu-HU" w:eastAsia="hu-HU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pPr>
      <w:spacing w:after="160" w:line="240" w:lineRule="exact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p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ppf.dot</Template>
  <TotalTime>0</TotalTime>
  <Pages>2</Pages>
  <Words>247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Magyar Nemzeti Bank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csavascs</dc:creator>
  <cp:keywords/>
  <dc:description>Version 4.00</dc:description>
  <cp:lastModifiedBy>STA</cp:lastModifiedBy>
  <cp:revision>2</cp:revision>
  <cp:lastPrinted>2006-09-20T07:38:00Z</cp:lastPrinted>
  <dcterms:created xsi:type="dcterms:W3CDTF">2023-01-31T12:36:00Z</dcterms:created>
  <dcterms:modified xsi:type="dcterms:W3CDTF">2023-01-31T12:36:00Z</dcterms:modified>
  <cp:category>PPF Főosztályi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2027-11-22T14:12:40Z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2022-11-22T14:12:40Z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2022-11-22T14:12:59.4234724Z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79be45c1-fd9f-4f1d-8f3a-d3bb36e971bf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