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7A99A02E"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r w:rsidR="009908F0">
        <w:rPr>
          <w:rFonts w:cs="Arial"/>
          <w:b/>
        </w:rPr>
        <w:t xml:space="preserve"> </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7" w:history="1">
            <w:r w:rsidRPr="00DB7C09">
              <w:rPr>
                <w:rStyle w:val="Hiperhivatkozs"/>
                <w:noProof/>
              </w:rPr>
              <w:t>1.1. Az adatok számbavétele</w:t>
            </w:r>
            <w:r>
              <w:rPr>
                <w:noProof/>
                <w:webHidden/>
              </w:rPr>
              <w:tab/>
            </w:r>
            <w:r>
              <w:rPr>
                <w:noProof/>
                <w:webHidden/>
              </w:rPr>
              <w:fldChar w:fldCharType="begin"/>
            </w:r>
            <w:r>
              <w:rPr>
                <w:noProof/>
                <w:webHidden/>
              </w:rPr>
              <w:instrText xml:space="preserve"> PAGEREF _Toc149904377 \h </w:instrText>
            </w:r>
            <w:r>
              <w:rPr>
                <w:noProof/>
                <w:webHidden/>
              </w:rPr>
            </w:r>
            <w:r>
              <w:rPr>
                <w:noProof/>
                <w:webHidden/>
              </w:rPr>
              <w:fldChar w:fldCharType="separate"/>
            </w:r>
            <w:r>
              <w:rPr>
                <w:noProof/>
                <w:webHidden/>
              </w:rPr>
              <w:t>4</w:t>
            </w:r>
            <w:r>
              <w:rPr>
                <w:noProof/>
                <w:webHidden/>
              </w:rPr>
              <w:fldChar w:fldCharType="end"/>
            </w:r>
          </w:hyperlink>
        </w:p>
        <w:p w14:paraId="26A508AC" w14:textId="41171CF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8" w:history="1">
            <w:r w:rsidRPr="00DB7C09">
              <w:rPr>
                <w:rStyle w:val="Hiperhivatkozs"/>
                <w:noProof/>
              </w:rPr>
              <w:t>1.2. A MEGF kódú tábla kitöltésével kapcsolatos előírások</w:t>
            </w:r>
            <w:r>
              <w:rPr>
                <w:noProof/>
                <w:webHidden/>
              </w:rPr>
              <w:tab/>
            </w:r>
            <w:r>
              <w:rPr>
                <w:noProof/>
                <w:webHidden/>
              </w:rPr>
              <w:fldChar w:fldCharType="begin"/>
            </w:r>
            <w:r>
              <w:rPr>
                <w:noProof/>
                <w:webHidden/>
              </w:rPr>
              <w:instrText xml:space="preserve"> PAGEREF _Toc149904378 \h </w:instrText>
            </w:r>
            <w:r>
              <w:rPr>
                <w:noProof/>
                <w:webHidden/>
              </w:rPr>
            </w:r>
            <w:r>
              <w:rPr>
                <w:noProof/>
                <w:webHidden/>
              </w:rPr>
              <w:fldChar w:fldCharType="separate"/>
            </w:r>
            <w:r>
              <w:rPr>
                <w:noProof/>
                <w:webHidden/>
              </w:rPr>
              <w:t>4</w:t>
            </w:r>
            <w:r>
              <w:rPr>
                <w:noProof/>
                <w:webHidden/>
              </w:rPr>
              <w:fldChar w:fldCharType="end"/>
            </w:r>
          </w:hyperlink>
        </w:p>
        <w:p w14:paraId="244A888D" w14:textId="615F2FA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9" w:history="1">
            <w:r w:rsidRPr="00DB7C09">
              <w:rPr>
                <w:rStyle w:val="Hiperhivatkozs"/>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_Toc149904379 \h </w:instrText>
            </w:r>
            <w:r>
              <w:rPr>
                <w:noProof/>
                <w:webHidden/>
              </w:rPr>
            </w:r>
            <w:r>
              <w:rPr>
                <w:noProof/>
                <w:webHidden/>
              </w:rPr>
              <w:fldChar w:fldCharType="separate"/>
            </w:r>
            <w:r>
              <w:rPr>
                <w:noProof/>
                <w:webHidden/>
              </w:rPr>
              <w:t>4</w:t>
            </w:r>
            <w:r>
              <w:rPr>
                <w:noProof/>
                <w:webHidden/>
              </w:rPr>
              <w:fldChar w:fldCharType="end"/>
            </w:r>
          </w:hyperlink>
        </w:p>
        <w:p w14:paraId="5A65496F" w14:textId="7E069C3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Pr="00DB7C09">
              <w:rPr>
                <w:rStyle w:val="Hiperhivatkozs"/>
                <w:b/>
                <w:noProof/>
              </w:rPr>
              <w:t>1.3.1. INSTK-INSTR kapcsolat</w:t>
            </w:r>
            <w:r>
              <w:rPr>
                <w:noProof/>
                <w:webHidden/>
              </w:rPr>
              <w:tab/>
            </w:r>
            <w:r>
              <w:rPr>
                <w:noProof/>
                <w:webHidden/>
              </w:rPr>
              <w:fldChar w:fldCharType="begin"/>
            </w:r>
            <w:r>
              <w:rPr>
                <w:noProof/>
                <w:webHidden/>
              </w:rPr>
              <w:instrText xml:space="preserve"> PAGEREF _Toc149904380 \h </w:instrText>
            </w:r>
            <w:r>
              <w:rPr>
                <w:noProof/>
                <w:webHidden/>
              </w:rPr>
            </w:r>
            <w:r>
              <w:rPr>
                <w:noProof/>
                <w:webHidden/>
              </w:rPr>
              <w:fldChar w:fldCharType="separate"/>
            </w:r>
            <w:r>
              <w:rPr>
                <w:noProof/>
                <w:webHidden/>
              </w:rPr>
              <w:t>4</w:t>
            </w:r>
            <w:r>
              <w:rPr>
                <w:noProof/>
                <w:webHidden/>
              </w:rPr>
              <w:fldChar w:fldCharType="end"/>
            </w:r>
          </w:hyperlink>
        </w:p>
        <w:p w14:paraId="7ABF1AB6" w14:textId="16CD861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Pr="00DB7C09">
              <w:rPr>
                <w:rStyle w:val="Hiperhivatkozs"/>
                <w:b/>
                <w:noProof/>
              </w:rPr>
              <w:t>1.3.2. Az INSTK táblában jelentendő adatkörök</w:t>
            </w:r>
            <w:r>
              <w:rPr>
                <w:noProof/>
                <w:webHidden/>
              </w:rPr>
              <w:tab/>
            </w:r>
            <w:r>
              <w:rPr>
                <w:noProof/>
                <w:webHidden/>
              </w:rPr>
              <w:fldChar w:fldCharType="begin"/>
            </w:r>
            <w:r>
              <w:rPr>
                <w:noProof/>
                <w:webHidden/>
              </w:rPr>
              <w:instrText xml:space="preserve"> PAGEREF _Toc149904381 \h </w:instrText>
            </w:r>
            <w:r>
              <w:rPr>
                <w:noProof/>
                <w:webHidden/>
              </w:rPr>
            </w:r>
            <w:r>
              <w:rPr>
                <w:noProof/>
                <w:webHidden/>
              </w:rPr>
              <w:fldChar w:fldCharType="separate"/>
            </w:r>
            <w:r>
              <w:rPr>
                <w:noProof/>
                <w:webHidden/>
              </w:rPr>
              <w:t>5</w:t>
            </w:r>
            <w:r>
              <w:rPr>
                <w:noProof/>
                <w:webHidden/>
              </w:rPr>
              <w:fldChar w:fldCharType="end"/>
            </w:r>
          </w:hyperlink>
        </w:p>
        <w:p w14:paraId="1070ADD5" w14:textId="240C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Pr="00DB7C09">
              <w:rPr>
                <w:rStyle w:val="Hiperhivatkozs"/>
                <w:b/>
                <w:noProof/>
              </w:rPr>
              <w:t>1.3.3. Az INSTR táblában jelentendő adatkörök</w:t>
            </w:r>
            <w:r>
              <w:rPr>
                <w:noProof/>
                <w:webHidden/>
              </w:rPr>
              <w:tab/>
            </w:r>
            <w:r>
              <w:rPr>
                <w:noProof/>
                <w:webHidden/>
              </w:rPr>
              <w:fldChar w:fldCharType="begin"/>
            </w:r>
            <w:r>
              <w:rPr>
                <w:noProof/>
                <w:webHidden/>
              </w:rPr>
              <w:instrText xml:space="preserve"> PAGEREF _Toc149904382 \h </w:instrText>
            </w:r>
            <w:r>
              <w:rPr>
                <w:noProof/>
                <w:webHidden/>
              </w:rPr>
            </w:r>
            <w:r>
              <w:rPr>
                <w:noProof/>
                <w:webHidden/>
              </w:rPr>
              <w:fldChar w:fldCharType="separate"/>
            </w:r>
            <w:r>
              <w:rPr>
                <w:noProof/>
                <w:webHidden/>
              </w:rPr>
              <w:t>7</w:t>
            </w:r>
            <w:r>
              <w:rPr>
                <w:noProof/>
                <w:webHidden/>
              </w:rPr>
              <w:fldChar w:fldCharType="end"/>
            </w:r>
          </w:hyperlink>
        </w:p>
        <w:p w14:paraId="4DC985A4" w14:textId="113A11A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Pr="00DB7C09">
              <w:rPr>
                <w:rStyle w:val="Hiperhivatkozs"/>
                <w:b/>
                <w:noProof/>
              </w:rPr>
              <w:t>1.3.4. Instrumentum megszűnése (INSTM)</w:t>
            </w:r>
            <w:r>
              <w:rPr>
                <w:noProof/>
                <w:webHidden/>
              </w:rPr>
              <w:tab/>
            </w:r>
            <w:r>
              <w:rPr>
                <w:noProof/>
                <w:webHidden/>
              </w:rPr>
              <w:fldChar w:fldCharType="begin"/>
            </w:r>
            <w:r>
              <w:rPr>
                <w:noProof/>
                <w:webHidden/>
              </w:rPr>
              <w:instrText xml:space="preserve"> PAGEREF _Toc149904383 \h </w:instrText>
            </w:r>
            <w:r>
              <w:rPr>
                <w:noProof/>
                <w:webHidden/>
              </w:rPr>
            </w:r>
            <w:r>
              <w:rPr>
                <w:noProof/>
                <w:webHidden/>
              </w:rPr>
              <w:fldChar w:fldCharType="separate"/>
            </w:r>
            <w:r>
              <w:rPr>
                <w:noProof/>
                <w:webHidden/>
              </w:rPr>
              <w:t>31</w:t>
            </w:r>
            <w:r>
              <w:rPr>
                <w:noProof/>
                <w:webHidden/>
              </w:rPr>
              <w:fldChar w:fldCharType="end"/>
            </w:r>
          </w:hyperlink>
        </w:p>
        <w:p w14:paraId="4718C66F" w14:textId="24202F9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4" w:history="1">
            <w:r w:rsidRPr="00DB7C09">
              <w:rPr>
                <w:rStyle w:val="Hiperhivatkozs"/>
                <w:noProof/>
              </w:rPr>
              <w:t>1.4. Instrumentum – felügyeleti adatok (INSTN)</w:t>
            </w:r>
            <w:r>
              <w:rPr>
                <w:noProof/>
                <w:webHidden/>
              </w:rPr>
              <w:tab/>
            </w:r>
            <w:r>
              <w:rPr>
                <w:noProof/>
                <w:webHidden/>
              </w:rPr>
              <w:fldChar w:fldCharType="begin"/>
            </w:r>
            <w:r>
              <w:rPr>
                <w:noProof/>
                <w:webHidden/>
              </w:rPr>
              <w:instrText xml:space="preserve"> PAGEREF _Toc149904384 \h </w:instrText>
            </w:r>
            <w:r>
              <w:rPr>
                <w:noProof/>
                <w:webHidden/>
              </w:rPr>
            </w:r>
            <w:r>
              <w:rPr>
                <w:noProof/>
                <w:webHidden/>
              </w:rPr>
              <w:fldChar w:fldCharType="separate"/>
            </w:r>
            <w:r>
              <w:rPr>
                <w:noProof/>
                <w:webHidden/>
              </w:rPr>
              <w:t>33</w:t>
            </w:r>
            <w:r>
              <w:rPr>
                <w:noProof/>
                <w:webHidden/>
              </w:rPr>
              <w:fldChar w:fldCharType="end"/>
            </w:r>
          </w:hyperlink>
        </w:p>
        <w:p w14:paraId="1C8172B5" w14:textId="6688957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5" w:history="1">
            <w:r w:rsidRPr="00DB7C09">
              <w:rPr>
                <w:rStyle w:val="Hiperhivatkozs"/>
                <w:noProof/>
              </w:rPr>
              <w:t>1.5. FEDEZETEKRE vonatkozó táblák</w:t>
            </w:r>
            <w:r>
              <w:rPr>
                <w:noProof/>
                <w:webHidden/>
              </w:rPr>
              <w:tab/>
            </w:r>
            <w:r>
              <w:rPr>
                <w:noProof/>
                <w:webHidden/>
              </w:rPr>
              <w:fldChar w:fldCharType="begin"/>
            </w:r>
            <w:r>
              <w:rPr>
                <w:noProof/>
                <w:webHidden/>
              </w:rPr>
              <w:instrText xml:space="preserve"> PAGEREF _Toc149904385 \h </w:instrText>
            </w:r>
            <w:r>
              <w:rPr>
                <w:noProof/>
                <w:webHidden/>
              </w:rPr>
            </w:r>
            <w:r>
              <w:rPr>
                <w:noProof/>
                <w:webHidden/>
              </w:rPr>
              <w:fldChar w:fldCharType="separate"/>
            </w:r>
            <w:r>
              <w:rPr>
                <w:noProof/>
                <w:webHidden/>
              </w:rPr>
              <w:t>35</w:t>
            </w:r>
            <w:r>
              <w:rPr>
                <w:noProof/>
                <w:webHidden/>
              </w:rPr>
              <w:fldChar w:fldCharType="end"/>
            </w:r>
          </w:hyperlink>
        </w:p>
        <w:p w14:paraId="2D1A5030" w14:textId="02DE4B6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Pr="00DB7C09">
              <w:rPr>
                <w:rStyle w:val="Hiperhivatkozs"/>
                <w:b/>
                <w:noProof/>
              </w:rPr>
              <w:t>1.5.1. Fedezet-értékek elkülönítése</w:t>
            </w:r>
            <w:r>
              <w:rPr>
                <w:noProof/>
                <w:webHidden/>
              </w:rPr>
              <w:tab/>
            </w:r>
            <w:r>
              <w:rPr>
                <w:noProof/>
                <w:webHidden/>
              </w:rPr>
              <w:fldChar w:fldCharType="begin"/>
            </w:r>
            <w:r>
              <w:rPr>
                <w:noProof/>
                <w:webHidden/>
              </w:rPr>
              <w:instrText xml:space="preserve"> PAGEREF _Toc149904386 \h </w:instrText>
            </w:r>
            <w:r>
              <w:rPr>
                <w:noProof/>
                <w:webHidden/>
              </w:rPr>
            </w:r>
            <w:r>
              <w:rPr>
                <w:noProof/>
                <w:webHidden/>
              </w:rPr>
              <w:fldChar w:fldCharType="separate"/>
            </w:r>
            <w:r>
              <w:rPr>
                <w:noProof/>
                <w:webHidden/>
              </w:rPr>
              <w:t>39</w:t>
            </w:r>
            <w:r>
              <w:rPr>
                <w:noProof/>
                <w:webHidden/>
              </w:rPr>
              <w:fldChar w:fldCharType="end"/>
            </w:r>
          </w:hyperlink>
        </w:p>
        <w:p w14:paraId="65831162" w14:textId="1504C3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Pr="00DB7C09">
              <w:rPr>
                <w:rStyle w:val="Hiperhivatkozs"/>
                <w:b/>
                <w:noProof/>
              </w:rPr>
              <w:t>1.5.2. A fedezetek megszűnése</w:t>
            </w:r>
            <w:r>
              <w:rPr>
                <w:noProof/>
                <w:webHidden/>
              </w:rPr>
              <w:tab/>
            </w:r>
            <w:r>
              <w:rPr>
                <w:noProof/>
                <w:webHidden/>
              </w:rPr>
              <w:fldChar w:fldCharType="begin"/>
            </w:r>
            <w:r>
              <w:rPr>
                <w:noProof/>
                <w:webHidden/>
              </w:rPr>
              <w:instrText xml:space="preserve"> PAGEREF _Toc149904387 \h </w:instrText>
            </w:r>
            <w:r>
              <w:rPr>
                <w:noProof/>
                <w:webHidden/>
              </w:rPr>
            </w:r>
            <w:r>
              <w:rPr>
                <w:noProof/>
                <w:webHidden/>
              </w:rPr>
              <w:fldChar w:fldCharType="separate"/>
            </w:r>
            <w:r>
              <w:rPr>
                <w:noProof/>
                <w:webHidden/>
              </w:rPr>
              <w:t>41</w:t>
            </w:r>
            <w:r>
              <w:rPr>
                <w:noProof/>
                <w:webHidden/>
              </w:rPr>
              <w:fldChar w:fldCharType="end"/>
            </w:r>
          </w:hyperlink>
        </w:p>
        <w:p w14:paraId="703ED589" w14:textId="38A2F012"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8" w:history="1">
            <w:r w:rsidRPr="00DB7C09">
              <w:rPr>
                <w:rStyle w:val="Hiperhivatkozs"/>
                <w:noProof/>
              </w:rPr>
              <w:t>1.6. ÜGYFELEKRE vonatkozó táblák</w:t>
            </w:r>
            <w:r>
              <w:rPr>
                <w:noProof/>
                <w:webHidden/>
              </w:rPr>
              <w:tab/>
            </w:r>
            <w:r>
              <w:rPr>
                <w:noProof/>
                <w:webHidden/>
              </w:rPr>
              <w:fldChar w:fldCharType="begin"/>
            </w:r>
            <w:r>
              <w:rPr>
                <w:noProof/>
                <w:webHidden/>
              </w:rPr>
              <w:instrText xml:space="preserve"> PAGEREF _Toc149904388 \h </w:instrText>
            </w:r>
            <w:r>
              <w:rPr>
                <w:noProof/>
                <w:webHidden/>
              </w:rPr>
            </w:r>
            <w:r>
              <w:rPr>
                <w:noProof/>
                <w:webHidden/>
              </w:rPr>
              <w:fldChar w:fldCharType="separate"/>
            </w:r>
            <w:r>
              <w:rPr>
                <w:noProof/>
                <w:webHidden/>
              </w:rPr>
              <w:t>41</w:t>
            </w:r>
            <w:r>
              <w:rPr>
                <w:noProof/>
                <w:webHidden/>
              </w:rPr>
              <w:fldChar w:fldCharType="end"/>
            </w:r>
          </w:hyperlink>
        </w:p>
        <w:p w14:paraId="3592C90E" w14:textId="76235471"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Pr="00DB7C09">
              <w:rPr>
                <w:rStyle w:val="Hiperhivatkozs"/>
                <w:b/>
                <w:noProof/>
              </w:rPr>
              <w:t>1.6.1. Általános tudnivalók</w:t>
            </w:r>
            <w:r>
              <w:rPr>
                <w:noProof/>
                <w:webHidden/>
              </w:rPr>
              <w:tab/>
            </w:r>
            <w:r>
              <w:rPr>
                <w:noProof/>
                <w:webHidden/>
              </w:rPr>
              <w:fldChar w:fldCharType="begin"/>
            </w:r>
            <w:r>
              <w:rPr>
                <w:noProof/>
                <w:webHidden/>
              </w:rPr>
              <w:instrText xml:space="preserve"> PAGEREF _Toc149904389 \h </w:instrText>
            </w:r>
            <w:r>
              <w:rPr>
                <w:noProof/>
                <w:webHidden/>
              </w:rPr>
            </w:r>
            <w:r>
              <w:rPr>
                <w:noProof/>
                <w:webHidden/>
              </w:rPr>
              <w:fldChar w:fldCharType="separate"/>
            </w:r>
            <w:r>
              <w:rPr>
                <w:noProof/>
                <w:webHidden/>
              </w:rPr>
              <w:t>41</w:t>
            </w:r>
            <w:r>
              <w:rPr>
                <w:noProof/>
                <w:webHidden/>
              </w:rPr>
              <w:fldChar w:fldCharType="end"/>
            </w:r>
          </w:hyperlink>
        </w:p>
        <w:p w14:paraId="5B37E14C" w14:textId="4EAD6ED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Pr="00DB7C09">
              <w:rPr>
                <w:rStyle w:val="Hiperhivatkozs"/>
                <w:b/>
                <w:noProof/>
              </w:rPr>
              <w:t>1.6.2. A háztartási ügyfelekre vonatkozó tábla (UGYFL)</w:t>
            </w:r>
            <w:r>
              <w:rPr>
                <w:noProof/>
                <w:webHidden/>
              </w:rPr>
              <w:tab/>
            </w:r>
            <w:r>
              <w:rPr>
                <w:noProof/>
                <w:webHidden/>
              </w:rPr>
              <w:fldChar w:fldCharType="begin"/>
            </w:r>
            <w:r>
              <w:rPr>
                <w:noProof/>
                <w:webHidden/>
              </w:rPr>
              <w:instrText xml:space="preserve"> PAGEREF _Toc149904390 \h </w:instrText>
            </w:r>
            <w:r>
              <w:rPr>
                <w:noProof/>
                <w:webHidden/>
              </w:rPr>
            </w:r>
            <w:r>
              <w:rPr>
                <w:noProof/>
                <w:webHidden/>
              </w:rPr>
              <w:fldChar w:fldCharType="separate"/>
            </w:r>
            <w:r>
              <w:rPr>
                <w:noProof/>
                <w:webHidden/>
              </w:rPr>
              <w:t>43</w:t>
            </w:r>
            <w:r>
              <w:rPr>
                <w:noProof/>
                <w:webHidden/>
              </w:rPr>
              <w:fldChar w:fldCharType="end"/>
            </w:r>
          </w:hyperlink>
        </w:p>
        <w:p w14:paraId="09CAF7D4" w14:textId="29D6021F"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Pr="00DB7C09">
              <w:rPr>
                <w:rStyle w:val="Hiperhivatkozs"/>
                <w:b/>
                <w:noProof/>
              </w:rPr>
              <w:t>1.6.3. Vállalkozások</w:t>
            </w:r>
            <w:r>
              <w:rPr>
                <w:noProof/>
                <w:webHidden/>
              </w:rPr>
              <w:tab/>
            </w:r>
            <w:r>
              <w:rPr>
                <w:noProof/>
                <w:webHidden/>
              </w:rPr>
              <w:fldChar w:fldCharType="begin"/>
            </w:r>
            <w:r>
              <w:rPr>
                <w:noProof/>
                <w:webHidden/>
              </w:rPr>
              <w:instrText xml:space="preserve"> PAGEREF _Toc149904391 \h </w:instrText>
            </w:r>
            <w:r>
              <w:rPr>
                <w:noProof/>
                <w:webHidden/>
              </w:rPr>
            </w:r>
            <w:r>
              <w:rPr>
                <w:noProof/>
                <w:webHidden/>
              </w:rPr>
              <w:fldChar w:fldCharType="separate"/>
            </w:r>
            <w:r>
              <w:rPr>
                <w:noProof/>
                <w:webHidden/>
              </w:rPr>
              <w:t>45</w:t>
            </w:r>
            <w:r>
              <w:rPr>
                <w:noProof/>
                <w:webHidden/>
              </w:rPr>
              <w:fldChar w:fldCharType="end"/>
            </w:r>
          </w:hyperlink>
        </w:p>
        <w:p w14:paraId="4A9243FA" w14:textId="553012C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Pr="00DB7C09">
              <w:rPr>
                <w:rStyle w:val="Hiperhivatkozs"/>
                <w:b/>
                <w:noProof/>
              </w:rPr>
              <w:t>1.6.4. Ügyfélminősítésre vonatkozó tábla (UGYFM)</w:t>
            </w:r>
            <w:r>
              <w:rPr>
                <w:noProof/>
                <w:webHidden/>
              </w:rPr>
              <w:tab/>
            </w:r>
            <w:r>
              <w:rPr>
                <w:noProof/>
                <w:webHidden/>
              </w:rPr>
              <w:fldChar w:fldCharType="begin"/>
            </w:r>
            <w:r>
              <w:rPr>
                <w:noProof/>
                <w:webHidden/>
              </w:rPr>
              <w:instrText xml:space="preserve"> PAGEREF _Toc149904392 \h </w:instrText>
            </w:r>
            <w:r>
              <w:rPr>
                <w:noProof/>
                <w:webHidden/>
              </w:rPr>
            </w:r>
            <w:r>
              <w:rPr>
                <w:noProof/>
                <w:webHidden/>
              </w:rPr>
              <w:fldChar w:fldCharType="separate"/>
            </w:r>
            <w:r>
              <w:rPr>
                <w:noProof/>
                <w:webHidden/>
              </w:rPr>
              <w:t>51</w:t>
            </w:r>
            <w:r>
              <w:rPr>
                <w:noProof/>
                <w:webHidden/>
              </w:rPr>
              <w:fldChar w:fldCharType="end"/>
            </w:r>
          </w:hyperlink>
        </w:p>
        <w:p w14:paraId="68469DFE" w14:textId="12424FD9"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Pr="00DB7C09">
              <w:rPr>
                <w:rStyle w:val="Hiperhivatkozs"/>
                <w:b/>
                <w:noProof/>
              </w:rPr>
              <w:t>1.6.5. Hitelbírálati adatok (HBIR)</w:t>
            </w:r>
            <w:r>
              <w:rPr>
                <w:noProof/>
                <w:webHidden/>
              </w:rPr>
              <w:tab/>
            </w:r>
            <w:r>
              <w:rPr>
                <w:noProof/>
                <w:webHidden/>
              </w:rPr>
              <w:fldChar w:fldCharType="begin"/>
            </w:r>
            <w:r>
              <w:rPr>
                <w:noProof/>
                <w:webHidden/>
              </w:rPr>
              <w:instrText xml:space="preserve"> PAGEREF _Toc149904393 \h </w:instrText>
            </w:r>
            <w:r>
              <w:rPr>
                <w:noProof/>
                <w:webHidden/>
              </w:rPr>
            </w:r>
            <w:r>
              <w:rPr>
                <w:noProof/>
                <w:webHidden/>
              </w:rPr>
              <w:fldChar w:fldCharType="separate"/>
            </w:r>
            <w:r>
              <w:rPr>
                <w:noProof/>
                <w:webHidden/>
              </w:rPr>
              <w:t>51</w:t>
            </w:r>
            <w:r>
              <w:rPr>
                <w:noProof/>
                <w:webHidden/>
              </w:rPr>
              <w:fldChar w:fldCharType="end"/>
            </w:r>
          </w:hyperlink>
        </w:p>
        <w:p w14:paraId="782800BF" w14:textId="7EB43CDC"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4" w:history="1">
            <w:r w:rsidRPr="00DB7C09">
              <w:rPr>
                <w:rStyle w:val="Hiperhivatkozs"/>
                <w:noProof/>
              </w:rPr>
              <w:t>1.7. KAPCSOLATOKRA vonatkozó táblák</w:t>
            </w:r>
            <w:r>
              <w:rPr>
                <w:noProof/>
                <w:webHidden/>
              </w:rPr>
              <w:tab/>
            </w:r>
            <w:r>
              <w:rPr>
                <w:noProof/>
                <w:webHidden/>
              </w:rPr>
              <w:fldChar w:fldCharType="begin"/>
            </w:r>
            <w:r>
              <w:rPr>
                <w:noProof/>
                <w:webHidden/>
              </w:rPr>
              <w:instrText xml:space="preserve"> PAGEREF _Toc149904394 \h </w:instrText>
            </w:r>
            <w:r>
              <w:rPr>
                <w:noProof/>
                <w:webHidden/>
              </w:rPr>
            </w:r>
            <w:r>
              <w:rPr>
                <w:noProof/>
                <w:webHidden/>
              </w:rPr>
              <w:fldChar w:fldCharType="separate"/>
            </w:r>
            <w:r>
              <w:rPr>
                <w:noProof/>
                <w:webHidden/>
              </w:rPr>
              <w:t>52</w:t>
            </w:r>
            <w:r>
              <w:rPr>
                <w:noProof/>
                <w:webHidden/>
              </w:rPr>
              <w:fldChar w:fldCharType="end"/>
            </w:r>
          </w:hyperlink>
        </w:p>
        <w:p w14:paraId="31B199AC" w14:textId="79A2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Pr="00DB7C09">
              <w:rPr>
                <w:rStyle w:val="Hiperhivatkozs"/>
                <w:b/>
                <w:noProof/>
              </w:rPr>
              <w:t xml:space="preserve">1.7.1. Instrumentum-ügyfél </w:t>
            </w:r>
            <w:r w:rsidRPr="00DB7C09">
              <w:rPr>
                <w:rStyle w:val="Hiperhivatkozs"/>
                <w:rFonts w:cstheme="minorHAnsi"/>
                <w:b/>
                <w:noProof/>
              </w:rPr>
              <w:t>(INST_UGYF)</w:t>
            </w:r>
            <w:r>
              <w:rPr>
                <w:noProof/>
                <w:webHidden/>
              </w:rPr>
              <w:tab/>
            </w:r>
            <w:r>
              <w:rPr>
                <w:noProof/>
                <w:webHidden/>
              </w:rPr>
              <w:fldChar w:fldCharType="begin"/>
            </w:r>
            <w:r>
              <w:rPr>
                <w:noProof/>
                <w:webHidden/>
              </w:rPr>
              <w:instrText xml:space="preserve"> PAGEREF _Toc149904395 \h </w:instrText>
            </w:r>
            <w:r>
              <w:rPr>
                <w:noProof/>
                <w:webHidden/>
              </w:rPr>
            </w:r>
            <w:r>
              <w:rPr>
                <w:noProof/>
                <w:webHidden/>
              </w:rPr>
              <w:fldChar w:fldCharType="separate"/>
            </w:r>
            <w:r>
              <w:rPr>
                <w:noProof/>
                <w:webHidden/>
              </w:rPr>
              <w:t>53</w:t>
            </w:r>
            <w:r>
              <w:rPr>
                <w:noProof/>
                <w:webHidden/>
              </w:rPr>
              <w:fldChar w:fldCharType="end"/>
            </w:r>
          </w:hyperlink>
        </w:p>
        <w:p w14:paraId="05611FBF" w14:textId="6806E93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Pr="00DB7C09">
              <w:rPr>
                <w:rStyle w:val="Hiperhivatkozs"/>
                <w:b/>
                <w:noProof/>
              </w:rPr>
              <w:t>1.7.2. Instrumentum-fedezet (INST_FED)</w:t>
            </w:r>
            <w:r>
              <w:rPr>
                <w:noProof/>
                <w:webHidden/>
              </w:rPr>
              <w:tab/>
            </w:r>
            <w:r>
              <w:rPr>
                <w:noProof/>
                <w:webHidden/>
              </w:rPr>
              <w:fldChar w:fldCharType="begin"/>
            </w:r>
            <w:r>
              <w:rPr>
                <w:noProof/>
                <w:webHidden/>
              </w:rPr>
              <w:instrText xml:space="preserve"> PAGEREF _Toc149904396 \h </w:instrText>
            </w:r>
            <w:r>
              <w:rPr>
                <w:noProof/>
                <w:webHidden/>
              </w:rPr>
            </w:r>
            <w:r>
              <w:rPr>
                <w:noProof/>
                <w:webHidden/>
              </w:rPr>
              <w:fldChar w:fldCharType="separate"/>
            </w:r>
            <w:r>
              <w:rPr>
                <w:noProof/>
                <w:webHidden/>
              </w:rPr>
              <w:t>54</w:t>
            </w:r>
            <w:r>
              <w:rPr>
                <w:noProof/>
                <w:webHidden/>
              </w:rPr>
              <w:fldChar w:fldCharType="end"/>
            </w:r>
          </w:hyperlink>
        </w:p>
        <w:p w14:paraId="7A0BA811" w14:textId="3F4113D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Pr="00DB7C09">
              <w:rPr>
                <w:rStyle w:val="Hiperhivatkozs"/>
                <w:b/>
                <w:noProof/>
              </w:rPr>
              <w:t>1.7.3. Fedezet-ügyfél (FED_UGYF)</w:t>
            </w:r>
            <w:r>
              <w:rPr>
                <w:noProof/>
                <w:webHidden/>
              </w:rPr>
              <w:tab/>
            </w:r>
            <w:r>
              <w:rPr>
                <w:noProof/>
                <w:webHidden/>
              </w:rPr>
              <w:fldChar w:fldCharType="begin"/>
            </w:r>
            <w:r>
              <w:rPr>
                <w:noProof/>
                <w:webHidden/>
              </w:rPr>
              <w:instrText xml:space="preserve"> PAGEREF _Toc149904397 \h </w:instrText>
            </w:r>
            <w:r>
              <w:rPr>
                <w:noProof/>
                <w:webHidden/>
              </w:rPr>
            </w:r>
            <w:r>
              <w:rPr>
                <w:noProof/>
                <w:webHidden/>
              </w:rPr>
              <w:fldChar w:fldCharType="separate"/>
            </w:r>
            <w:r>
              <w:rPr>
                <w:noProof/>
                <w:webHidden/>
              </w:rPr>
              <w:t>56</w:t>
            </w:r>
            <w:r>
              <w:rPr>
                <w:noProof/>
                <w:webHidden/>
              </w:rPr>
              <w:fldChar w:fldCharType="end"/>
            </w:r>
          </w:hyperlink>
        </w:p>
        <w:p w14:paraId="2C3B9188" w14:textId="3D2B726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8" w:history="1">
            <w:r w:rsidRPr="00DB7C09">
              <w:rPr>
                <w:rStyle w:val="Hiperhivatkozs"/>
                <w:noProof/>
              </w:rPr>
              <w:t>1.8. TRANZAKCIÓKRA vonatkozó táblák</w:t>
            </w:r>
            <w:r>
              <w:rPr>
                <w:noProof/>
                <w:webHidden/>
              </w:rPr>
              <w:tab/>
            </w:r>
            <w:r>
              <w:rPr>
                <w:noProof/>
                <w:webHidden/>
              </w:rPr>
              <w:fldChar w:fldCharType="begin"/>
            </w:r>
            <w:r>
              <w:rPr>
                <w:noProof/>
                <w:webHidden/>
              </w:rPr>
              <w:instrText xml:space="preserve"> PAGEREF _Toc149904398 \h </w:instrText>
            </w:r>
            <w:r>
              <w:rPr>
                <w:noProof/>
                <w:webHidden/>
              </w:rPr>
            </w:r>
            <w:r>
              <w:rPr>
                <w:noProof/>
                <w:webHidden/>
              </w:rPr>
              <w:fldChar w:fldCharType="separate"/>
            </w:r>
            <w:r>
              <w:rPr>
                <w:noProof/>
                <w:webHidden/>
              </w:rPr>
              <w:t>56</w:t>
            </w:r>
            <w:r>
              <w:rPr>
                <w:noProof/>
                <w:webHidden/>
              </w:rPr>
              <w:fldChar w:fldCharType="end"/>
            </w:r>
          </w:hyperlink>
        </w:p>
        <w:p w14:paraId="044AE3E7" w14:textId="71143D1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Pr="00DB7C09">
              <w:rPr>
                <w:rStyle w:val="Hiperhivatkozs"/>
                <w:b/>
                <w:noProof/>
              </w:rPr>
              <w:t>1.8.1. Folyósítás / Törlesztés / Előtörlesztés</w:t>
            </w:r>
            <w:r>
              <w:rPr>
                <w:noProof/>
                <w:webHidden/>
              </w:rPr>
              <w:tab/>
            </w:r>
            <w:r>
              <w:rPr>
                <w:noProof/>
                <w:webHidden/>
              </w:rPr>
              <w:fldChar w:fldCharType="begin"/>
            </w:r>
            <w:r>
              <w:rPr>
                <w:noProof/>
                <w:webHidden/>
              </w:rPr>
              <w:instrText xml:space="preserve"> PAGEREF _Toc149904399 \h </w:instrText>
            </w:r>
            <w:r>
              <w:rPr>
                <w:noProof/>
                <w:webHidden/>
              </w:rPr>
            </w:r>
            <w:r>
              <w:rPr>
                <w:noProof/>
                <w:webHidden/>
              </w:rPr>
              <w:fldChar w:fldCharType="separate"/>
            </w:r>
            <w:r>
              <w:rPr>
                <w:noProof/>
                <w:webHidden/>
              </w:rPr>
              <w:t>56</w:t>
            </w:r>
            <w:r>
              <w:rPr>
                <w:noProof/>
                <w:webHidden/>
              </w:rPr>
              <w:fldChar w:fldCharType="end"/>
            </w:r>
          </w:hyperlink>
        </w:p>
        <w:p w14:paraId="4815D20F" w14:textId="633D0A98"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Pr="00DB7C09">
              <w:rPr>
                <w:rStyle w:val="Hiperhivatkozs"/>
                <w:b/>
                <w:noProof/>
              </w:rPr>
              <w:t>1.8.2. Késedelem (KESD)</w:t>
            </w:r>
            <w:r>
              <w:rPr>
                <w:noProof/>
                <w:webHidden/>
              </w:rPr>
              <w:tab/>
            </w:r>
            <w:r>
              <w:rPr>
                <w:noProof/>
                <w:webHidden/>
              </w:rPr>
              <w:fldChar w:fldCharType="begin"/>
            </w:r>
            <w:r>
              <w:rPr>
                <w:noProof/>
                <w:webHidden/>
              </w:rPr>
              <w:instrText xml:space="preserve"> PAGEREF _Toc149904400 \h </w:instrText>
            </w:r>
            <w:r>
              <w:rPr>
                <w:noProof/>
                <w:webHidden/>
              </w:rPr>
            </w:r>
            <w:r>
              <w:rPr>
                <w:noProof/>
                <w:webHidden/>
              </w:rPr>
              <w:fldChar w:fldCharType="separate"/>
            </w:r>
            <w:r>
              <w:rPr>
                <w:noProof/>
                <w:webHidden/>
              </w:rPr>
              <w:t>58</w:t>
            </w:r>
            <w:r>
              <w:rPr>
                <w:noProof/>
                <w:webHidden/>
              </w:rPr>
              <w:fldChar w:fldCharType="end"/>
            </w:r>
          </w:hyperlink>
        </w:p>
        <w:p w14:paraId="08286BAF" w14:textId="72DDE73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Pr="00DB7C09">
              <w:rPr>
                <w:rStyle w:val="Hiperhivatkozs"/>
                <w:b/>
                <w:noProof/>
              </w:rPr>
              <w:t>1.8.3. Hitelkiváltás (HKIV)</w:t>
            </w:r>
            <w:r>
              <w:rPr>
                <w:noProof/>
                <w:webHidden/>
              </w:rPr>
              <w:tab/>
            </w:r>
            <w:r>
              <w:rPr>
                <w:noProof/>
                <w:webHidden/>
              </w:rPr>
              <w:fldChar w:fldCharType="begin"/>
            </w:r>
            <w:r>
              <w:rPr>
                <w:noProof/>
                <w:webHidden/>
              </w:rPr>
              <w:instrText xml:space="preserve"> PAGEREF _Toc149904401 \h </w:instrText>
            </w:r>
            <w:r>
              <w:rPr>
                <w:noProof/>
                <w:webHidden/>
              </w:rPr>
            </w:r>
            <w:r>
              <w:rPr>
                <w:noProof/>
                <w:webHidden/>
              </w:rPr>
              <w:fldChar w:fldCharType="separate"/>
            </w:r>
            <w:r>
              <w:rPr>
                <w:noProof/>
                <w:webHidden/>
              </w:rPr>
              <w:t>59</w:t>
            </w:r>
            <w:r>
              <w:rPr>
                <w:noProof/>
                <w:webHidden/>
              </w:rPr>
              <w:fldChar w:fldCharType="end"/>
            </w:r>
          </w:hyperlink>
        </w:p>
        <w:p w14:paraId="11B7D113" w14:textId="410752F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02" w:history="1">
            <w:r w:rsidRPr="00DB7C09">
              <w:rPr>
                <w:rStyle w:val="Hiperhivatkozs"/>
                <w:noProof/>
              </w:rPr>
              <w:t>1.9. Speciális instrumentumokra és egyéb speciális esetekre vonatkozó jelentési kötelezettség</w:t>
            </w:r>
            <w:r>
              <w:rPr>
                <w:noProof/>
                <w:webHidden/>
              </w:rPr>
              <w:tab/>
            </w:r>
            <w:r>
              <w:rPr>
                <w:noProof/>
                <w:webHidden/>
              </w:rPr>
              <w:fldChar w:fldCharType="begin"/>
            </w:r>
            <w:r>
              <w:rPr>
                <w:noProof/>
                <w:webHidden/>
              </w:rPr>
              <w:instrText xml:space="preserve"> PAGEREF _Toc149904402 \h </w:instrText>
            </w:r>
            <w:r>
              <w:rPr>
                <w:noProof/>
                <w:webHidden/>
              </w:rPr>
            </w:r>
            <w:r>
              <w:rPr>
                <w:noProof/>
                <w:webHidden/>
              </w:rPr>
              <w:fldChar w:fldCharType="separate"/>
            </w:r>
            <w:r>
              <w:rPr>
                <w:noProof/>
                <w:webHidden/>
              </w:rPr>
              <w:t>60</w:t>
            </w:r>
            <w:r>
              <w:rPr>
                <w:noProof/>
                <w:webHidden/>
              </w:rPr>
              <w:fldChar w:fldCharType="end"/>
            </w:r>
          </w:hyperlink>
        </w:p>
        <w:p w14:paraId="53DC77BB" w14:textId="7D260F9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Pr="00DB7C09">
              <w:rPr>
                <w:rStyle w:val="Hiperhivatkozs"/>
                <w:b/>
                <w:noProof/>
              </w:rPr>
              <w:t>1.9.1. Faktoring ügyletek</w:t>
            </w:r>
            <w:r>
              <w:rPr>
                <w:noProof/>
                <w:webHidden/>
              </w:rPr>
              <w:tab/>
            </w:r>
            <w:r>
              <w:rPr>
                <w:noProof/>
                <w:webHidden/>
              </w:rPr>
              <w:fldChar w:fldCharType="begin"/>
            </w:r>
            <w:r>
              <w:rPr>
                <w:noProof/>
                <w:webHidden/>
              </w:rPr>
              <w:instrText xml:space="preserve"> PAGEREF _Toc149904403 \h </w:instrText>
            </w:r>
            <w:r>
              <w:rPr>
                <w:noProof/>
                <w:webHidden/>
              </w:rPr>
            </w:r>
            <w:r>
              <w:rPr>
                <w:noProof/>
                <w:webHidden/>
              </w:rPr>
              <w:fldChar w:fldCharType="separate"/>
            </w:r>
            <w:r>
              <w:rPr>
                <w:noProof/>
                <w:webHidden/>
              </w:rPr>
              <w:t>60</w:t>
            </w:r>
            <w:r>
              <w:rPr>
                <w:noProof/>
                <w:webHidden/>
              </w:rPr>
              <w:fldChar w:fldCharType="end"/>
            </w:r>
          </w:hyperlink>
        </w:p>
        <w:p w14:paraId="4BEA12C1" w14:textId="376BD59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Pr="00DB7C09">
              <w:rPr>
                <w:rStyle w:val="Hiperhivatkozs"/>
                <w:noProof/>
              </w:rPr>
              <w:t>1.9.2.</w:t>
            </w:r>
            <w:r w:rsidRPr="00DB7C09">
              <w:rPr>
                <w:rStyle w:val="Hiperhivatkozs"/>
                <w:b/>
                <w:noProof/>
              </w:rPr>
              <w:t xml:space="preserve"> Szerződés átruházás</w:t>
            </w:r>
            <w:r>
              <w:rPr>
                <w:noProof/>
                <w:webHidden/>
              </w:rPr>
              <w:tab/>
            </w:r>
            <w:r>
              <w:rPr>
                <w:noProof/>
                <w:webHidden/>
              </w:rPr>
              <w:fldChar w:fldCharType="begin"/>
            </w:r>
            <w:r>
              <w:rPr>
                <w:noProof/>
                <w:webHidden/>
              </w:rPr>
              <w:instrText xml:space="preserve"> PAGEREF _Toc149904404 \h </w:instrText>
            </w:r>
            <w:r>
              <w:rPr>
                <w:noProof/>
                <w:webHidden/>
              </w:rPr>
            </w:r>
            <w:r>
              <w:rPr>
                <w:noProof/>
                <w:webHidden/>
              </w:rPr>
              <w:fldChar w:fldCharType="separate"/>
            </w:r>
            <w:r>
              <w:rPr>
                <w:noProof/>
                <w:webHidden/>
              </w:rPr>
              <w:t>62</w:t>
            </w:r>
            <w:r>
              <w:rPr>
                <w:noProof/>
                <w:webHidden/>
              </w:rPr>
              <w:fldChar w:fldCharType="end"/>
            </w:r>
          </w:hyperlink>
        </w:p>
        <w:p w14:paraId="6DDE5D70" w14:textId="55AB371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Pr="00DB7C09">
              <w:rPr>
                <w:rStyle w:val="Hiperhivatkozs"/>
                <w:b/>
                <w:noProof/>
              </w:rPr>
              <w:t>1.9.3. Váltóleszámítolás</w:t>
            </w:r>
            <w:r>
              <w:rPr>
                <w:noProof/>
                <w:webHidden/>
              </w:rPr>
              <w:tab/>
            </w:r>
            <w:r>
              <w:rPr>
                <w:noProof/>
                <w:webHidden/>
              </w:rPr>
              <w:fldChar w:fldCharType="begin"/>
            </w:r>
            <w:r>
              <w:rPr>
                <w:noProof/>
                <w:webHidden/>
              </w:rPr>
              <w:instrText xml:space="preserve"> PAGEREF _Toc149904405 \h </w:instrText>
            </w:r>
            <w:r>
              <w:rPr>
                <w:noProof/>
                <w:webHidden/>
              </w:rPr>
            </w:r>
            <w:r>
              <w:rPr>
                <w:noProof/>
                <w:webHidden/>
              </w:rPr>
              <w:fldChar w:fldCharType="separate"/>
            </w:r>
            <w:r>
              <w:rPr>
                <w:noProof/>
                <w:webHidden/>
              </w:rPr>
              <w:t>63</w:t>
            </w:r>
            <w:r>
              <w:rPr>
                <w:noProof/>
                <w:webHidden/>
              </w:rPr>
              <w:fldChar w:fldCharType="end"/>
            </w:r>
          </w:hyperlink>
        </w:p>
        <w:p w14:paraId="06B37E0A" w14:textId="5CFCDF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Pr="00DB7C09">
              <w:rPr>
                <w:rStyle w:val="Hiperhivatkozs"/>
                <w:b/>
                <w:noProof/>
              </w:rPr>
              <w:t>1.9.4. Lízing</w:t>
            </w:r>
            <w:r>
              <w:rPr>
                <w:noProof/>
                <w:webHidden/>
              </w:rPr>
              <w:tab/>
            </w:r>
            <w:r>
              <w:rPr>
                <w:noProof/>
                <w:webHidden/>
              </w:rPr>
              <w:fldChar w:fldCharType="begin"/>
            </w:r>
            <w:r>
              <w:rPr>
                <w:noProof/>
                <w:webHidden/>
              </w:rPr>
              <w:instrText xml:space="preserve"> PAGEREF _Toc149904406 \h </w:instrText>
            </w:r>
            <w:r>
              <w:rPr>
                <w:noProof/>
                <w:webHidden/>
              </w:rPr>
            </w:r>
            <w:r>
              <w:rPr>
                <w:noProof/>
                <w:webHidden/>
              </w:rPr>
              <w:fldChar w:fldCharType="separate"/>
            </w:r>
            <w:r>
              <w:rPr>
                <w:noProof/>
                <w:webHidden/>
              </w:rPr>
              <w:t>63</w:t>
            </w:r>
            <w:r>
              <w:rPr>
                <w:noProof/>
                <w:webHidden/>
              </w:rPr>
              <w:fldChar w:fldCharType="end"/>
            </w:r>
          </w:hyperlink>
        </w:p>
        <w:p w14:paraId="2EF6EBEC" w14:textId="7C50912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Pr="00DB7C09">
              <w:rPr>
                <w:rStyle w:val="Hiperhivatkozs"/>
                <w:b/>
                <w:noProof/>
              </w:rPr>
              <w:t>1.9.5. Gyűjtőszámlahitelek</w:t>
            </w:r>
            <w:r>
              <w:rPr>
                <w:noProof/>
                <w:webHidden/>
              </w:rPr>
              <w:tab/>
            </w:r>
            <w:r>
              <w:rPr>
                <w:noProof/>
                <w:webHidden/>
              </w:rPr>
              <w:fldChar w:fldCharType="begin"/>
            </w:r>
            <w:r>
              <w:rPr>
                <w:noProof/>
                <w:webHidden/>
              </w:rPr>
              <w:instrText xml:space="preserve"> PAGEREF _Toc149904407 \h </w:instrText>
            </w:r>
            <w:r>
              <w:rPr>
                <w:noProof/>
                <w:webHidden/>
              </w:rPr>
            </w:r>
            <w:r>
              <w:rPr>
                <w:noProof/>
                <w:webHidden/>
              </w:rPr>
              <w:fldChar w:fldCharType="separate"/>
            </w:r>
            <w:r>
              <w:rPr>
                <w:noProof/>
                <w:webHidden/>
              </w:rPr>
              <w:t>64</w:t>
            </w:r>
            <w:r>
              <w:rPr>
                <w:noProof/>
                <w:webHidden/>
              </w:rPr>
              <w:fldChar w:fldCharType="end"/>
            </w:r>
          </w:hyperlink>
        </w:p>
        <w:p w14:paraId="51C58F9B" w14:textId="2DDC81A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Pr="00DB7C09">
              <w:rPr>
                <w:rStyle w:val="Hiperhivatkozs"/>
                <w:b/>
                <w:noProof/>
              </w:rPr>
              <w:t>1.9.6. Installment lehetőséget tartalmazó kártya- és folyószámlahitelek</w:t>
            </w:r>
            <w:r>
              <w:rPr>
                <w:noProof/>
                <w:webHidden/>
              </w:rPr>
              <w:tab/>
            </w:r>
            <w:r>
              <w:rPr>
                <w:noProof/>
                <w:webHidden/>
              </w:rPr>
              <w:fldChar w:fldCharType="begin"/>
            </w:r>
            <w:r>
              <w:rPr>
                <w:noProof/>
                <w:webHidden/>
              </w:rPr>
              <w:instrText xml:space="preserve"> PAGEREF _Toc149904408 \h </w:instrText>
            </w:r>
            <w:r>
              <w:rPr>
                <w:noProof/>
                <w:webHidden/>
              </w:rPr>
            </w:r>
            <w:r>
              <w:rPr>
                <w:noProof/>
                <w:webHidden/>
              </w:rPr>
              <w:fldChar w:fldCharType="separate"/>
            </w:r>
            <w:r>
              <w:rPr>
                <w:noProof/>
                <w:webHidden/>
              </w:rPr>
              <w:t>64</w:t>
            </w:r>
            <w:r>
              <w:rPr>
                <w:noProof/>
                <w:webHidden/>
              </w:rPr>
              <w:fldChar w:fldCharType="end"/>
            </w:r>
          </w:hyperlink>
        </w:p>
        <w:p w14:paraId="2323031B" w14:textId="1CEF4A1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Pr="00DB7C09">
              <w:rPr>
                <w:rStyle w:val="Hiperhivatkozs"/>
                <w:b/>
                <w:noProof/>
              </w:rPr>
              <w:t>1.9.7. Eljárás elhunyt ügyfelek esetén</w:t>
            </w:r>
            <w:r>
              <w:rPr>
                <w:noProof/>
                <w:webHidden/>
              </w:rPr>
              <w:tab/>
            </w:r>
            <w:r>
              <w:rPr>
                <w:noProof/>
                <w:webHidden/>
              </w:rPr>
              <w:fldChar w:fldCharType="begin"/>
            </w:r>
            <w:r>
              <w:rPr>
                <w:noProof/>
                <w:webHidden/>
              </w:rPr>
              <w:instrText xml:space="preserve"> PAGEREF _Toc149904409 \h </w:instrText>
            </w:r>
            <w:r>
              <w:rPr>
                <w:noProof/>
                <w:webHidden/>
              </w:rPr>
            </w:r>
            <w:r>
              <w:rPr>
                <w:noProof/>
                <w:webHidden/>
              </w:rPr>
              <w:fldChar w:fldCharType="separate"/>
            </w:r>
            <w:r>
              <w:rPr>
                <w:noProof/>
                <w:webHidden/>
              </w:rPr>
              <w:t>64</w:t>
            </w:r>
            <w:r>
              <w:rPr>
                <w:noProof/>
                <w:webHidden/>
              </w:rPr>
              <w:fldChar w:fldCharType="end"/>
            </w:r>
          </w:hyperlink>
        </w:p>
        <w:p w14:paraId="113AD577" w14:textId="0EB8CF5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Pr="00DB7C09">
              <w:rPr>
                <w:rStyle w:val="Hiperhivatkozs"/>
                <w:b/>
                <w:noProof/>
              </w:rPr>
              <w:t>1.9.8. Rulírozó hitelek és hitelkártya követelések</w:t>
            </w:r>
            <w:r>
              <w:rPr>
                <w:noProof/>
                <w:webHidden/>
              </w:rPr>
              <w:tab/>
            </w:r>
            <w:r>
              <w:rPr>
                <w:noProof/>
                <w:webHidden/>
              </w:rPr>
              <w:fldChar w:fldCharType="begin"/>
            </w:r>
            <w:r>
              <w:rPr>
                <w:noProof/>
                <w:webHidden/>
              </w:rPr>
              <w:instrText xml:space="preserve"> PAGEREF _Toc149904410 \h </w:instrText>
            </w:r>
            <w:r>
              <w:rPr>
                <w:noProof/>
                <w:webHidden/>
              </w:rPr>
            </w:r>
            <w:r>
              <w:rPr>
                <w:noProof/>
                <w:webHidden/>
              </w:rPr>
              <w:fldChar w:fldCharType="separate"/>
            </w:r>
            <w:r>
              <w:rPr>
                <w:noProof/>
                <w:webHidden/>
              </w:rPr>
              <w:t>65</w:t>
            </w:r>
            <w:r>
              <w:rPr>
                <w:noProof/>
                <w:webHidden/>
              </w:rPr>
              <w:fldChar w:fldCharType="end"/>
            </w:r>
          </w:hyperlink>
        </w:p>
        <w:p w14:paraId="191BE19E" w14:textId="7A6610D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Pr="00DB7C09">
              <w:rPr>
                <w:rStyle w:val="Hiperhivatkozs"/>
                <w:b/>
                <w:noProof/>
              </w:rPr>
              <w:t>1.9.9. Tilos mezők az adatmodellben</w:t>
            </w:r>
            <w:r>
              <w:rPr>
                <w:noProof/>
                <w:webHidden/>
              </w:rPr>
              <w:tab/>
            </w:r>
            <w:r>
              <w:rPr>
                <w:noProof/>
                <w:webHidden/>
              </w:rPr>
              <w:fldChar w:fldCharType="begin"/>
            </w:r>
            <w:r>
              <w:rPr>
                <w:noProof/>
                <w:webHidden/>
              </w:rPr>
              <w:instrText xml:space="preserve"> PAGEREF _Toc149904411 \h </w:instrText>
            </w:r>
            <w:r>
              <w:rPr>
                <w:noProof/>
                <w:webHidden/>
              </w:rPr>
            </w:r>
            <w:r>
              <w:rPr>
                <w:noProof/>
                <w:webHidden/>
              </w:rPr>
              <w:fldChar w:fldCharType="separate"/>
            </w:r>
            <w:r>
              <w:rPr>
                <w:noProof/>
                <w:webHidden/>
              </w:rPr>
              <w:t>65</w:t>
            </w:r>
            <w:r>
              <w:rPr>
                <w:noProof/>
                <w:webHidden/>
              </w:rPr>
              <w:fldChar w:fldCharType="end"/>
            </w:r>
          </w:hyperlink>
        </w:p>
        <w:p w14:paraId="5DAB2464" w14:textId="64AEBD5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Pr="00DB7C09">
              <w:rPr>
                <w:rStyle w:val="Hiperhivatkozs"/>
                <w:b/>
                <w:noProof/>
              </w:rPr>
              <w:t>1.9.10. Magáncsőd jelentésének módja</w:t>
            </w:r>
            <w:r>
              <w:rPr>
                <w:noProof/>
                <w:webHidden/>
              </w:rPr>
              <w:tab/>
            </w:r>
            <w:r>
              <w:rPr>
                <w:noProof/>
                <w:webHidden/>
              </w:rPr>
              <w:fldChar w:fldCharType="begin"/>
            </w:r>
            <w:r>
              <w:rPr>
                <w:noProof/>
                <w:webHidden/>
              </w:rPr>
              <w:instrText xml:space="preserve"> PAGEREF _Toc149904412 \h </w:instrText>
            </w:r>
            <w:r>
              <w:rPr>
                <w:noProof/>
                <w:webHidden/>
              </w:rPr>
            </w:r>
            <w:r>
              <w:rPr>
                <w:noProof/>
                <w:webHidden/>
              </w:rPr>
              <w:fldChar w:fldCharType="separate"/>
            </w:r>
            <w:r>
              <w:rPr>
                <w:noProof/>
                <w:webHidden/>
              </w:rPr>
              <w:t>65</w:t>
            </w:r>
            <w:r>
              <w:rPr>
                <w:noProof/>
                <w:webHidden/>
              </w:rPr>
              <w:fldChar w:fldCharType="end"/>
            </w:r>
          </w:hyperlink>
        </w:p>
        <w:p w14:paraId="09A000CD" w14:textId="2B94B48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Pr="00DB7C09">
              <w:rPr>
                <w:rStyle w:val="Hiperhivatkozs"/>
                <w:b/>
                <w:noProof/>
              </w:rPr>
              <w:t>1.9.11. Cash-pool konstrukciók jelentésének módja</w:t>
            </w:r>
            <w:r>
              <w:rPr>
                <w:noProof/>
                <w:webHidden/>
              </w:rPr>
              <w:tab/>
            </w:r>
            <w:r>
              <w:rPr>
                <w:noProof/>
                <w:webHidden/>
              </w:rPr>
              <w:fldChar w:fldCharType="begin"/>
            </w:r>
            <w:r>
              <w:rPr>
                <w:noProof/>
                <w:webHidden/>
              </w:rPr>
              <w:instrText xml:space="preserve"> PAGEREF _Toc149904413 \h </w:instrText>
            </w:r>
            <w:r>
              <w:rPr>
                <w:noProof/>
                <w:webHidden/>
              </w:rPr>
            </w:r>
            <w:r>
              <w:rPr>
                <w:noProof/>
                <w:webHidden/>
              </w:rPr>
              <w:fldChar w:fldCharType="separate"/>
            </w:r>
            <w:r>
              <w:rPr>
                <w:noProof/>
                <w:webHidden/>
              </w:rPr>
              <w:t>66</w:t>
            </w:r>
            <w:r>
              <w:rPr>
                <w:noProof/>
                <w:webHidden/>
              </w:rPr>
              <w:fldChar w:fldCharType="end"/>
            </w:r>
          </w:hyperlink>
        </w:p>
        <w:p w14:paraId="5A4B5E3C" w14:textId="705CA47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Pr="00DB7C09">
              <w:rPr>
                <w:rStyle w:val="Hiperhivatkozs"/>
                <w:rFonts w:cstheme="minorHAnsi"/>
                <w:b/>
                <w:noProof/>
              </w:rPr>
              <w:t>1.9.12. Projekthitelek jelentési módja</w:t>
            </w:r>
            <w:r>
              <w:rPr>
                <w:noProof/>
                <w:webHidden/>
              </w:rPr>
              <w:tab/>
            </w:r>
            <w:r>
              <w:rPr>
                <w:noProof/>
                <w:webHidden/>
              </w:rPr>
              <w:fldChar w:fldCharType="begin"/>
            </w:r>
            <w:r>
              <w:rPr>
                <w:noProof/>
                <w:webHidden/>
              </w:rPr>
              <w:instrText xml:space="preserve"> PAGEREF _Toc149904414 \h </w:instrText>
            </w:r>
            <w:r>
              <w:rPr>
                <w:noProof/>
                <w:webHidden/>
              </w:rPr>
            </w:r>
            <w:r>
              <w:rPr>
                <w:noProof/>
                <w:webHidden/>
              </w:rPr>
              <w:fldChar w:fldCharType="separate"/>
            </w:r>
            <w:r>
              <w:rPr>
                <w:noProof/>
                <w:webHidden/>
              </w:rPr>
              <w:t>67</w:t>
            </w:r>
            <w:r>
              <w:rPr>
                <w:noProof/>
                <w:webHidden/>
              </w:rPr>
              <w:fldChar w:fldCharType="end"/>
            </w:r>
          </w:hyperlink>
        </w:p>
        <w:p w14:paraId="186B129E" w14:textId="37A73B7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Pr="00DB7C09">
              <w:rPr>
                <w:rStyle w:val="Hiperhivatkozs"/>
                <w:b/>
                <w:noProof/>
              </w:rPr>
              <w:t>1.9.13. Babaváró hitelek jelentési módja</w:t>
            </w:r>
            <w:r>
              <w:rPr>
                <w:noProof/>
                <w:webHidden/>
              </w:rPr>
              <w:tab/>
            </w:r>
            <w:r>
              <w:rPr>
                <w:noProof/>
                <w:webHidden/>
              </w:rPr>
              <w:fldChar w:fldCharType="begin"/>
            </w:r>
            <w:r>
              <w:rPr>
                <w:noProof/>
                <w:webHidden/>
              </w:rPr>
              <w:instrText xml:space="preserve"> PAGEREF _Toc149904415 \h </w:instrText>
            </w:r>
            <w:r>
              <w:rPr>
                <w:noProof/>
                <w:webHidden/>
              </w:rPr>
            </w:r>
            <w:r>
              <w:rPr>
                <w:noProof/>
                <w:webHidden/>
              </w:rPr>
              <w:fldChar w:fldCharType="separate"/>
            </w:r>
            <w:r>
              <w:rPr>
                <w:noProof/>
                <w:webHidden/>
              </w:rPr>
              <w:t>70</w:t>
            </w:r>
            <w:r>
              <w:rPr>
                <w:noProof/>
                <w:webHidden/>
              </w:rPr>
              <w:fldChar w:fldCharType="end"/>
            </w:r>
          </w:hyperlink>
        </w:p>
        <w:p w14:paraId="5EB603AD" w14:textId="3A34A81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16" w:history="1">
            <w:r w:rsidRPr="00DB7C09">
              <w:rPr>
                <w:rStyle w:val="Hiperhivatkozs"/>
                <w:noProof/>
              </w:rPr>
              <w:t>1.10. A Taxonómia – ügyfél táblára vonatkozó kitöltési előírások (TAX_UGYF)</w:t>
            </w:r>
            <w:r>
              <w:rPr>
                <w:noProof/>
                <w:webHidden/>
              </w:rPr>
              <w:tab/>
            </w:r>
            <w:r>
              <w:rPr>
                <w:noProof/>
                <w:webHidden/>
              </w:rPr>
              <w:fldChar w:fldCharType="begin"/>
            </w:r>
            <w:r>
              <w:rPr>
                <w:noProof/>
                <w:webHidden/>
              </w:rPr>
              <w:instrText xml:space="preserve"> PAGEREF _Toc149904416 \h </w:instrText>
            </w:r>
            <w:r>
              <w:rPr>
                <w:noProof/>
                <w:webHidden/>
              </w:rPr>
            </w:r>
            <w:r>
              <w:rPr>
                <w:noProof/>
                <w:webHidden/>
              </w:rPr>
              <w:fldChar w:fldCharType="separate"/>
            </w:r>
            <w:r>
              <w:rPr>
                <w:noProof/>
                <w:webHidden/>
              </w:rPr>
              <w:t>71</w:t>
            </w:r>
            <w:r>
              <w:rPr>
                <w:noProof/>
                <w:webHidden/>
              </w:rPr>
              <w:fldChar w:fldCharType="end"/>
            </w:r>
          </w:hyperlink>
        </w:p>
        <w:p w14:paraId="07B7DA3E" w14:textId="514A5650" w:rsidR="002E657C" w:rsidRDefault="002E657C">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Pr="00DB7C09">
              <w:rPr>
                <w:rStyle w:val="Hiperhivatkozs"/>
                <w:noProof/>
              </w:rPr>
              <w:t>1.</w:t>
            </w:r>
            <w:r>
              <w:rPr>
                <w:rFonts w:asciiTheme="minorHAnsi" w:hAnsiTheme="minorHAnsi"/>
                <w:noProof/>
                <w:kern w:val="2"/>
                <w:sz w:val="22"/>
                <w:szCs w:val="22"/>
                <w14:ligatures w14:val="standardContextual"/>
              </w:rPr>
              <w:tab/>
            </w:r>
            <w:r w:rsidRPr="00DB7C09">
              <w:rPr>
                <w:rStyle w:val="Hiperhivatkozs"/>
                <w:noProof/>
              </w:rPr>
              <w:t>számú melléklet - kizárólag az összevont felügyelet alá tartozó pénzügyi vállalkozások által jelentendő mezők listája</w:t>
            </w:r>
            <w:r>
              <w:rPr>
                <w:noProof/>
                <w:webHidden/>
              </w:rPr>
              <w:tab/>
            </w:r>
            <w:r>
              <w:rPr>
                <w:noProof/>
                <w:webHidden/>
              </w:rPr>
              <w:fldChar w:fldCharType="begin"/>
            </w:r>
            <w:r>
              <w:rPr>
                <w:noProof/>
                <w:webHidden/>
              </w:rPr>
              <w:instrText xml:space="preserve"> PAGEREF _Toc149904417 \h </w:instrText>
            </w:r>
            <w:r>
              <w:rPr>
                <w:noProof/>
                <w:webHidden/>
              </w:rPr>
            </w:r>
            <w:r>
              <w:rPr>
                <w:noProof/>
                <w:webHidden/>
              </w:rPr>
              <w:fldChar w:fldCharType="separate"/>
            </w:r>
            <w:r>
              <w:rPr>
                <w:noProof/>
                <w:webHidden/>
              </w:rPr>
              <w:t>72</w:t>
            </w:r>
            <w:r>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1E5E142"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vállalati/lakossági flag</w:t>
      </w:r>
      <w:r w:rsidR="000B4D9F" w:rsidRPr="000C2023">
        <w:t>ek</w:t>
      </w:r>
      <w:r w:rsidR="00C720E3">
        <w:rPr>
          <w:rFonts w:asciiTheme="minorHAnsi" w:hAnsiTheme="minorHAnsi" w:cstheme="minorHAnsi"/>
        </w:rPr>
        <w:t>.</w:t>
      </w:r>
      <w:r w:rsidR="00C720E3" w:rsidRPr="006C72EB">
        <w:rPr>
          <w:rFonts w:asciiTheme="minorHAnsi" w:hAnsiTheme="minorHAnsi" w:cstheme="minorHAnsi"/>
        </w:rPr>
        <w:t xml:space="preserve"> </w:t>
      </w:r>
      <w:r w:rsidR="00C720E3" w:rsidRPr="000C2023">
        <w:rPr>
          <w:rFonts w:cs="Arial"/>
        </w:rPr>
        <w:t xml:space="preserve">Az adatmodell „LV_flag” oszlopában jelzettek szerint jelentendők az egyes attribútumok háztartási és vállalati szektor esetén: L flag esetén </w:t>
      </w:r>
      <w:r w:rsidR="00C720E3">
        <w:rPr>
          <w:rFonts w:cs="Arial"/>
        </w:rPr>
        <w:t>lakosság, L_ÖV flag esetén</w:t>
      </w:r>
      <w:r w:rsidR="00C720E3" w:rsidRPr="000C2023">
        <w:rPr>
          <w:rFonts w:cs="Arial"/>
        </w:rPr>
        <w:t xml:space="preserve"> lakosság és önálló vállalkozók, V flag esetén vállalat, V_ÖV flag esetén vállalatok és önálló vállalkozók, L</w:t>
      </w:r>
      <w:r w:rsidR="00C720E3">
        <w:rPr>
          <w:rFonts w:cs="Arial"/>
        </w:rPr>
        <w:t>_ÖV_</w:t>
      </w:r>
      <w:r w:rsidR="00C720E3" w:rsidRPr="000C2023">
        <w:rPr>
          <w:rFonts w:cs="Arial"/>
        </w:rPr>
        <w:t>V flag esetén minden szektor esetén töltendő az adott mező.</w:t>
      </w:r>
      <w:r w:rsidR="00C720E3">
        <w:rPr>
          <w:rFonts w:cs="Arial"/>
        </w:rPr>
        <w:t xml:space="preserve"> Ez vált</w:t>
      </w:r>
      <w:r w:rsidR="002F3832">
        <w:rPr>
          <w:rFonts w:cs="Arial"/>
        </w:rPr>
        <w:t>o</w:t>
      </w:r>
      <w:r w:rsidR="00C720E3">
        <w:rPr>
          <w:rFonts w:cs="Arial"/>
        </w:rPr>
        <w:t>zást jelent a korábbi gyakorlathoz képest, ahol az ’L’ flag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923366D" w:rsidR="00D83D04" w:rsidRDefault="00D83D04" w:rsidP="00C14714">
      <w:pPr>
        <w:rPr>
          <w:rFonts w:cs="Arial"/>
        </w:rPr>
      </w:pPr>
      <w:bookmarkStart w:id="9" w:name="_Hlk21091143"/>
      <w:r w:rsidRPr="000C2023">
        <w:rPr>
          <w:rFonts w:cs="Arial"/>
        </w:rPr>
        <w:t xml:space="preserve">Az adatmodellben kötelező mezőként értelmezett mezők minden esetben töltendők, míg a </w:t>
      </w:r>
      <w:r w:rsidR="00F910B2">
        <w:rPr>
          <w:rFonts w:cs="Arial"/>
        </w:rPr>
        <w:t>feltételesen</w:t>
      </w:r>
      <w:r w:rsidR="00F910B2" w:rsidRPr="000C2023">
        <w:rPr>
          <w:rFonts w:cs="Arial"/>
        </w:rPr>
        <w:t xml:space="preserve"> </w:t>
      </w:r>
      <w:r w:rsidRPr="000C2023">
        <w:rPr>
          <w:rFonts w:cs="Arial"/>
        </w:rPr>
        <w:t>kötelező mezők</w:t>
      </w:r>
      <w:r w:rsidR="0022192E">
        <w:rPr>
          <w:rStyle w:val="Lbjegyzet-hivatkozs"/>
          <w:rFonts w:asciiTheme="minorHAnsi" w:hAnsiTheme="minorHAnsi" w:cstheme="minorHAnsi"/>
        </w:rPr>
        <w:footnoteReference w:id="2"/>
      </w:r>
      <w:r w:rsidRPr="000C2023">
        <w:rPr>
          <w:rFonts w:cs="Arial"/>
        </w:rPr>
        <w:t xml:space="preserve"> töltési kötelezettsége függhet valamely feltételek fennállásától. Így az egyes </w:t>
      </w:r>
      <w:r w:rsidR="00F910B2">
        <w:rPr>
          <w:rFonts w:cs="Arial"/>
        </w:rPr>
        <w:t>feltételesen</w:t>
      </w:r>
      <w:r w:rsidR="00F910B2" w:rsidRPr="000C2023">
        <w:rPr>
          <w:rFonts w:cs="Arial"/>
        </w:rPr>
        <w:t xml:space="preserve"> </w:t>
      </w:r>
      <w:r w:rsidRPr="000C2023">
        <w:rPr>
          <w:rFonts w:cs="Arial"/>
        </w:rPr>
        <w:t xml:space="preserve">kötelező mezők töltési kötelezettségének megállapításához </w:t>
      </w:r>
      <w:r w:rsidR="00F910B2">
        <w:rPr>
          <w:rFonts w:asciiTheme="minorHAnsi" w:hAnsiTheme="minorHAnsi" w:cstheme="minorHAnsi"/>
        </w:rPr>
        <w:t>a rendeleti előírásokat és az ahhoz kapcsolódó</w:t>
      </w:r>
      <w:r w:rsidR="00F910B2" w:rsidRPr="006C72EB">
        <w:rPr>
          <w:rFonts w:asciiTheme="minorHAnsi" w:hAnsiTheme="minorHAnsi" w:cs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r w:rsidR="00F910B2">
        <w:rPr>
          <w:rFonts w:cs="Arial"/>
        </w:rPr>
        <w:t>feltételesen</w:t>
      </w:r>
      <w:r w:rsidR="00F910B2" w:rsidRPr="000C2023">
        <w:rPr>
          <w:rFonts w:cs="Arial"/>
        </w:rPr>
        <w:t xml:space="preserve"> </w:t>
      </w:r>
      <w:r w:rsidRPr="000C2023">
        <w:rPr>
          <w:rFonts w:cs="Arial"/>
        </w:rPr>
        <w:t>kötelező megjelölés nem azt jelenti, hogy a mező kitöltése opcionális</w:t>
      </w:r>
      <w:r w:rsidR="00BD5D3E" w:rsidRPr="000C2023">
        <w:rPr>
          <w:rFonts w:cs="Arial"/>
        </w:rPr>
        <w:t>.</w:t>
      </w:r>
    </w:p>
    <w:p w14:paraId="7BAC5841" w14:textId="6431044C"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w:t>
      </w:r>
      <w:r w:rsidR="00547E28" w:rsidRPr="00EF2A61">
        <w:rPr>
          <w:rFonts w:asciiTheme="minorHAnsi" w:hAnsiTheme="minorHAnsi" w:cstheme="minorHAnsi"/>
        </w:rPr>
        <w:t xml:space="preserve">– többek között – </w:t>
      </w:r>
      <w:r>
        <w:rPr>
          <w:rFonts w:asciiTheme="minorHAnsi" w:hAnsiTheme="minorHAnsi" w:cstheme="minorHAnsi"/>
        </w:rPr>
        <w:t xml:space="preserve">ezeket a feltételes kötelezőségeket szabályokkal ellenőrizzük, melyek lehetnek a befogadást akadályozó (ún. blokkoló), illetve nem akadályozó (ún. warning) jelzéseket adó szabályok. A warning szabályoknak való megfelelőség biztosítása ugyanúgy kötelező, mint a blokkoló szabályoknak való megfelelőség, kivéve, ha valamely üzleti folyamat miatt indokolható a warning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r w:rsidRPr="000C2023">
        <w:rPr>
          <w:rFonts w:cs="Arial"/>
          <w:b/>
        </w:rPr>
        <w:t>KK</w:t>
      </w:r>
      <w:r w:rsidRPr="000C2023">
        <w:rPr>
          <w:rFonts w:cs="Arial"/>
        </w:rPr>
        <w:t xml:space="preserve"> (követeléskezelés/work-out faktoring), </w:t>
      </w:r>
    </w:p>
    <w:p w14:paraId="14EB331A" w14:textId="77777777" w:rsidR="00B81AA0" w:rsidRPr="000C2023" w:rsidRDefault="008069CB" w:rsidP="00C14714">
      <w:pPr>
        <w:pStyle w:val="Listaszerbekezds"/>
        <w:numPr>
          <w:ilvl w:val="0"/>
          <w:numId w:val="53"/>
        </w:numPr>
        <w:rPr>
          <w:rFonts w:cs="Arial"/>
        </w:rPr>
      </w:pPr>
      <w:r w:rsidRPr="000C2023">
        <w:rPr>
          <w:rFonts w:cs="Arial"/>
          <w:b/>
        </w:rPr>
        <w:t>LIZ</w:t>
      </w:r>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r w:rsidRPr="000C2023">
        <w:rPr>
          <w:rFonts w:cs="Arial"/>
          <w:b/>
        </w:rPr>
        <w:lastRenderedPageBreak/>
        <w:t>FF</w:t>
      </w:r>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r w:rsidRPr="000C2023">
        <w:rPr>
          <w:rFonts w:cs="Arial"/>
          <w:b/>
        </w:rPr>
        <w:t>HNY</w:t>
      </w:r>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A pénzügyi vállalkozások tekintetében a PV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 xml:space="preserve">Az adatmodell „LV_flag” oszlopában jelzettek szerint jelentendők az egyes attribútumok háztartási és vállalati szektor esetén: L flag esetén </w:t>
      </w:r>
      <w:r w:rsidR="007F4F06" w:rsidRPr="000C2023">
        <w:rPr>
          <w:rFonts w:cs="Arial"/>
        </w:rPr>
        <w:t>háztartás</w:t>
      </w:r>
      <w:r w:rsidR="00831C0C" w:rsidRPr="000C2023">
        <w:rPr>
          <w:rFonts w:cs="Arial"/>
        </w:rPr>
        <w:t xml:space="preserve"> (lakosság és önálló vállalkozók)</w:t>
      </w:r>
      <w:r w:rsidRPr="000C2023">
        <w:rPr>
          <w:rFonts w:cs="Arial"/>
        </w:rPr>
        <w:t>, V flag esetén vállalat, V_ÖV flag esetén vállalatok és önálló vállalkozók, LV flag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adósi,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szó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(a továbbiakban: PVOV)</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PVOV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eredeti (a kapcsolódó devizanem mezőben megadott) devizanemben kell jelenteni az adatszolgáltatásban, azaz a külföldi devizanemben rögzített adatokat a rögzített devizanemben, nem pedig forintosítva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A MEGF kódú tábla kitöltésével kapcsolatos előírások</w:t>
      </w:r>
      <w:bookmarkEnd w:id="28"/>
      <w:bookmarkEnd w:id="29"/>
    </w:p>
    <w:p w14:paraId="6B3C5C04" w14:textId="46C6F276" w:rsidR="00486446" w:rsidRPr="000C2023" w:rsidRDefault="00486446" w:rsidP="00C14714">
      <w:r w:rsidRPr="000C2023">
        <w:t>A MEGF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MEGF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(INSTK, INSTR)</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r w:rsidRPr="000C2023">
        <w:rPr>
          <w:b/>
          <w:szCs w:val="22"/>
        </w:rPr>
        <w:t>INSTK-INSTR kapcsolat</w:t>
      </w:r>
      <w:bookmarkEnd w:id="32"/>
      <w:bookmarkEnd w:id="33"/>
    </w:p>
    <w:p w14:paraId="2A0B86F5" w14:textId="4572BDAC" w:rsidR="00A9478C" w:rsidRPr="000C2023" w:rsidRDefault="00A9478C" w:rsidP="00C14714">
      <w:pPr>
        <w:rPr>
          <w:rFonts w:cs="Arial"/>
        </w:rPr>
      </w:pPr>
      <w:r w:rsidRPr="000C2023">
        <w:rPr>
          <w:rFonts w:cs="Arial"/>
        </w:rPr>
        <w:lastRenderedPageBreak/>
        <w:t>A jelentés alapegysége az instrumentum</w:t>
      </w:r>
      <w:r w:rsidR="00765DF6" w:rsidRPr="000C2023">
        <w:rPr>
          <w:rFonts w:cs="Arial"/>
        </w:rPr>
        <w:t>, amelyet/amelyeket két vagy több fél között létrejövő, jogilag kötelező erejű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z INSTK táblában nyitott instrumentum alá az INSTR táblában nyílik instrumentum, amely az INSTR tábla INSTK_AZON mezőjén keresztül kötendő össze (ott jelölve az INSTK táblában nyitott instrumentum azonosítóját). Mivel a keretek a pénzügyi vállalkozások tekintetében nem tartoznak a HITREG megfigyelési körébe, kizárólag FF tevékenység esetén, annak érdekében, hogy a bankcsoportokhoz tartozó PV-k ugyanazt az adatmodellt tudják használni, mint az anyabank, alkalmazható az INSTK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az INSTR táblán belül nyitott instrumentumhoz tartozó másik instrumentum az INSTR tábla SZULO_AZON mezőjén keresztül kötendők össze (az INSTK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lakossági, installment lehetőséget tartalmazó kártyahitelek (a kártyahitel és a kapcsolódó installment az INSTR táblában jelentendő két külön instrumentumként, ahol az installment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INSTK mind az INSTR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Amennyiben az instrumentum a KHR-ben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KHR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KHR azonosító, amely megjelenik a KHR-ben, ez azt jelenti, hogy például, ha egy INSTK táblában nyíló keret szerepel a KHR-ben,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KHR azonosító mind az INSTK táblában, mind pedig valamennyi alá nyíló INSTR instrumentum esetén (ebben az esetben ugyanaz a KHR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KHR azonosító tekintetében az INST_ÜGYF táblában az a KHR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Az INSTK táblában jelentendő adatkörök</w:t>
      </w:r>
      <w:bookmarkEnd w:id="34"/>
      <w:bookmarkEnd w:id="35"/>
    </w:p>
    <w:p w14:paraId="60B25C0C" w14:textId="152050D9" w:rsidR="00D46D44" w:rsidRPr="000C2023" w:rsidRDefault="003B3CF3" w:rsidP="00C14714">
      <w:pPr>
        <w:keepNext/>
        <w:rPr>
          <w:rFonts w:cs="Arial"/>
        </w:rPr>
      </w:pPr>
      <w:r w:rsidRPr="000C2023">
        <w:rPr>
          <w:rFonts w:cs="Arial"/>
        </w:rPr>
        <w:t xml:space="preserve">Az INSTK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w:t>
      </w:r>
      <w:r w:rsidRPr="000C2023">
        <w:rPr>
          <w:rFonts w:cs="Arial"/>
        </w:rPr>
        <w:t xml:space="preserve"> </w:t>
      </w:r>
      <w:r w:rsidR="00D46D44" w:rsidRPr="000C2023">
        <w:rPr>
          <w:rFonts w:cs="Arial"/>
        </w:rPr>
        <w:t xml:space="preserve">Ahogy az az előző pontban már leírásra került, csak abban az esetben kell alkalmazni az INSTK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w:t>
      </w:r>
      <w:r w:rsidR="00EA2A17" w:rsidRPr="000C2023">
        <w:rPr>
          <w:rFonts w:cs="Arial"/>
        </w:rPr>
        <w:lastRenderedPageBreak/>
        <w:t>adósként az INSTK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szerződésazonosító kell legyen, amennyiben az INSTK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„Instrumentum KHR–azonosító”</w:t>
      </w:r>
      <w:r w:rsidRPr="000C2023">
        <w:t xml:space="preserve"> mező akkor és csak akkor töltendő, ha </w:t>
      </w:r>
      <w:r w:rsidRPr="000C2023">
        <w:rPr>
          <w:b/>
          <w:bCs/>
        </w:rPr>
        <w:t xml:space="preserve">„Az instrumentum a KHR-ben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hatályosulási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INSTK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FAKTOR_K (azaz faktoring keret) kódérték alkalmazható, a mezőt mindenképp tölteni kell, ha faktoring keret miatt alkalmazásra kerül az INSTK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INSTK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összevont felügyelet alá tartozó, IFRS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Ebben az esetben kizárólag az INSTK.REND_HKERET_OSSZEG mezőben jelentett le nem hívott hitelkerethez kapcsolódó céltartalék összege jelentendő. Amennyiben nem az INSTK táblában kerül jelentésre a le nem hívott keret, akkor ebben a mezőben nem szerepeltetendő adat, amennyiben megbontásra kerül a le nem hívott keret INSTK és INSTR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13CA6229"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IFRS-ek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w:t>
      </w:r>
      <w:r w:rsidR="00D817BD" w:rsidRPr="000C2023">
        <w:lastRenderedPageBreak/>
        <w:t>arányos rendelkezésre tartási jutalékot az INSTR-ben nyitott instrumentum indulása után is ki kell mutatni az INSTK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2022. június vonatkozási időtől kezdődően az INSTK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FF tevékenységet folytató, az INSTK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r w:rsidRPr="000C2023">
        <w:rPr>
          <w:rFonts w:asciiTheme="minorHAnsi" w:hAnsiTheme="minorHAnsi" w:cstheme="minorHAnsi"/>
        </w:rPr>
        <w:t>NEM_ERT</w:t>
      </w:r>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3B958F42" w:rsidR="00E839C3" w:rsidRPr="000C2023" w:rsidRDefault="00C772E2"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C772E2">
        <w:rPr>
          <w:rFonts w:asciiTheme="minorHAnsi" w:hAnsiTheme="minorHAnsi" w:cstheme="minorHAnsi"/>
        </w:rPr>
        <w:t xml:space="preserve">2025. </w:t>
      </w:r>
      <w:r w:rsidR="008D32C1" w:rsidRPr="008D32C1">
        <w:rPr>
          <w:rFonts w:asciiTheme="minorHAnsi" w:hAnsiTheme="minorHAnsi" w:cstheme="minorHAnsi"/>
        </w:rPr>
        <w:t xml:space="preserve">negyedik negyedévi </w:t>
      </w:r>
      <w:r w:rsidRPr="00C772E2">
        <w:rPr>
          <w:rFonts w:asciiTheme="minorHAnsi" w:hAnsiTheme="minorHAnsi" w:cstheme="minorHAnsi"/>
        </w:rPr>
        <w:t>vonatkozási időszaktól kezdődően jelentendő hitelkeretek</w:t>
      </w:r>
      <w:r w:rsidR="008D32C1">
        <w:rPr>
          <w:rFonts w:asciiTheme="minorHAnsi" w:hAnsiTheme="minorHAnsi" w:cstheme="minorHAnsi"/>
        </w:rPr>
        <w:t xml:space="preserve"> </w:t>
      </w:r>
      <w:r w:rsidRPr="00C772E2">
        <w:rPr>
          <w:rFonts w:asciiTheme="minorHAnsi" w:hAnsiTheme="minorHAnsi" w:cstheme="minorHAnsi"/>
        </w:rPr>
        <w:t>esetén az az információ, hogy „</w:t>
      </w:r>
      <w:r w:rsidRPr="008D32C1">
        <w:rPr>
          <w:rFonts w:asciiTheme="minorHAnsi" w:hAnsiTheme="minorHAnsi" w:cstheme="minorHAnsi"/>
          <w:b/>
          <w:bCs/>
        </w:rPr>
        <w:t>A keret rulírozó-e</w:t>
      </w:r>
      <w:r w:rsidRPr="00C772E2">
        <w:rPr>
          <w:rFonts w:asciiTheme="minorHAnsi" w:hAnsiTheme="minorHAnsi" w:cstheme="minorHAnsi"/>
        </w:rPr>
        <w:t>”, azaz a visszafizetett összeg újra lehívható-e a kereten belül, a szerződésben meghatározott feltételek szerint és „</w:t>
      </w:r>
      <w:r w:rsidRPr="008D32C1">
        <w:rPr>
          <w:rFonts w:asciiTheme="minorHAnsi" w:hAnsiTheme="minorHAnsi" w:cstheme="minorHAnsi"/>
          <w:b/>
          <w:bCs/>
        </w:rPr>
        <w:t>A keret feltétel nélkül megszüntethető-e?</w:t>
      </w:r>
      <w:r w:rsidRPr="00C772E2">
        <w:rPr>
          <w:rFonts w:asciiTheme="minorHAnsi" w:hAnsiTheme="minorHAnsi" w:cstheme="minorHAnsi"/>
        </w:rPr>
        <w:t>”, azaz bármikor, előzetes értesítés és indoklás nélkül felmondható-e.</w:t>
      </w:r>
      <w:r w:rsidR="00A24EA2" w:rsidRPr="00A24EA2">
        <w:t xml:space="preserve"> </w:t>
      </w:r>
      <w:r w:rsidR="00A24EA2">
        <w:t xml:space="preserve">A mezőket az </w:t>
      </w:r>
      <w:r w:rsidR="00A24EA2" w:rsidRPr="00A24EA2">
        <w:rPr>
          <w:rFonts w:asciiTheme="minorHAnsi" w:hAnsiTheme="minorHAnsi" w:cstheme="minorHAnsi"/>
        </w:rPr>
        <w:t>FF tevékenységet folytató, az INSTK táblát alkalmazó pénzügyi vállalkozások</w:t>
      </w:r>
      <w:r w:rsidR="00A24EA2">
        <w:rPr>
          <w:rFonts w:asciiTheme="minorHAnsi" w:hAnsiTheme="minorHAnsi" w:cstheme="minorHAnsi"/>
        </w:rPr>
        <w:t xml:space="preserve">nak szükséges </w:t>
      </w:r>
      <w:r w:rsidR="00DF4851">
        <w:rPr>
          <w:rFonts w:asciiTheme="minorHAnsi" w:hAnsiTheme="minorHAnsi" w:cstheme="minorHAnsi"/>
        </w:rPr>
        <w:t>jelenteni</w:t>
      </w:r>
      <w:r w:rsidR="00A24EA2">
        <w:rPr>
          <w:rFonts w:asciiTheme="minorHAnsi" w:hAnsiTheme="minorHAnsi" w:cstheme="minorHAnsi"/>
        </w:rPr>
        <w:t>.</w:t>
      </w:r>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69E4494B"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„snapshot”-jellegű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r w:rsidRPr="0098078E">
        <w:rPr>
          <w:rFonts w:cs="Arial"/>
          <w:b/>
        </w:rPr>
        <w:t>JTM</w:t>
      </w:r>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„Instrumentum KHR azonosító</w:t>
      </w:r>
      <w:r w:rsidRPr="000C2023">
        <w:rPr>
          <w:rFonts w:cs="Arial"/>
        </w:rPr>
        <w:t xml:space="preserve">” mező akkor és csak akkor töltendő, ha az </w:t>
      </w:r>
      <w:r w:rsidRPr="000C2023">
        <w:rPr>
          <w:rFonts w:cs="Arial"/>
          <w:b/>
          <w:bCs/>
        </w:rPr>
        <w:t>„Az instrumentum a KHR-ben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Az INSTK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w:t>
      </w:r>
      <w:r w:rsidRPr="000C2023">
        <w:rPr>
          <w:rFonts w:cs="Arial"/>
        </w:rPr>
        <w:lastRenderedPageBreak/>
        <w:t xml:space="preserve">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KK tevékenység esetén </w:t>
      </w:r>
      <w:r w:rsidR="008242F6" w:rsidRPr="000C2023">
        <w:rPr>
          <w:rFonts w:cs="Arial"/>
        </w:rPr>
        <w:t>’</w:t>
      </w:r>
      <w:r w:rsidRPr="000C2023">
        <w:rPr>
          <w:rFonts w:cs="Arial"/>
        </w:rPr>
        <w:t>WO_FAKT</w:t>
      </w:r>
      <w:r w:rsidR="008242F6" w:rsidRPr="000C2023">
        <w:rPr>
          <w:rFonts w:cs="Arial"/>
        </w:rPr>
        <w:t>’</w:t>
      </w:r>
      <w:r w:rsidRPr="000C2023">
        <w:rPr>
          <w:rFonts w:cs="Arial"/>
        </w:rPr>
        <w:t xml:space="preserve"> (work-out faktoringgal), FF tevékenység esetén </w:t>
      </w:r>
      <w:r w:rsidR="00E957B1" w:rsidRPr="000C2023">
        <w:rPr>
          <w:rFonts w:cs="Arial"/>
        </w:rPr>
        <w:t>’</w:t>
      </w:r>
      <w:r w:rsidRPr="000C2023">
        <w:rPr>
          <w:rFonts w:cs="Arial"/>
        </w:rPr>
        <w:t>FO_FAKT</w:t>
      </w:r>
      <w:r w:rsidR="00E957B1" w:rsidRPr="000C2023">
        <w:rPr>
          <w:rFonts w:cs="Arial"/>
        </w:rPr>
        <w:t>’</w:t>
      </w:r>
      <w:r w:rsidRPr="000C2023">
        <w:rPr>
          <w:rFonts w:cs="Arial"/>
        </w:rPr>
        <w:t xml:space="preserve"> (folyó faktoring ügylettel), LIZ</w:t>
      </w:r>
      <w:r w:rsidR="00561F95" w:rsidRPr="000C2023">
        <w:rPr>
          <w:rFonts w:cs="Arial"/>
        </w:rPr>
        <w:t xml:space="preserve"> és HNY</w:t>
      </w:r>
      <w:r w:rsidRPr="000C2023">
        <w:rPr>
          <w:rFonts w:cs="Arial"/>
        </w:rPr>
        <w:t xml:space="preserve"> tevé</w:t>
      </w:r>
      <w:r w:rsidR="00561F95" w:rsidRPr="000C2023">
        <w:rPr>
          <w:rFonts w:cs="Arial"/>
        </w:rPr>
        <w:t xml:space="preserve">kenység esetén </w:t>
      </w:r>
      <w:r w:rsidR="00D06377" w:rsidRPr="000C2023">
        <w:rPr>
          <w:rFonts w:cs="Arial"/>
        </w:rPr>
        <w:t>’</w:t>
      </w:r>
      <w:r w:rsidR="00561F95" w:rsidRPr="000C2023">
        <w:rPr>
          <w:rFonts w:cs="Arial"/>
        </w:rPr>
        <w:t>UJ_SZERZ</w:t>
      </w:r>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HKIV tábla töltendő. Ha több, akkor a kiváltó instrumentumnál a hitelkiváltás</w:t>
      </w:r>
      <w:r w:rsidR="007F27C0" w:rsidRPr="000C2023">
        <w:t>/átstrukturálás</w:t>
      </w:r>
      <w:r w:rsidR="004B6EEC" w:rsidRPr="000C2023">
        <w:t xml:space="preserve">, az újonnan képzett instrumentum(ok)nál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r w:rsidR="007F27C0" w:rsidRPr="000C2023">
        <w:t xml:space="preserve">FF tevékenység esetén </w:t>
      </w:r>
      <w:r w:rsidR="007F27C0" w:rsidRPr="000C2023">
        <w:rPr>
          <w:rFonts w:cs="Arial"/>
        </w:rPr>
        <w:t xml:space="preserve">’FO_FAKT’, KK tevékenység esetén </w:t>
      </w:r>
      <w:r w:rsidR="00AA7A35" w:rsidRPr="000C2023">
        <w:rPr>
          <w:rFonts w:cs="Arial"/>
        </w:rPr>
        <w:t xml:space="preserve">pedig </w:t>
      </w:r>
      <w:r w:rsidR="007F27C0" w:rsidRPr="000C2023">
        <w:rPr>
          <w:rFonts w:cs="Arial"/>
        </w:rPr>
        <w:t>’WO_FAKT’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Lakossági ügyletek keletkezési módja tekintetében elsődleges szempont a HKIV hitelösszeg növekszik/nem növekszik keletkezési mód alkalmazása, amely a JTM számítással indokolható. Vállalati oldalon elsődleges szempont a keletkezési mód meghatározásakor, hogy átstrukturált-e a hitel. Ha nem, akkor nincs nagy jelentősége a keletkezési módnak. Viszont hitelkiváltás keletkezési mód esetén a HKIV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az OSSZ_BEOLV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az az időpont jelentendő, amikor a szerződéses megállapodás valamennyi szerződő fél számára kötelezővé vált. Hatályosulási feltételek esetén a két mező értéke eltér, az instrumentum indulásának időpontjaként a hatályosulási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INSTK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INSTK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ha nem nyílik alkeret, hanem a konkrét folyósítás keletkeztet INSTR instrumentumot, akkor a folyósítás időpontja. Ebben az esetben az indulás időpontja, az elszámolás napja és a FOLY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FOLY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lastRenderedPageBreak/>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r w:rsidRPr="000C2023">
        <w:rPr>
          <w:rFonts w:eastAsia="Times New Roman"/>
        </w:rPr>
        <w:t>INSTK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INSTM táblánál leírtak szerint).</w:t>
      </w:r>
    </w:p>
    <w:p w14:paraId="2F736DC0" w14:textId="58A70028" w:rsidR="00781713" w:rsidRPr="000C2023" w:rsidRDefault="00781713" w:rsidP="00C14714">
      <w:pPr>
        <w:rPr>
          <w:rFonts w:cs="Arial"/>
        </w:rPr>
      </w:pPr>
      <w:r w:rsidRPr="000C2023">
        <w:rPr>
          <w:rFonts w:cs="Arial"/>
        </w:rPr>
        <w:t>KK tevékenység esetén a „Szerződéskötés napja” mezőben ingatlannal fedezett instrumentumok esetén az eredeti szerződéskötés napja jelentendő, amennyiben nem áll rendelkezésre akkor a KHR-ben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499652AF"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2E6BDD" w:rsidRPr="000C2023">
        <w:rPr>
          <w:rFonts w:eastAsia="Times New Roman" w:cs="Times New Roman"/>
        </w:rPr>
        <w:t>KK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r w:rsidRPr="000C2023">
        <w:rPr>
          <w:rFonts w:eastAsia="Times New Roman" w:cs="Times New Roman"/>
        </w:rPr>
        <w:t>KK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KHR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KK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/visszavásárolt</w:t>
      </w:r>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lastRenderedPageBreak/>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amennyiben nem PVOV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flag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r w:rsidRPr="000C2023">
        <w:rPr>
          <w:rFonts w:cs="Arial"/>
        </w:rPr>
        <w:t xml:space="preserve">flag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flag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Amennyiben az átstrukturálás következtében új szerződés jön létre, a HKIV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r>
        <w:rPr>
          <w:rFonts w:asciiTheme="minorHAnsi" w:hAnsiTheme="minorHAnsi" w:cstheme="minorHAnsi"/>
        </w:rPr>
        <w:t xml:space="preserve">PVOV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Az új ’I_2’ kódérték csak PVOV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’HITKIVALT_MAS_N’ vagy ’HITKIVALT_SAJAT_N’ értéket kell felvegyen)</w:t>
      </w:r>
      <w:r w:rsidR="00DE441B" w:rsidRPr="000C2023">
        <w:rPr>
          <w:rFonts w:cs="Arial"/>
        </w:rPr>
        <w:t>, a JTM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w:t>
      </w:r>
      <w:r w:rsidR="003444D1" w:rsidRPr="000C2023">
        <w:rPr>
          <w:rFonts w:cs="Arial"/>
        </w:rPr>
        <w:lastRenderedPageBreak/>
        <w:t>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hitel(ekből) új hitel(ek) jönnek létre nem jogfolytonos módon.</w:t>
      </w:r>
    </w:p>
    <w:p w14:paraId="5F3F1FD6" w14:textId="20BB066C" w:rsidR="00C328FF" w:rsidRPr="000C2023" w:rsidRDefault="004C5A40" w:rsidP="00C14714">
      <w:pPr>
        <w:rPr>
          <w:rFonts w:cs="Arial"/>
        </w:rPr>
      </w:pPr>
      <w:r w:rsidRPr="000C2023">
        <w:rPr>
          <w:rFonts w:cs="Arial"/>
        </w:rPr>
        <w:t>A keletkezés módjánál megfelelő hitelkiváltás kódot kell megjelölni, mivel a keletkezés módjánál a JTM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(1)/b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IFRS 9 standard alkalmazásában a makrogazdasági információk felhasználásáról és a hitelkockázat jelentős növekedését jelző tényezőkről”-ben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Az átvett/megvásárolt követelések az eredeti instrumentum típuson jelentendők, azaz KK tevékenység esetén pl</w:t>
      </w:r>
      <w:r w:rsidR="00480FED" w:rsidRPr="000C2023">
        <w:rPr>
          <w:rFonts w:cs="Arial"/>
        </w:rPr>
        <w:t>.</w:t>
      </w:r>
      <w:r w:rsidR="001405AC" w:rsidRPr="000C2023">
        <w:rPr>
          <w:rFonts w:cs="Arial"/>
        </w:rPr>
        <w:t xml:space="preserve"> hitelintézettől megvásárolt lakáshitelek lakáshitelként jelentendők. FF tevékenység esetén FAKTORING instrumentum típus</w:t>
      </w:r>
      <w:r w:rsidR="005628DE" w:rsidRPr="000C2023">
        <w:rPr>
          <w:rFonts w:cs="Arial"/>
        </w:rPr>
        <w:t>, LIZ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r w:rsidRPr="000C2023">
        <w:rPr>
          <w:rFonts w:cs="Arial"/>
        </w:rPr>
        <w:t>LAKAS_HIT/LAKAS_LIZ: lakossági lakáscélú hitel/lakáslízing,</w:t>
      </w:r>
    </w:p>
    <w:p w14:paraId="2410F5FA" w14:textId="6C8E2E06" w:rsidR="005628DE" w:rsidRPr="000C2023" w:rsidRDefault="005628DE" w:rsidP="00C14714">
      <w:pPr>
        <w:pStyle w:val="Listaszerbekezds"/>
        <w:numPr>
          <w:ilvl w:val="0"/>
          <w:numId w:val="27"/>
        </w:numPr>
        <w:rPr>
          <w:rFonts w:cs="Arial"/>
        </w:rPr>
      </w:pPr>
      <w:r w:rsidRPr="000C2023">
        <w:rPr>
          <w:rFonts w:cs="Arial"/>
        </w:rPr>
        <w:t>ING_HIT/ING_LIZ: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r w:rsidRPr="000C2023">
        <w:rPr>
          <w:rFonts w:cs="Arial"/>
        </w:rPr>
        <w:t>JARMU_VAS/</w:t>
      </w:r>
      <w:r w:rsidR="00597288" w:rsidRPr="000C2023">
        <w:rPr>
          <w:rFonts w:cs="Arial"/>
        </w:rPr>
        <w:t>SZEM_</w:t>
      </w:r>
      <w:r w:rsidR="002F1D71" w:rsidRPr="000C2023">
        <w:rPr>
          <w:rFonts w:cs="Arial"/>
        </w:rPr>
        <w:t>KIS</w:t>
      </w:r>
      <w:r w:rsidR="00597288" w:rsidRPr="000C2023">
        <w:rPr>
          <w:rFonts w:cs="Arial"/>
        </w:rPr>
        <w:t>_LIZ</w:t>
      </w:r>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r w:rsidRPr="000C2023">
        <w:rPr>
          <w:rFonts w:cs="Arial"/>
        </w:rPr>
        <w:t>GEPJ_HIT/</w:t>
      </w:r>
      <w:r w:rsidR="00597288" w:rsidRPr="000C2023">
        <w:rPr>
          <w:rFonts w:cs="Arial"/>
        </w:rPr>
        <w:t>SZEM_</w:t>
      </w:r>
      <w:r w:rsidR="002F1D71" w:rsidRPr="000C2023">
        <w:rPr>
          <w:rFonts w:cs="Arial"/>
        </w:rPr>
        <w:t>KIS</w:t>
      </w:r>
      <w:r w:rsidR="00597288" w:rsidRPr="000C2023">
        <w:rPr>
          <w:rFonts w:cs="Arial"/>
        </w:rPr>
        <w:t>_LIZ/FLOTTA_LIZ/TGPK_LIZ/MZG_GEP_LIZ</w:t>
      </w:r>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r w:rsidRPr="000C2023">
        <w:rPr>
          <w:rFonts w:cs="Arial"/>
        </w:rPr>
        <w:t>EGYEB_HIT/</w:t>
      </w:r>
      <w:r w:rsidR="00597288" w:rsidRPr="000C2023">
        <w:rPr>
          <w:rFonts w:cs="Arial"/>
        </w:rPr>
        <w:t>EPITOGEP_LIZ/IT_LIZ/</w:t>
      </w:r>
      <w:r w:rsidRPr="000C2023">
        <w:rPr>
          <w:rFonts w:cs="Arial"/>
        </w:rPr>
        <w:t>EGYEB_LIZ: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HNY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lastRenderedPageBreak/>
        <w:t>A</w:t>
      </w:r>
      <w:r w:rsidR="00F32DF4" w:rsidRPr="000C2023">
        <w:rPr>
          <w:rFonts w:cs="Arial"/>
        </w:rPr>
        <w:t xml:space="preserve"> gépjármű finanszírozási hitelek</w:t>
      </w:r>
      <w:r w:rsidR="00641794" w:rsidRPr="000C2023">
        <w:rPr>
          <w:rFonts w:cs="Arial"/>
        </w:rPr>
        <w:t xml:space="preserve"> és lízingek tekintetében a gépjárműveket a KHR-vel összhangban a következőképpen értelmezzük: </w:t>
      </w:r>
      <w:r w:rsidR="00952EAF" w:rsidRPr="000C2023">
        <w:rPr>
          <w:rFonts w:cs="Arial"/>
        </w:rPr>
        <w:t xml:space="preserve">az </w:t>
      </w:r>
      <w:r w:rsidR="00952EAF" w:rsidRPr="000C2023">
        <w:t>1/1975. (II. 5.) KPM–BM együttes rendelet 1. számú Függelékében gépjárműként és pótkocsiként definiált fogalom</w:t>
      </w:r>
      <w:r w:rsidR="00952EAF" w:rsidRPr="000C2023">
        <w:rPr>
          <w:rStyle w:val="Lbjegyzet-hivatkozs"/>
        </w:rPr>
        <w:footnoteReference w:id="3"/>
      </w:r>
      <w:r w:rsidR="00952EAF" w:rsidRPr="000C2023">
        <w:t>.</w:t>
      </w:r>
    </w:p>
    <w:p w14:paraId="52544D44" w14:textId="77777777" w:rsidR="004B57BE" w:rsidRPr="000C2023" w:rsidRDefault="004B57BE" w:rsidP="00C14714">
      <w:pPr>
        <w:rPr>
          <w:rFonts w:cs="Arial"/>
        </w:rPr>
      </w:pPr>
      <w:r w:rsidRPr="000C2023">
        <w:rPr>
          <w:rFonts w:cs="Arial"/>
        </w:rPr>
        <w:t>Amennyiben ingatlancélú hitelről van szó, akkor alkalmazandók az ING_HIT és ING_LIZ kódértékek (illetve lakosság esetén lakóingatlan finanszírozásnál a LAKAS_HIT és LAKAS_LIZ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tartottá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r w:rsidRPr="000C2023">
              <w:rPr>
                <w:rFonts w:eastAsia="Times New Roman" w:cs="Calibri"/>
              </w:rPr>
              <w:t>EGYEB</w:t>
            </w:r>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r w:rsidRPr="000C2023">
              <w:rPr>
                <w:rFonts w:eastAsia="Times New Roman" w:cs="Calibri"/>
              </w:rPr>
              <w:t>ELEKTR</w:t>
            </w:r>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r w:rsidRPr="000C2023">
              <w:rPr>
                <w:rFonts w:eastAsia="Times New Roman" w:cs="Calibri"/>
              </w:rPr>
              <w:t>FIOK</w:t>
            </w:r>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r w:rsidRPr="000C2023">
              <w:rPr>
                <w:rFonts w:eastAsia="Times New Roman" w:cs="Calibri"/>
              </w:rPr>
              <w:t>UGYNOK</w:t>
            </w:r>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75DCA047" w:rsidR="00C14A56" w:rsidRPr="000C2023" w:rsidRDefault="009F2984" w:rsidP="00C14714">
      <w:pPr>
        <w:ind w:left="360"/>
        <w:rPr>
          <w:rFonts w:cs="Arial"/>
        </w:rPr>
      </w:pP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2BFDC26C" w:rsidR="009F2984" w:rsidRPr="000C2023" w:rsidRDefault="009F2984" w:rsidP="00C14714">
      <w:pPr>
        <w:ind w:left="360"/>
        <w:rPr>
          <w:rFonts w:cs="Arial"/>
        </w:rPr>
      </w:pPr>
      <w:r w:rsidRPr="000C2023">
        <w:rPr>
          <w:rFonts w:cs="Arial"/>
          <w:b/>
        </w:rPr>
        <w:lastRenderedPageBreak/>
        <w:t xml:space="preserve">digitálisan értékesített: </w:t>
      </w:r>
      <w:r w:rsidRPr="000C2023">
        <w:rPr>
          <w:rFonts w:cs="Arial"/>
        </w:rPr>
        <w:t>A teljes hitelfelvételi folyamat online módon zajlik, end-to-end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4118822D" w:rsidR="005214D6" w:rsidRPr="000C2023" w:rsidRDefault="009F2984" w:rsidP="00C14714">
      <w:pPr>
        <w:rPr>
          <w:rFonts w:cs="Arial"/>
        </w:rPr>
      </w:pPr>
      <w:r w:rsidRPr="000C2023">
        <w:rPr>
          <w:rFonts w:cs="Arial"/>
        </w:rPr>
        <w:lastRenderedPageBreak/>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KK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(HNY tevékenység)</w:t>
      </w:r>
      <w:r w:rsidR="008276A9" w:rsidRPr="000C2023">
        <w:rPr>
          <w:rFonts w:cs="Arial"/>
        </w:rPr>
        <w:t xml:space="preserve">. Ezen kívül faktoring ügyletek </w:t>
      </w:r>
      <w:r w:rsidR="00636F9B" w:rsidRPr="000C2023">
        <w:rPr>
          <w:rFonts w:cs="Arial"/>
        </w:rPr>
        <w:t xml:space="preserve">(FF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r w:rsidRPr="000C2023">
        <w:rPr>
          <w:rFonts w:cs="Arial"/>
        </w:rPr>
        <w:t>FF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6446C320"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('MUKTOKE’)</w:t>
      </w:r>
      <w:r w:rsidRPr="000C2023">
        <w:rPr>
          <w:rFonts w:cs="Arial"/>
        </w:rPr>
        <w:t xml:space="preserve"> nem használható</w:t>
      </w:r>
      <w:r w:rsidR="009A0ACC" w:rsidRPr="000C2023">
        <w:rPr>
          <w:rFonts w:cs="Arial"/>
        </w:rPr>
        <w:t>. 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HNY </w:t>
      </w:r>
      <w:r w:rsidR="00D66EC1" w:rsidRPr="000C2023">
        <w:rPr>
          <w:rFonts w:cs="Arial"/>
        </w:rPr>
        <w:t>és LIZ</w:t>
      </w:r>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FEDE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r w:rsidR="00176586" w:rsidRPr="000C2023">
        <w:rPr>
          <w:rFonts w:cs="Arial"/>
        </w:rPr>
        <w:t>ING_LAKO</w:t>
      </w:r>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r w:rsidR="00176586" w:rsidRPr="000C2023">
        <w:rPr>
          <w:rFonts w:cs="Arial"/>
        </w:rPr>
        <w:t>ING_IRODA</w:t>
      </w:r>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r w:rsidR="00100EA2" w:rsidRPr="000C2023">
        <w:rPr>
          <w:rFonts w:cs="Arial"/>
        </w:rPr>
        <w:t>ING_KER</w:t>
      </w:r>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CRR-ben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w:t>
      </w:r>
      <w:r w:rsidR="00137FB5" w:rsidRPr="00137FB5">
        <w:rPr>
          <w:rFonts w:cs="Arial"/>
        </w:rPr>
        <w:lastRenderedPageBreak/>
        <w:t>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aszerbekezds"/>
        <w:numPr>
          <w:ilvl w:val="0"/>
          <w:numId w:val="0"/>
        </w:numPr>
        <w:spacing w:after="0"/>
        <w:ind w:left="426"/>
      </w:pPr>
      <w:r>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’LAKO_EP_ALATT’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’LAKO_EP_ALATT’ kódértéket kell használni. Mivel a COREP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1A621A9B"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 xml:space="preserve">(flag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A törlesztő-részlet biztosítás inkább a lakossági hitelezésben jellemző, vállalati hiteleknél amennyiben a hitelvédelmi biztosítás, mint intézményi garancia van nyilvántartva, akkor azt garanciaként is jelenteni kell (’GAR_EGYEB’ kódon), és jelenteni is szükséges a hitelvédelmi biztosítás meglétét (flag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A mező értékétől függetlenül az instrumentumhoz kapcsolódó fedezetek az általános szabályok szerint teljes körűen szerepeltetendők az adatmodellben.</w:t>
      </w:r>
      <w:r w:rsidR="008E76A7" w:rsidRPr="000C2023">
        <w:rPr>
          <w:rFonts w:cs="Arial"/>
        </w:rPr>
        <w:t xml:space="preserve"> </w:t>
      </w:r>
      <w:r w:rsidR="008E76A7" w:rsidRPr="000C2023">
        <w:rPr>
          <w:rFonts w:cs="Times New Roman"/>
        </w:rPr>
        <w:t>A KHR-ben a hitelvédelmi biztosítás meglétét a szerződéstípus kiegészítés mezőben kell jelenteni. Amennyiben ott BIZT kódérték kerül jelentésre, akkor a HITREG-ben a hitelvédelmi biztosítás flage értéke „igen” és/vagy a kombinált hitel flag értéke „igen” kell legyen. Amennyiben a KHR szerződéstípus kiegészítés mezőben jelentett érték PGAR vagy AGAR, (pénzintézeti vagy állami garancia), a HITREG-ben a hitelvédelmi biztosítás flag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 xml:space="preserve">aktoring ügylethez kapcsolódó biztosítási kötvényt egyéb fedezetként között kérjük kimutatni, de hitelvédelmi biztosításként nem kell jelenteni (flag értéke ’N’). </w:t>
      </w:r>
    </w:p>
    <w:p w14:paraId="5E658A2B" w14:textId="00CF08EF" w:rsidR="00155BB5" w:rsidRPr="000C2023" w:rsidRDefault="00901FA5" w:rsidP="008F18E5">
      <w:pPr>
        <w:rPr>
          <w:rFonts w:eastAsia="Times New Roman"/>
        </w:rPr>
      </w:pPr>
      <w:r>
        <w:rPr>
          <w:rFonts w:asciiTheme="minorHAnsi" w:hAnsiTheme="minorHAnsi" w:cs="Arial"/>
          <w:b/>
        </w:rPr>
        <w:t>„</w:t>
      </w:r>
      <w:r w:rsidR="005B58C3" w:rsidRPr="000C2023" w:rsidDel="00CC55F3">
        <w:rPr>
          <w:rFonts w:asciiTheme="minorHAnsi" w:hAnsiTheme="minorHAnsi" w:cs="Arial"/>
          <w:b/>
        </w:rPr>
        <w:t>Az instrumentum</w:t>
      </w:r>
      <w:r w:rsidR="00907381" w:rsidRPr="000C2023" w:rsidDel="00CC55F3">
        <w:rPr>
          <w:rFonts w:asciiTheme="minorHAnsi" w:hAnsiTheme="minorHAnsi" w:cs="Arial"/>
          <w:b/>
        </w:rPr>
        <w:t xml:space="preserve"> fedezett</w:t>
      </w:r>
      <w:r w:rsidR="005B58C3"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21966E1A"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w:t>
      </w:r>
      <w:r w:rsidRPr="006565B6">
        <w:rPr>
          <w:rFonts w:asciiTheme="minorHAnsi" w:hAnsiTheme="minorHAnsi" w:cstheme="minorHAnsi"/>
        </w:rPr>
        <w:lastRenderedPageBreak/>
        <w:t xml:space="preserve">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NHP Fix konstrukciójú hitelek folyósítása felfüggesztésre került, de ha kiváltó hitelt nyújt a </w:t>
      </w:r>
      <w:r w:rsidR="004D05FA" w:rsidRPr="000C2023">
        <w:t xml:space="preserve">pénzügyi vállalkozás </w:t>
      </w:r>
      <w:r w:rsidRPr="000C2023">
        <w:t>korábban nyújtott NHP Fix hitelre, az is NHP Fixként jelentendő.</w:t>
      </w:r>
      <w:r w:rsidR="00A14ED0">
        <w:t xml:space="preserve"> </w:t>
      </w:r>
      <w:r w:rsidR="00A14ED0">
        <w:rPr>
          <w:rFonts w:asciiTheme="minorHAnsi" w:hAnsiTheme="minorHAnsi" w:cstheme="minorHAnsi"/>
        </w:rPr>
        <w:t>A ’DOLG’ kódérték a a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r w:rsidR="00CB3E5F" w:rsidRPr="009752A2">
        <w:rPr>
          <w:rFonts w:asciiTheme="minorHAnsi" w:hAnsiTheme="minorHAnsi" w:cstheme="minorHAnsi"/>
        </w:rPr>
        <w:t>TAM_SZBHM</w:t>
      </w:r>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’TAM_SZBHM’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’TAM_ELOLEG’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r w:rsidR="00BA633E" w:rsidRPr="000C2023">
        <w:rPr>
          <w:rFonts w:cs="Arial"/>
        </w:rPr>
        <w:t>THM</w:t>
      </w:r>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LIZ és HNY tevékenységek esetén jelentendők, FF tevékenység esetén csak a kamatozásra/törlesztésre vonatkozó mezők egy szűk része jelentendő (az adatmodellben jelzettek szerint), míg KK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A THM mezőben a szerződésben szereplő THM értéket kell feltüntetni a teljes hiteldíj mutató meghatározásáról, számításáról és közzétételéről szóló 83/2010. (III. 25.) Korm. rendelet (THM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THM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Amennyiben egy INSTR instrumentum alatt két, vagy több folyósítás ügyleti kamatai eltérőek, akkor az adott INSTR instrumentumhoz az egyes folyósítások kamatainak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lastRenderedPageBreak/>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r w:rsidRPr="000C2023">
        <w:t>NK</w:t>
      </w:r>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370B46DE"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w:t>
      </w:r>
      <w:r w:rsidR="00F56DFA">
        <w:t xml:space="preserve"> </w:t>
      </w:r>
      <w:r w:rsidR="00153049">
        <w:rPr>
          <w:rFonts w:asciiTheme="minorHAnsi" w:hAnsiTheme="minorHAnsi" w:cstheme="minorHAnsi"/>
        </w:rPr>
        <w:t>(kivéve az államilag támogatott hiteleket, amelyek az árazás alapját képező referenciakamattal jelentendők)</w:t>
      </w:r>
      <w:r w:rsidRPr="000C2023">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r>
        <w:rPr>
          <w:rFonts w:asciiTheme="minorHAnsi" w:hAnsiTheme="minorHAnsi" w:cs="Arial"/>
        </w:rPr>
        <w:t>PVOV</w:t>
      </w:r>
      <w:r>
        <w:rPr>
          <w:rFonts w:asciiTheme="minorHAnsi" w:hAnsiTheme="minorHAnsi"/>
        </w:rPr>
        <w:t xml:space="preserve"> esetén jelentendő LIZ és HNY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RV</w:t>
      </w:r>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ha a kamatozas módja mező értéke 'VK',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ha a kamatozas módja mező értéke 'RV',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RV kódérték esetén a referenciakamat nem lehet AKK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’FK’ és ’NK’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r>
        <w:rPr>
          <w:rFonts w:asciiTheme="minorHAnsi" w:hAnsiTheme="minorHAnsi" w:cstheme="minorHAnsi"/>
        </w:rPr>
        <w:t>AKK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w:t>
      </w:r>
      <w:r w:rsidRPr="00070A5E">
        <w:rPr>
          <w:rFonts w:asciiTheme="minorHAnsi" w:hAnsiTheme="minorHAnsi" w:cstheme="minorHAnsi"/>
        </w:rPr>
        <w:lastRenderedPageBreak/>
        <w:t>lakáslízing, személyi hitel, szabadfelhasználású jelzáloghitel, gépjárművásárlási hitel/lízing, áruvásárlási hitel, lombardhitel, installmentes hitel, egyéb fogyasztási hitel, egyéb hitel/lízing, záloghitel, ingatlanvásárlási hitel/lízing ('LAKAS_HIT','LAKAS_LIZ','SZEM_HIT','SZABFEL','JARMU_VAS','JARMU_LIZ','ARU_HIT','LOMB_HIT','KART_HIT','EGYEB_FHIT','EGYEB_HIT','EGYEB_LIZ','ZALOG_HIT','ING_HIT', 'ING_LIZ') esetén vizsgálandók fentiek (babaváró hitelek esetén nem jelentendők a mutatók). A kamatváltoztatási/kamatfelár-változtatási mutatók a 2015.02.01. után induló szerződések esetén jelentendők fenti szűkítések figyelembe vételével</w:t>
      </w:r>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r w:rsidR="00E15C72">
        <w:rPr>
          <w:rFonts w:asciiTheme="minorHAnsi" w:hAnsiTheme="minorHAnsi" w:cs="Arial"/>
        </w:rPr>
        <w:t>PVOV</w:t>
      </w:r>
      <w:r>
        <w:rPr>
          <w:rFonts w:asciiTheme="minorHAnsi" w:hAnsiTheme="minorHAnsi"/>
        </w:rPr>
        <w:t xml:space="preserve"> esetén jelentendők LIZ és HNY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átárazódás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Kamat átárazódás időpontjaként az az időpont jelentendő, amikor a kamat legközelebb változni fog. Referencia kamatlábhoz kötött termékek esetén az az időpont jelentendő, amikor a báziskamat legközelebb változni fog, nem referencia kamathoz kötött ügyletek esetében a kamat átárazódásának időpontja fix kamatozású hitelek esetén megegyezik a lejárat dátumával, változó kamatozású, nem referencia kamathoz kötött hitelek esetén pedig a legjobb becslést kell alkalmazni. Amennyiben nem kamatozó kártyahitelről van szó, a következő átárazódás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mezők jelentendők minden olyan balloon / bullet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 xml:space="preserve">A mezőkben a szerződés megkötésének időpontjában </w:t>
      </w:r>
      <w:r w:rsidR="00631DD9" w:rsidRPr="00631DD9">
        <w:rPr>
          <w:rFonts w:eastAsia="Times New Roman"/>
        </w:rPr>
        <w:lastRenderedPageBreak/>
        <w:t>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r w:rsidRPr="000C2023">
        <w:rPr>
          <w:rFonts w:asciiTheme="minorHAnsi" w:hAnsiTheme="minorHAnsi" w:cstheme="minorHAnsi"/>
          <w:b/>
          <w:iCs/>
        </w:rPr>
        <w:t>Balloon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éven túli hitelkonstrukció, melynek jellemzője a viszonylag hosszú türelmi idő, amikor a türelmi idő lejártát követően a hitelfelvevő jellemzően alacsony tőkeösszegeket törleszt, döntően csak a kamatot és díjakat fizeti, és a tőketörlesztés legalább 60%-a a futamidő utolsó 20%-ában,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r w:rsidRPr="000C2023">
        <w:rPr>
          <w:rFonts w:asciiTheme="minorHAnsi" w:hAnsiTheme="minorHAnsi" w:cstheme="minorHAnsi"/>
          <w:b/>
          <w:iCs/>
        </w:rPr>
        <w:t>Bullet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Nyílt végű pénzügyi lízing esetén azzal a feltételezéssel kell megállapítani a balloon/bullett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67F16735" w:rsidR="00C40AB9" w:rsidRPr="000C2023" w:rsidRDefault="00F41100" w:rsidP="00C14714">
      <w:r w:rsidRPr="000C2023">
        <w:t xml:space="preserve">A </w:t>
      </w:r>
      <w:r w:rsidR="0065651A" w:rsidRPr="000C2023">
        <w:rPr>
          <w:b/>
        </w:rPr>
        <w:t>„T</w:t>
      </w:r>
      <w:r w:rsidRPr="000C2023">
        <w:rPr>
          <w:b/>
        </w:rPr>
        <w:t>örlesztés összege</w:t>
      </w:r>
      <w:r w:rsidR="0065651A" w:rsidRPr="000C2023">
        <w:rPr>
          <w:b/>
        </w:rPr>
        <w:t>”-</w:t>
      </w:r>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KHR-ben</w:t>
      </w:r>
      <w:r w:rsidR="003C2E22" w:rsidRPr="000C2023">
        <w:t>.</w:t>
      </w:r>
      <w:r w:rsidR="00203C99" w:rsidRPr="000C2023">
        <w:t xml:space="preserve"> </w:t>
      </w:r>
      <w:r w:rsidR="003C2E22" w:rsidRPr="000C2023">
        <w:t>E</w:t>
      </w:r>
      <w:r w:rsidR="00203C99" w:rsidRPr="000C2023">
        <w:t xml:space="preserve">kkor </w:t>
      </w:r>
      <w:r w:rsidR="00AA6AF6" w:rsidRPr="000C2023">
        <w:t xml:space="preserve">a KHR-rel egyező </w:t>
      </w:r>
      <w:r w:rsidR="00203C99" w:rsidRPr="000C2023">
        <w:t>adatokat kell megadni esedékes törlesztés összegeként</w:t>
      </w:r>
      <w:r w:rsidR="003C2E22" w:rsidRPr="000C2023">
        <w:t>, illetve a KHR-ben szereplő devizanemben kell az attribútumot jelenteni</w:t>
      </w:r>
      <w:r w:rsidR="00AA6AF6" w:rsidRPr="000C2023">
        <w:t>.</w:t>
      </w:r>
      <w:r w:rsidR="0065651A" w:rsidRPr="000C2023">
        <w:t xml:space="preserve"> Mivel a KHR szerződés szintű nyilvántartás, minden adott szerződéshez tartozó, INSTR-ben szereplő instrumentum esetén ugyanaz a törlesztőrészlet szerepeltetendő a KHR-rel egyezően.</w:t>
      </w:r>
      <w:r w:rsidR="000266B4" w:rsidRPr="000C2023">
        <w:t xml:space="preserve"> </w:t>
      </w:r>
      <w:r w:rsidR="00C40AB9" w:rsidRPr="000C2023">
        <w:t>Amennyiben adott szerződés nem szerepel a KHR-ben,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mezőben, amennyiben a fentiek alapján ballo</w:t>
      </w:r>
      <w:r w:rsidR="00207156">
        <w:rPr>
          <w:rFonts w:asciiTheme="minorHAnsi" w:hAnsiTheme="minorHAnsi" w:cstheme="minorHAnsi"/>
          <w:bCs/>
        </w:rPr>
        <w:t>o</w:t>
      </w:r>
      <w:r w:rsidRPr="000C2023">
        <w:rPr>
          <w:rFonts w:asciiTheme="minorHAnsi" w:hAnsiTheme="minorHAnsi" w:cstheme="minorHAnsi"/>
          <w:bCs/>
        </w:rPr>
        <w:t>n/bullett törlesztési mód kerül megállapításra, jelentendő ez az információ (2021. december vonatkozási időtől kezdődően a bullett mellett a balloon törlesztési mód is külön kódértékként szerepel).</w:t>
      </w:r>
      <w:r w:rsidR="00755720">
        <w:rPr>
          <w:rFonts w:asciiTheme="minorHAnsi" w:hAnsiTheme="minorHAnsi" w:cstheme="minorHAnsi"/>
          <w:bCs/>
        </w:rPr>
        <w:t xml:space="preserve"> ’EGYEB’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balloon/bullet feltételeknek, akkor akként jelentendő.</w:t>
      </w:r>
      <w:r w:rsidR="0045515C">
        <w:rPr>
          <w:rFonts w:asciiTheme="minorHAnsi" w:hAnsiTheme="minorHAnsi" w:cstheme="minorHAnsi"/>
          <w:bCs/>
        </w:rPr>
        <w:t xml:space="preserve"> Amennyiben elhanyagolható a hitel futamidejéhez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r w:rsidRPr="000C2023">
        <w:t>NK</w:t>
      </w:r>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lastRenderedPageBreak/>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’NK’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r w:rsidRPr="000C2023">
        <w:t>NK</w:t>
      </w:r>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(NPL) jelölés”, „Nemteljesítés oka”, „Nem teljesítő (NPL)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r w:rsidR="006361A1" w:rsidRPr="000C2023">
        <w:rPr>
          <w:rFonts w:cs="Arial"/>
        </w:rPr>
        <w:t>NPL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1" w:name="_Hlk536632401"/>
      <w:r w:rsidRPr="000C2023">
        <w:rPr>
          <w:rFonts w:cs="Arial"/>
        </w:rPr>
        <w:t>’</w:t>
      </w:r>
      <w:r w:rsidR="00B77BCD" w:rsidRPr="000C2023">
        <w:rPr>
          <w:rFonts w:cs="Arial"/>
        </w:rPr>
        <w:t>ERTEKVESZT</w:t>
      </w:r>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A 39/2016. (X. 11.) MNB rendelet 5. §-a egyértelműen meghatározza, hogy mit kell értékvesztett pénzügyi eszköznek tekintetni.</w:t>
      </w:r>
      <w:r w:rsidR="00EB69A3" w:rsidRPr="000C2023" w:rsidDel="00EB69A3">
        <w:rPr>
          <w:rFonts w:cs="Arial"/>
        </w:rPr>
        <w:t xml:space="preserve"> </w:t>
      </w:r>
      <w:r w:rsidR="00EB69A3" w:rsidRPr="000C2023">
        <w:rPr>
          <w:rFonts w:cs="Arial"/>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NPL-nek tekinteni. </w:t>
      </w:r>
      <w:bookmarkEnd w:id="112"/>
    </w:p>
    <w:p w14:paraId="6D3EAB29" w14:textId="535855BE" w:rsidR="00EB69A3" w:rsidRPr="000C2023" w:rsidRDefault="008D5A94" w:rsidP="00C14714">
      <w:pPr>
        <w:pStyle w:val="Listaszerbekezds"/>
        <w:numPr>
          <w:ilvl w:val="0"/>
          <w:numId w:val="23"/>
        </w:numPr>
        <w:rPr>
          <w:rFonts w:cs="Arial"/>
        </w:rPr>
      </w:pPr>
      <w:bookmarkStart w:id="113" w:name="_Hlk536632310"/>
      <w:r w:rsidRPr="000C2023">
        <w:rPr>
          <w:rFonts w:cs="Arial"/>
        </w:rPr>
        <w:t>’</w:t>
      </w:r>
      <w:r w:rsidR="00592507" w:rsidRPr="000C2023">
        <w:rPr>
          <w:rFonts w:cs="Arial"/>
        </w:rPr>
        <w:t>NEMFIZETO</w:t>
      </w:r>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aszerbekezds"/>
        <w:numPr>
          <w:ilvl w:val="0"/>
          <w:numId w:val="23"/>
        </w:numPr>
        <w:rPr>
          <w:rFonts w:cs="Arial"/>
        </w:rPr>
      </w:pPr>
      <w:r w:rsidRPr="000C2023">
        <w:rPr>
          <w:rFonts w:cs="Arial"/>
        </w:rPr>
        <w:t>’</w:t>
      </w:r>
      <w:r w:rsidR="00592507" w:rsidRPr="000C2023">
        <w:rPr>
          <w:rFonts w:cs="Arial"/>
        </w:rPr>
        <w:t>OSSZETETT</w:t>
      </w:r>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aszerbekezds"/>
        <w:numPr>
          <w:ilvl w:val="0"/>
          <w:numId w:val="23"/>
        </w:numPr>
        <w:rPr>
          <w:rFonts w:cs="Arial"/>
        </w:rPr>
      </w:pPr>
      <w:r w:rsidRPr="000C2023">
        <w:rPr>
          <w:rFonts w:cs="Arial"/>
        </w:rPr>
        <w:t xml:space="preserve">’EGYEB’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detartozik például a cross-default miatti nemteljesítő státusz</w:t>
      </w:r>
      <w:r w:rsidR="00A53AF9" w:rsidRPr="000C2023">
        <w:rPr>
          <w:rFonts w:cs="Arial"/>
        </w:rPr>
        <w:t xml:space="preserve"> (39/2016 MNB rendelet 6.§/(2)),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UGYFM táblában teljesítő, csak azon ügyletek nemteljesítők, amelyek ügyletszinten nemteljesítők/default-osak.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UGYFM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lastRenderedPageBreak/>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3311421F" w:rsidR="009148B7" w:rsidRPr="000C2023" w:rsidRDefault="009148B7" w:rsidP="00C14714">
      <w:pPr>
        <w:pStyle w:val="Listaszerbekezds"/>
        <w:numPr>
          <w:ilvl w:val="0"/>
          <w:numId w:val="28"/>
        </w:numPr>
        <w:rPr>
          <w:rFonts w:cs="Arial"/>
        </w:rPr>
      </w:pPr>
      <w:r w:rsidRPr="000C2023">
        <w:rPr>
          <w:rFonts w:cs="Arial"/>
        </w:rPr>
        <w:t xml:space="preserve">cross default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Cross-default esetében az ügyfél összes hitele nemteljesítőként/default-osként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(NPL</w:t>
      </w:r>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(NPL</w:t>
      </w:r>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 xml:space="preserve">„Nem teljesítő (NPL)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KESD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soft/hard), az ún. hard collection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KK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flag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Az instrumentum összegét mindenképp a szerződés szerinti devizanemben kell megadni. Amennyiben LIZ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lastRenderedPageBreak/>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a </w:t>
      </w:r>
      <w:r w:rsidR="00053A2D" w:rsidRPr="000C2023">
        <w:rPr>
          <w:rFonts w:cs="Arial"/>
        </w:rPr>
        <w:t>”</w:t>
      </w:r>
      <w:r w:rsidR="00053A2D" w:rsidRPr="000C2023">
        <w:rPr>
          <w:rFonts w:cs="Arial"/>
          <w:b/>
          <w:bCs/>
        </w:rPr>
        <w:t>H</w:t>
      </w:r>
      <w:r w:rsidR="0085166F" w:rsidRPr="000C2023">
        <w:rPr>
          <w:rFonts w:cs="Arial"/>
          <w:b/>
          <w:bCs/>
        </w:rPr>
        <w:t>itelfelvételkori hitel-fedezet arány</w:t>
      </w:r>
      <w:r w:rsidR="00053A2D" w:rsidRPr="000C2023">
        <w:rPr>
          <w:rFonts w:cs="Arial"/>
          <w:b/>
          <w:bCs/>
        </w:rPr>
        <w:t xml:space="preserve"> (LTV)”-</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LTV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LTV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LTV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et megelőző jelzálogjoga esetén a módszer nem alkalmazható, az LTV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LTV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r w:rsidRPr="000C2023">
        <w:rPr>
          <w:rFonts w:cs="Calibri"/>
        </w:rPr>
        <w:t xml:space="preserve">FEDE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FEDA táblában pedig a legutolsó értékelés/műszaki szakértői jelentés/stb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LTV mutató kalkulálandó </w:t>
      </w:r>
      <w:r w:rsidRPr="000C2023">
        <w:rPr>
          <w:rFonts w:cs="Calibri"/>
          <w:i/>
          <w:iCs/>
        </w:rPr>
        <w:t>rulírozó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 xml:space="preserve">eredménnyel szemben valósan értékelt instrumentumok esetén hitelezési kockázatból fakadó negatív valós értékelési különbözet nemteljesítő, nem kereskedési célú </w:t>
      </w:r>
      <w:r w:rsidR="00854B26" w:rsidRPr="000C2023">
        <w:rPr>
          <w:rFonts w:eastAsia="Times New Roman"/>
        </w:rPr>
        <w:lastRenderedPageBreak/>
        <w:t>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r w:rsidR="00722043" w:rsidRPr="000C2023">
        <w:rPr>
          <w:rFonts w:eastAsia="Times New Roman"/>
        </w:rPr>
        <w:t xml:space="preserve">IFRS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A fennálló tőke alapesetben a szerződés szerinti, eredeti devizanemben jelentendő. Amennyiben LIZ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IFRS szerinti könyvvezetés alatt is</w:t>
      </w:r>
      <w:r w:rsidRPr="000C2023">
        <w:rPr>
          <w:rFonts w:cs="Arial"/>
        </w:rPr>
        <w:t>, az INSTK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r w:rsidR="009939E5" w:rsidRPr="000C2023">
        <w:rPr>
          <w:rFonts w:cs="Arial"/>
        </w:rPr>
        <w:t>FF tevékenység esetén az INSTK táblában nyílt az instrumentum és ott jelentésre kerültek az ilyen jellegű tételek, akkor azok nem jelentendők az INSTR táblában, azaz</w:t>
      </w:r>
      <w:r w:rsidR="00235E6D" w:rsidRPr="000C2023">
        <w:rPr>
          <w:rFonts w:cs="Arial"/>
        </w:rPr>
        <w:t xml:space="preserve"> nem duplikálódhatnak.</w:t>
      </w:r>
      <w:r w:rsidR="009939E5" w:rsidRPr="000C2023">
        <w:rPr>
          <w:rFonts w:cs="Arial"/>
        </w:rPr>
        <w:t xml:space="preserve"> Ez az előírás csak IFRS szerinti könyvvezetés esetén releváns.</w:t>
      </w:r>
    </w:p>
    <w:p w14:paraId="2EEBF4AC" w14:textId="77777777" w:rsidR="000F3D03" w:rsidRPr="000C2023" w:rsidRDefault="000F3D03" w:rsidP="00C14714">
      <w:pPr>
        <w:spacing w:after="0"/>
        <w:rPr>
          <w:rFonts w:eastAsia="Times New Roman"/>
        </w:rPr>
      </w:pPr>
    </w:p>
    <w:p w14:paraId="5F63AC4A" w14:textId="38226399"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r w:rsidR="009939E5" w:rsidRPr="000C2023">
        <w:t xml:space="preserve">IFRS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1A53B13C" w:rsidR="008C1131" w:rsidRPr="000C2023" w:rsidRDefault="008C1131" w:rsidP="00C14714">
      <w:pPr>
        <w:spacing w:after="0"/>
      </w:pPr>
      <w:r w:rsidRPr="000C2023">
        <w:t xml:space="preserve">Mindazon instrumentumok esetén, amelyek </w:t>
      </w:r>
      <w:r w:rsidR="009939E5" w:rsidRPr="000C2023">
        <w:t xml:space="preserve">IFRS alatti könyvvezetés esetén </w:t>
      </w:r>
      <w:r w:rsidRPr="000C2023">
        <w:t xml:space="preserve">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r w:rsidR="00F76E91" w:rsidRPr="000C2023">
        <w:t xml:space="preserve">IFRS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Pr="000C2023">
        <w:t xml:space="preserve">Mivel az eredménnyel szemben valós értéken értékelt instrumentumok nem tartoznak az értékvesztés képzés hatálya alá, esetükben az értékvesztés megállapításának módjaként a ’NEM_ERT’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r w:rsidRPr="000C2023">
        <w:t>VALOS_ERTEK</w:t>
      </w:r>
      <w:r w:rsidR="00870333" w:rsidRPr="000C2023">
        <w:t>’</w:t>
      </w:r>
      <w:r w:rsidRPr="000C2023">
        <w:t xml:space="preserve"> kód nem alkalmazható (hiszen üresen marad </w:t>
      </w:r>
      <w:r w:rsidR="004B51A4" w:rsidRPr="000C2023">
        <w:t>’</w:t>
      </w:r>
      <w:r w:rsidRPr="000C2023">
        <w:t>NEM_ERT</w:t>
      </w:r>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r w:rsidRPr="000C2023">
        <w:t>NEM_ERT</w:t>
      </w:r>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w:t>
      </w:r>
      <w:r w:rsidR="008C5CBF">
        <w:lastRenderedPageBreak/>
        <w:t xml:space="preserve">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17C31DAC"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’CSOP’ kódérték szerepeltetendő és töltendő az „Értékvesztés összege” mező akár 0 értékkel (ha nincs értékvesztés). Valós értéken értékelt instrumentumok esetén az „Értékvesztés megállapításának módja” mezőben ’NEM_ERT’ kód jelentendő és üresen kell hagyni az „Értékvesztés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r w:rsidRPr="000C2023">
        <w:t>KK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Nem kamatozó tőketartozás összege</w:t>
      </w:r>
      <w:r w:rsidRPr="000C2023">
        <w:rPr>
          <w:rFonts w:cs="Arial"/>
        </w:rPr>
        <w:t>”</w:t>
      </w:r>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’HITKAR_KOV’</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INSTK-ban keret az adott instrumentumhoz kapcsolódóan, akkor csak abban az esetben töltendő, ha az INSTR-ben alkeret nyílik, aminek szintjén értelmezett a le nem hívott keret, illetve akkor töltendő a mező, ha a keret eleve az INSTR-ben nyílik (azaz nincs INSTK keret). </w:t>
      </w:r>
      <w:r w:rsidR="00AC7C02" w:rsidRPr="000C2023">
        <w:rPr>
          <w:rFonts w:cs="Arial"/>
        </w:rPr>
        <w:t>Az INSTK-ban és az INSTR-ben jelentett le nem hívott keretek összesített összegének  meg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faktoringról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megtérülések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INSTK táblában kerül jelentésre (csak FF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Ez azt jelenti, hogy amennyiben az INSTK keret alá nyílt INSTR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alkeret nyílása esetén a le nem hívott szerződéses összeg az INSTR táblában jelentett instrumentum szintű le nem hívott keret + az INSTK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lehívásonkénti INSTR instrumentum képzés esetén a le nem hívott szerződéses összeg az INSTK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A mérlegen kívüli kitettség allokálása során figyelmen kívül kell hagyni a garancialehívási lehetőséget is tartalmazó multipurpose szerződések esetén a garanciakeret le nem hívott összegét.</w:t>
      </w:r>
      <w:r w:rsidR="00F850F7" w:rsidRPr="000C2023">
        <w:t xml:space="preserve"> A mezőt </w:t>
      </w:r>
      <w:r w:rsidR="00E15C72">
        <w:rPr>
          <w:rFonts w:asciiTheme="minorHAnsi" w:hAnsiTheme="minorHAnsi" w:cs="Arial"/>
        </w:rPr>
        <w:t>PVOV</w:t>
      </w:r>
      <w:r w:rsidR="00F850F7" w:rsidRPr="000C2023">
        <w:t xml:space="preserve"> esetén kell tölteni</w:t>
      </w:r>
      <w:r w:rsidR="00E7519B" w:rsidRPr="000C2023">
        <w:t>.</w:t>
      </w:r>
    </w:p>
    <w:p w14:paraId="619E7229" w14:textId="3355FEEA" w:rsidR="0017760D" w:rsidRPr="000C2023" w:rsidRDefault="0017760D" w:rsidP="00C14714">
      <w:pPr>
        <w:rPr>
          <w:rFonts w:asciiTheme="minorHAnsi" w:hAnsiTheme="minorHAnsi" w:cstheme="minorHAnsi"/>
          <w:b/>
        </w:rPr>
      </w:pPr>
      <w:r w:rsidRPr="000C2023">
        <w:rPr>
          <w:rFonts w:asciiTheme="minorHAnsi" w:hAnsiTheme="minorHAnsi" w:cstheme="minorHAnsi"/>
        </w:rPr>
        <w:lastRenderedPageBreak/>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ahol (T-t) a hátralévő periódusok számát jelöli az IFRS9 értékvesztési stage-besorolásokkal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EADi az ügylet i időpontban mérlegen belüli amortizált bekerülési értékének összege és PV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Amennyiben az instrumentum a mérlegben még nem szerepel, mert az INSTR táblában egy keret került megnyitásra és folyósítás még nem történt, akkor nem az értékvesztésképzés, hanem a céltartalékképzés során kalkulált EAD-ból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r w:rsidR="00E15C72">
        <w:rPr>
          <w:rFonts w:asciiTheme="minorHAnsi" w:hAnsiTheme="minorHAnsi" w:cs="Arial"/>
        </w:rPr>
        <w:t>PVOV</w:t>
      </w:r>
      <w:r w:rsidR="00782175" w:rsidRPr="000C2023">
        <w:t xml:space="preserve"> esetén kötelezően töltendő</w:t>
      </w:r>
      <w:r w:rsidRPr="000C2023">
        <w:t xml:space="preserve"> (IFRS könyvvezetés esetén)</w:t>
      </w:r>
      <w:r w:rsidR="00782175" w:rsidRPr="000C2023">
        <w:t xml:space="preserve">, </w:t>
      </w:r>
      <w:r w:rsidR="0017760D" w:rsidRPr="000C2023">
        <w:t>összevont felügyelet alá nem tartozó</w:t>
      </w:r>
      <w:r w:rsidR="00782175" w:rsidRPr="000C2023">
        <w:t xml:space="preserve">, IFRS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INSTR.LNH_KERET_TOKE_OSSZEG mezőben jelentett le nem hívott hitelkerethez kapcsolódó céltartalék összege jelentendő. Amennyiben nem az INSTR táblában kerül jelentésre a le nem hívott keret, akkor ebben a mezőben nem szerepeltetendő adat, amennyiben megbontásra kerül a le nem hívott keret INSTK és INSTR között, akkor a céltartalék összegét is meg kell bontani. </w:t>
      </w:r>
      <w:r w:rsidR="00901C20" w:rsidRPr="000C2023">
        <w:rPr>
          <w:rFonts w:asciiTheme="minorHAnsi" w:hAnsiTheme="minorHAnsi" w:cstheme="minorHAnsi"/>
        </w:rPr>
        <w:t>Az INSTK-ban és az INSTR-ben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IFRS könyvvezetést alkalmazó, </w:t>
      </w:r>
      <w:r w:rsidR="00E15C72">
        <w:rPr>
          <w:rFonts w:asciiTheme="minorHAnsi" w:hAnsiTheme="minorHAnsi" w:cs="Arial"/>
        </w:rPr>
        <w:t>PVOV</w:t>
      </w:r>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részleges leírás jelentendő, amennyiben a követelés teljes egészében leírásra kerül, a teljes végső leírás összegét az INSTM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r w:rsidRPr="000C2023">
        <w:rPr>
          <w:rFonts w:cs="Arial"/>
          <w:b/>
        </w:rPr>
        <w:t>JTM</w:t>
      </w:r>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LIZ és HNY tevékenységtípusok esetén</w:t>
      </w:r>
      <w:r w:rsidRPr="000C2023">
        <w:rPr>
          <w:rFonts w:cs="Arial"/>
        </w:rPr>
        <w:t xml:space="preserve">.  </w:t>
      </w:r>
      <w:r w:rsidR="001B0505" w:rsidRPr="000C2023">
        <w:rPr>
          <w:rFonts w:cs="Arial"/>
        </w:rPr>
        <w:t xml:space="preserve">Jelentendő a HFM-mutató,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„Kitöltetlen JTM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JTM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1.§/(3)-(4) pontjaiban foglalt kivételeknek megfelelően kell megadni az okokat, azaz ha a rendeletben foglaltak alapján nem kell kalkulálni a JTM-mutatót, akkor meg kell adni, hogy miért nem. Önmagában az átstrukturálás ténye nem jelenti azt, hogy nem kell JTM-et kalkulálni, csak a rendeletben foglalt feltételekkel történt átstrukturálás esetén engedhető meg a JTM-mutató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lastRenderedPageBreak/>
        <w:t>A ’DOLG’ kódérték a Hpt. 6.§(5)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’LIMIT_ALATT’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rendeletben foglaltak alapján nem tartozik a JTM számítás hatálya alá, a JTM mezőket üresen kell hagyni (ideértve „A JTM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IFRS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r w:rsidRPr="000C2023">
        <w:rPr>
          <w:rFonts w:asciiTheme="minorHAnsi" w:hAnsiTheme="minorHAnsi" w:cstheme="minorHAnsi"/>
        </w:rPr>
        <w:t>NEM_ERT</w:t>
      </w:r>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(EIR)</w:t>
      </w:r>
    </w:p>
    <w:bookmarkEnd w:id="122"/>
    <w:p w14:paraId="38B93427" w14:textId="77777777" w:rsidR="005B0729" w:rsidRPr="000C2023" w:rsidRDefault="005B0729" w:rsidP="00545F0D">
      <w:pPr>
        <w:spacing w:after="0"/>
        <w:rPr>
          <w:rFonts w:asciiTheme="minorHAnsi" w:hAnsiTheme="minorHAnsi" w:cstheme="minorHAnsi"/>
        </w:rPr>
      </w:pPr>
    </w:p>
    <w:p w14:paraId="277DFECC" w14:textId="05213007"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r w:rsidR="00780A6D" w:rsidRPr="000C2023">
        <w:rPr>
          <w:rFonts w:asciiTheme="minorHAnsi" w:hAnsiTheme="minorHAnsi" w:cstheme="minorHAnsi"/>
        </w:rPr>
        <w:t xml:space="preserve">LIZ és HNY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’NINCS_OP’ kódérték alkalmazandó. A ’NEM_ISMERT’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’NEM_ISMERT’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r w:rsidR="00780A6D" w:rsidRPr="000C2023">
        <w:rPr>
          <w:rFonts w:asciiTheme="minorHAnsi" w:hAnsiTheme="minorHAnsi" w:cstheme="minorHAnsi"/>
        </w:rPr>
        <w:t xml:space="preserve">KK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jogszabályon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’SZERZ’,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’JOGI_FIZ’</w:t>
      </w:r>
      <w:r w:rsidR="00526A62">
        <w:rPr>
          <w:rFonts w:asciiTheme="minorHAnsi" w:hAnsiTheme="minorHAnsi" w:cstheme="minorHAnsi"/>
        </w:rPr>
        <w:t>, ’JOGI_AGR’</w:t>
      </w:r>
      <w:r w:rsidR="00C843E3" w:rsidRPr="006C72EB">
        <w:rPr>
          <w:rFonts w:asciiTheme="minorHAnsi" w:hAnsiTheme="minorHAnsi" w:cstheme="minorHAnsi"/>
        </w:rPr>
        <w:t xml:space="preserve"> vagy ’JOGI_EGYEB’, fizetési nehézségből fakadó moratórium esetén ’EGYEB’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’SZERZ’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lastRenderedPageBreak/>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r w:rsidR="00E15C72">
        <w:rPr>
          <w:rFonts w:asciiTheme="minorHAnsi" w:hAnsiTheme="minorHAnsi" w:cs="Arial"/>
        </w:rPr>
        <w:t>PVOV</w:t>
      </w:r>
      <w:r w:rsidRPr="00743CAC">
        <w:rPr>
          <w:rFonts w:asciiTheme="minorHAnsi" w:hAnsiTheme="minorHAnsi" w:cstheme="minorHAnsi"/>
        </w:rPr>
        <w:t xml:space="preserve"> esetén az FF</w:t>
      </w:r>
      <w:r w:rsidR="00477A49">
        <w:rPr>
          <w:rFonts w:asciiTheme="minorHAnsi" w:hAnsiTheme="minorHAnsi" w:cstheme="minorHAnsi"/>
        </w:rPr>
        <w:t xml:space="preserve"> és a KK</w:t>
      </w:r>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653C27ED"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r>
        <w:rPr>
          <w:rFonts w:asciiTheme="minorHAnsi" w:hAnsiTheme="minorHAnsi" w:cstheme="minorHAnsi"/>
        </w:rPr>
        <w:t>TAX_IGAZODO</w:t>
      </w:r>
      <w:r w:rsidRPr="001E6CA5">
        <w:rPr>
          <w:rFonts w:asciiTheme="minorHAnsi" w:hAnsiTheme="minorHAnsi" w:cstheme="minorHAnsi"/>
        </w:rPr>
        <w:t xml:space="preserve">’ </w:t>
      </w:r>
      <w:r>
        <w:rPr>
          <w:rFonts w:asciiTheme="minorHAnsi" w:hAnsiTheme="minorHAnsi" w:cstheme="minorHAnsi"/>
        </w:rPr>
        <w:t>vagy ’TAX_</w:t>
      </w:r>
      <w:r w:rsidRPr="001E6CA5">
        <w:rPr>
          <w:rFonts w:asciiTheme="minorHAnsi" w:hAnsiTheme="minorHAnsi" w:cstheme="minorHAnsi"/>
        </w:rPr>
        <w:t>IGAZITHATO</w:t>
      </w:r>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Taxonómia szerinti cél megnevezése</w:t>
      </w:r>
      <w:r w:rsidRPr="00485BEF">
        <w:rPr>
          <w:rFonts w:asciiTheme="minorHAnsi" w:hAnsiTheme="minorHAnsi" w:cstheme="minorHAnsi"/>
        </w:rPr>
        <w:t>”-t</w:t>
      </w:r>
      <w:r>
        <w:rPr>
          <w:rFonts w:asciiTheme="minorHAnsi" w:hAnsiTheme="minorHAnsi" w:cstheme="minorHAnsi"/>
        </w:rPr>
        <w:t xml:space="preserve">. </w:t>
      </w:r>
      <w:r w:rsidRPr="001E6CA5">
        <w:rPr>
          <w:rFonts w:asciiTheme="minorHAnsi" w:hAnsiTheme="minorHAnsi" w:cstheme="minorHAnsi"/>
        </w:rPr>
        <w:t>Amennyiben a mezőben ’</w:t>
      </w:r>
      <w:r>
        <w:rPr>
          <w:rFonts w:asciiTheme="minorHAnsi" w:hAnsiTheme="minorHAnsi" w:cstheme="minorHAnsi"/>
        </w:rPr>
        <w:t>TAX_IGAZODO</w:t>
      </w:r>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’TAX_IGAZODO’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(DNSH);</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’TAX_IGAZITHATO’</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’NEMTAX’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 xml:space="preserve">Azon adatszolgáltató, aki még nem mérte fel a kitettséget a taxonómia besorolás szempontjából, annak a ’NEMTAX’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’TAX_IGAZODO’/’TAX_IGAZITHATO’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’NEMTAX’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’NEMTAX’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lastRenderedPageBreak/>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EU Taxonomy Compass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kitettség-e. Ahol nincs feltüntetve az információ, ott a ’NEM_BESOROLHATO’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FF </w:t>
      </w:r>
      <w:r w:rsidR="00CC3851">
        <w:rPr>
          <w:rFonts w:asciiTheme="minorHAnsi" w:hAnsiTheme="minorHAnsi" w:cstheme="minorHAnsi"/>
        </w:rPr>
        <w:t xml:space="preserve">és KK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onatkozó rendelet: 39/2016. (X. 11.) MNB rendelet a nem teljesítő kitettségre és az átstrukturált követelésre vonatkozó prudenciális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(pl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4FD48F74" w:rsidR="00470C1A" w:rsidRDefault="003118F4" w:rsidP="00C14714">
      <w:pPr>
        <w:rPr>
          <w:rFonts w:cs="Arial"/>
        </w:rPr>
      </w:pPr>
      <w:r>
        <w:rPr>
          <w:rFonts w:cs="Arial"/>
        </w:rPr>
        <w:t xml:space="preserve">2023. március vonatkozási időtől kezdődően feloldásra </w:t>
      </w:r>
      <w:r w:rsidR="00901FA5">
        <w:rPr>
          <w:rFonts w:cs="Arial"/>
        </w:rPr>
        <w:t xml:space="preserve">kerültek </w:t>
      </w:r>
      <w:r>
        <w:rPr>
          <w:rFonts w:cs="Arial"/>
        </w:rPr>
        <w:t>egyes korábban tilos mezők</w:t>
      </w:r>
      <w:r w:rsidR="00681848">
        <w:rPr>
          <w:rFonts w:cs="Arial"/>
        </w:rPr>
        <w:t xml:space="preserve"> LIZ vagy HNY tevékenységet folytató,</w:t>
      </w:r>
      <w:r>
        <w:rPr>
          <w:rFonts w:cs="Arial"/>
        </w:rPr>
        <w:t xml:space="preserve"> </w:t>
      </w:r>
      <w:r w:rsidR="00E15C72">
        <w:rPr>
          <w:rFonts w:asciiTheme="minorHAnsi" w:hAnsiTheme="minorHAnsi" w:cs="Arial"/>
        </w:rPr>
        <w:t>PVOV</w:t>
      </w:r>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lastRenderedPageBreak/>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„A hitelintézetekre vonatkozó prudenciális követelményekről és a 648/2012/EU rendelet módosításáról szóló 2013. június 26-i 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„NEM_DEF” (nem „nem default-os”), akkor meg kell adni, hogy milyen szintű default-ról van szó, azaz tölteni kell a „CRR szerinti nemteljesítés (default) jelzője” mezőt. Ha a „A hitelintézetekre vonatkozó prudenciális követelményekről és a 648/2012/EU rendelet módosításáról szóló 2013. június 26-i 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„A hitelintézetekre vonatkozó prudenciális követelményekről és a 648/2012/EU rendelet módosításáról szóló 2013. június 26-i 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w:t>
      </w:r>
      <w:r w:rsidRPr="006C72EB">
        <w:rPr>
          <w:rFonts w:asciiTheme="minorHAnsi" w:hAnsiTheme="minorHAnsi" w:cstheme="minorHAnsi"/>
        </w:rPr>
        <w:lastRenderedPageBreak/>
        <w:t xml:space="preserve">mező értéke nem „NEM_DEF” (nem „nem default-os”), akkor tölteni kell a „CRR szerinti nemteljesítő (default)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Ha a „Nemteljesítés oka” mezőben DEFAULT érték került jelentésre, akkor „A hitelintézetekre vonatkozó prudenciális követelményekről és a 648/2012/EU rendelet módosításáról szóló 2013. június 26-i 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értéke nem lehet NEM_DEF. </w:t>
      </w:r>
    </w:p>
    <w:p w14:paraId="59EF120A" w14:textId="2890459C" w:rsidR="00D94EEA" w:rsidRPr="006C72EB" w:rsidRDefault="00D94EEA" w:rsidP="00C14714">
      <w:pPr>
        <w:rPr>
          <w:rFonts w:asciiTheme="minorHAnsi" w:hAnsiTheme="minorHAnsi" w:cstheme="minorHAnsi"/>
        </w:rPr>
      </w:pPr>
      <w:r w:rsidRPr="006C72EB">
        <w:rPr>
          <w:rFonts w:asciiTheme="minorHAnsi" w:hAnsiTheme="minorHAnsi" w:cstheme="minorHAnsi"/>
        </w:rPr>
        <w:t>Ha a „Nemteljesítés oka” mezőben 90KESD (90 napot meghaladóan késedelmes) érték került jelentésre és/vagy „A hitelintézetekre vonatkozó prudenciális követelményekről és a 648/2012/EU rendelet módosításáról szóló 2013. június 26-i 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mezőben DEF_KES (Default-os, mivel 90/180 napot meghaladóan késedelmes) vagy DEF_NEMF_KES (Default-os, mivel egyaránt nem valószínű, hogy fizet és 90/180 napot meghaladóan késedelmes) szerepel, akkor a KESD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41CB3DCD"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 xml:space="preserve">2023. december vonatkozási időtől kezdődően új mezők </w:t>
      </w:r>
      <w:r w:rsidR="00901FA5">
        <w:rPr>
          <w:rFonts w:asciiTheme="minorHAnsi" w:hAnsiTheme="minorHAnsi" w:cstheme="minorHAnsi"/>
        </w:rPr>
        <w:t>kerültek</w:t>
      </w:r>
      <w:r w:rsidR="00901FA5" w:rsidRPr="00755720">
        <w:rPr>
          <w:rFonts w:asciiTheme="minorHAnsi" w:hAnsiTheme="minorHAnsi" w:cstheme="minorHAnsi"/>
        </w:rPr>
        <w:t xml:space="preserve"> </w:t>
      </w:r>
      <w:r w:rsidRPr="00755720">
        <w:rPr>
          <w:rFonts w:asciiTheme="minorHAnsi" w:hAnsiTheme="minorHAnsi" w:cstheme="minorHAnsi"/>
        </w:rPr>
        <w:t>beépítésre az INSTR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('DIGITENUE', 'DIGITENUM', 'DIGITENUN', 'DIGITEUE', 'DIGITEUM', 'DIGITEUN'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LIZ és HNY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után kötött szerződésekre vonatkozóan HNY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r w:rsidR="00E15C72">
        <w:rPr>
          <w:rFonts w:asciiTheme="minorHAnsi" w:hAnsiTheme="minorHAnsi" w:cs="Arial"/>
        </w:rPr>
        <w:t>PVOV</w:t>
      </w:r>
      <w:r>
        <w:rPr>
          <w:rFonts w:asciiTheme="minorHAnsi" w:hAnsiTheme="minorHAnsi" w:cstheme="minorHAnsi"/>
        </w:rPr>
        <w:t xml:space="preserve"> által</w:t>
      </w:r>
      <w:r w:rsidR="00272229">
        <w:rPr>
          <w:rFonts w:asciiTheme="minorHAnsi" w:hAnsiTheme="minorHAnsi" w:cstheme="minorHAnsi"/>
        </w:rPr>
        <w:t xml:space="preserve"> LIZ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kintlévő nominális összege és vételára közötti különbözet a megvásárlás időpontjában. Ezt az összeget azon instrumentumok tekintetében kell jelenteni, amelyeket hitelkockázat-romlás következtében a kintlévő összegnél alacsonyabb összegért vásároltak meg. Az előírások szerint csak a hitelkockázat-romlás következtében bekövetkező valósérték-változás összegét kell kimutatni a vásárlás időpontjában fennálló nominális tőkeösszeg és a vételár </w:t>
      </w:r>
      <w:r w:rsidRPr="0097220C">
        <w:rPr>
          <w:rFonts w:asciiTheme="minorHAnsi" w:hAnsiTheme="minorHAnsi" w:cstheme="minorHAnsi"/>
        </w:rPr>
        <w:lastRenderedPageBreak/>
        <w:t>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KK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KK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LIZ, FF és HNY tevékenységek esetén töltendő „Számviteli besorolás” mező jelentendővé válik KK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tartalmilag a környezeti célkitűzéshez igazodó vagy igazítható kitettség aránya és</w:t>
      </w:r>
      <w:r>
        <w:rPr>
          <w:rFonts w:asciiTheme="minorHAnsi" w:hAnsiTheme="minorHAnsi" w:cstheme="minorHAnsi"/>
        </w:rPr>
        <w:t xml:space="preserve"> összevont felügyelet alá tartozó, KK, HNY vagy LIZ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r w:rsidRPr="00573BD4">
        <w:rPr>
          <w:rFonts w:asciiTheme="minorHAnsi" w:hAnsiTheme="minorHAnsi" w:cstheme="minorHAnsi"/>
        </w:rPr>
        <w:t>TAX_IGAZODO</w:t>
      </w:r>
      <w:r>
        <w:rPr>
          <w:rFonts w:asciiTheme="minorHAnsi" w:hAnsiTheme="minorHAnsi" w:cstheme="minorHAnsi"/>
        </w:rPr>
        <w:t>’</w:t>
      </w:r>
      <w:r w:rsidR="00E743F7">
        <w:rPr>
          <w:rFonts w:asciiTheme="minorHAnsi" w:hAnsiTheme="minorHAnsi" w:cstheme="minorHAnsi"/>
        </w:rPr>
        <w:t xml:space="preserve"> vagy ’TAX_IGAZITHATO’</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’NEMTAX’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2B219F90" w14:textId="729C8E95" w:rsidR="004F5551" w:rsidRPr="00EF2A61" w:rsidRDefault="004F5551" w:rsidP="004F5551">
      <w:pPr>
        <w:pStyle w:val="Cmsor4"/>
        <w:numPr>
          <w:ilvl w:val="0"/>
          <w:numId w:val="0"/>
        </w:numPr>
      </w:pPr>
      <w:bookmarkStart w:id="124" w:name="_Toc206686152"/>
      <w:r w:rsidRPr="00EF2A61">
        <w:t xml:space="preserve">2025. </w:t>
      </w:r>
      <w:r>
        <w:t xml:space="preserve">negyedik negyedévi </w:t>
      </w:r>
      <w:r w:rsidRPr="00EF2A61">
        <w:t>vonatkozási időtől hatályos új mezőkre vonatkozó módszertani előírások:</w:t>
      </w:r>
      <w:bookmarkEnd w:id="124"/>
    </w:p>
    <w:p w14:paraId="43F3162D" w14:textId="7D460730" w:rsidR="004F5551" w:rsidRPr="00EF2A61" w:rsidRDefault="004F5551" w:rsidP="004F5551">
      <w:pPr>
        <w:pStyle w:val="Listaszerbekezds"/>
        <w:numPr>
          <w:ilvl w:val="0"/>
          <w:numId w:val="81"/>
        </w:numPr>
        <w:rPr>
          <w:rFonts w:asciiTheme="minorHAnsi" w:hAnsiTheme="minorHAnsi" w:cstheme="minorHAnsi"/>
        </w:rPr>
      </w:pPr>
      <w:r w:rsidRPr="000533AA">
        <w:rPr>
          <w:rFonts w:asciiTheme="minorHAnsi" w:hAnsiTheme="minorHAnsi" w:cstheme="minorHAnsi"/>
        </w:rPr>
        <w:t>A hitelkeretek</w:t>
      </w:r>
      <w:r w:rsidR="0088291E">
        <w:rPr>
          <w:rFonts w:asciiTheme="minorHAnsi" w:hAnsiTheme="minorHAnsi" w:cstheme="minorHAnsi"/>
        </w:rPr>
        <w:t xml:space="preserve"> </w:t>
      </w:r>
      <w:r w:rsidRPr="000533AA">
        <w:rPr>
          <w:rFonts w:asciiTheme="minorHAnsi" w:hAnsiTheme="minorHAnsi" w:cstheme="minorHAnsi"/>
        </w:rPr>
        <w:t xml:space="preserve">esetén jelentendő az az információ, hogy </w:t>
      </w:r>
      <w:r w:rsidRPr="000533AA">
        <w:rPr>
          <w:rFonts w:asciiTheme="minorHAnsi" w:hAnsiTheme="minorHAnsi" w:cstheme="minorHAnsi"/>
          <w:b/>
          <w:bCs/>
        </w:rPr>
        <w:t>„A keret rulírozó-e”</w:t>
      </w:r>
      <w:r w:rsidRPr="000533AA">
        <w:rPr>
          <w:rFonts w:asciiTheme="minorHAnsi" w:hAnsiTheme="minorHAnsi" w:cstheme="minorHAnsi"/>
        </w:rPr>
        <w:t xml:space="preserve">, azaz a visszafizetett összeg újra lehívható-e a kereten belül, a szerződésben meghatározott feltételek szerint és </w:t>
      </w:r>
      <w:r w:rsidRPr="000533AA">
        <w:rPr>
          <w:rFonts w:asciiTheme="minorHAnsi" w:hAnsiTheme="minorHAnsi" w:cstheme="minorHAnsi"/>
          <w:b/>
          <w:bCs/>
        </w:rPr>
        <w:t>„A keret feltétel nélkül megszüntethető-e?”</w:t>
      </w:r>
      <w:r w:rsidRPr="000533AA">
        <w:rPr>
          <w:rFonts w:asciiTheme="minorHAnsi" w:hAnsiTheme="minorHAnsi" w:cstheme="minorHAnsi"/>
        </w:rPr>
        <w:t xml:space="preserve">, azaz bármikor, előzetes értesítés és indoklás nélkül felmondható-e. </w:t>
      </w:r>
      <w:r w:rsidR="0088291E" w:rsidRPr="0088291E">
        <w:rPr>
          <w:rFonts w:asciiTheme="minorHAnsi" w:hAnsiTheme="minorHAnsi" w:cstheme="minorHAnsi"/>
        </w:rPr>
        <w:t>Az új attribútumok a teljes fennálló hitelállományra jelentendők a pénzügyi vállalkozások teljes köre által</w:t>
      </w:r>
      <w:r w:rsidR="0082032D">
        <w:rPr>
          <w:rFonts w:asciiTheme="minorHAnsi" w:hAnsiTheme="minorHAnsi" w:cstheme="minorHAnsi"/>
        </w:rPr>
        <w:t>.</w:t>
      </w:r>
    </w:p>
    <w:p w14:paraId="0C7DFC0A" w14:textId="50BD1ABD" w:rsidR="00BD4169" w:rsidRPr="00EF2A61" w:rsidRDefault="004F5551" w:rsidP="00BD4169">
      <w:pPr>
        <w:pStyle w:val="Listaszerbekezds"/>
        <w:numPr>
          <w:ilvl w:val="0"/>
          <w:numId w:val="81"/>
        </w:numPr>
        <w:rPr>
          <w:rFonts w:asciiTheme="minorHAnsi" w:hAnsiTheme="minorHAnsi" w:cstheme="minorHAnsi"/>
        </w:rPr>
      </w:pPr>
      <w:r w:rsidRPr="00EF2A61">
        <w:rPr>
          <w:rFonts w:asciiTheme="minorHAnsi" w:hAnsiTheme="minorHAnsi" w:cstheme="minorHAnsi"/>
        </w:rPr>
        <w:t xml:space="preserve">A hitel típusú instrumentumok esetén a teljes állomány tekintetében jelentendő a </w:t>
      </w:r>
      <w:r w:rsidRPr="000533AA">
        <w:rPr>
          <w:rFonts w:asciiTheme="minorHAnsi" w:hAnsiTheme="minorHAnsi" w:cstheme="minorHAnsi"/>
          <w:b/>
          <w:bCs/>
        </w:rPr>
        <w:t>„Referenciakamat-szorzó”</w:t>
      </w:r>
      <w:r w:rsidRPr="00EF2A61">
        <w:rPr>
          <w:rFonts w:asciiTheme="minorHAnsi" w:hAnsiTheme="minorHAnsi" w:cstheme="minorHAnsi"/>
        </w:rPr>
        <w:t xml:space="preserve"> (abban az esetben, ha az átárazódás napján az adott napi referencia kamat valamekkora szorzóval módosított értéke kerül felhasználásra), </w:t>
      </w:r>
      <w:r w:rsidRPr="000533AA">
        <w:rPr>
          <w:rFonts w:asciiTheme="minorHAnsi" w:hAnsiTheme="minorHAnsi" w:cstheme="minorHAnsi"/>
          <w:b/>
          <w:bCs/>
        </w:rPr>
        <w:t>„Referenciakamat-késleltetés”</w:t>
      </w:r>
      <w:r w:rsidRPr="00EF2A61">
        <w:rPr>
          <w:rFonts w:asciiTheme="minorHAnsi" w:hAnsiTheme="minorHAnsi" w:cstheme="minorHAnsi"/>
        </w:rPr>
        <w:t xml:space="preserve"> (abban az esetben, ha az átárazódás napján nem az adott napi referencia kamat értéke kerül felhasználásra, hanem az adott referencia kamat egy késleltetett, régebbi értéke) és a </w:t>
      </w:r>
      <w:r w:rsidRPr="000533AA">
        <w:rPr>
          <w:rFonts w:asciiTheme="minorHAnsi" w:hAnsiTheme="minorHAnsi" w:cstheme="minorHAnsi"/>
          <w:b/>
          <w:bCs/>
        </w:rPr>
        <w:t>„Referenciakamat-átlag”</w:t>
      </w:r>
      <w:r w:rsidR="0082032D">
        <w:rPr>
          <w:rFonts w:asciiTheme="minorHAnsi" w:hAnsiTheme="minorHAnsi" w:cstheme="minorHAnsi"/>
          <w:b/>
          <w:bCs/>
        </w:rPr>
        <w:t xml:space="preserve"> </w:t>
      </w:r>
      <w:r w:rsidRPr="00EF2A61">
        <w:rPr>
          <w:rFonts w:asciiTheme="minorHAnsi" w:hAnsiTheme="minorHAnsi" w:cstheme="minorHAnsi"/>
        </w:rPr>
        <w:t>(abban az esetben, ha az átárazódás napján nem az adott napi referencia kamat értéke kerül felhasználásra, hanem az adott referencia kamat régebbi értékeiből számított átlag)</w:t>
      </w:r>
      <w:r w:rsidR="004326AC">
        <w:rPr>
          <w:rFonts w:asciiTheme="minorHAnsi" w:hAnsiTheme="minorHAnsi" w:cstheme="minorHAnsi"/>
        </w:rPr>
        <w:t xml:space="preserve"> HNY és LIZ tevékenységek esetén</w:t>
      </w:r>
      <w:r w:rsidRPr="00EF2A61">
        <w:rPr>
          <w:rFonts w:asciiTheme="minorHAnsi" w:hAnsiTheme="minorHAnsi" w:cstheme="minorHAnsi"/>
        </w:rPr>
        <w:t xml:space="preserve">. </w:t>
      </w:r>
    </w:p>
    <w:p w14:paraId="01210835" w14:textId="718B6723" w:rsidR="00BD4169" w:rsidRPr="00B71640" w:rsidRDefault="00BD4169" w:rsidP="00BD4169">
      <w:pPr>
        <w:pStyle w:val="Listaszerbekezds"/>
        <w:numPr>
          <w:ilvl w:val="0"/>
          <w:numId w:val="81"/>
        </w:numPr>
        <w:rPr>
          <w:rFonts w:asciiTheme="minorHAnsi" w:hAnsiTheme="minorHAnsi" w:cstheme="minorHAnsi"/>
        </w:rPr>
      </w:pPr>
      <w:r w:rsidRPr="00B71640">
        <w:rPr>
          <w:rFonts w:asciiTheme="minorHAnsi" w:hAnsiTheme="minorHAnsi" w:cstheme="minorHAnsi"/>
        </w:rPr>
        <w:t>A „Referenciakamat-átlag” és „Referenciakamat-késleltetés” egész hónapokra kerekítve jelentendő a kerekítés szabályainak megfelelően (pl. egy hetes átlag esetén a „Rerenciakamat-átlag” mezőben, illetve két napos késleltetés esetén a „Referenciakamat-késleltetés” oszlopban „0” érték jelentendő). A „Referenciakamat-késleltetés” mezőben az Fhtv.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futamidejű államkötvény aukcióin kialakult átlaghozamok adott aukciókon elfogadott mennyiségekkel súlyozott számtani átlaga alapján kerül meghatározásra, ami a közzététel naptári hónapját követő hónaptól alkalmazandó (államilag támogatott hitelek), a ’REF_KAMAT_ATL’ mezőben a jelentendő érték az átlagolási periódus hossza hónapokban kifejezve (3 hónapos átlagolásnál „3”), míg a’REF_KAMAT_KESL_ERTEK’ mezőben „1” érték jelentendő. Átlagolás és késleltetés együttes fennállása esetén az átlagolási periódus vége alapján kell meghatározni a késleltetés mértékét.</w:t>
      </w:r>
    </w:p>
    <w:p w14:paraId="3D28B284" w14:textId="77777777" w:rsidR="00BD4169" w:rsidRPr="00B71640" w:rsidRDefault="00BD4169" w:rsidP="00BD4169">
      <w:pPr>
        <w:rPr>
          <w:rFonts w:asciiTheme="minorHAnsi" w:hAnsiTheme="minorHAnsi" w:cstheme="minorHAnsi"/>
        </w:rPr>
      </w:pPr>
      <w:r w:rsidRPr="00B71640">
        <w:rPr>
          <w:rFonts w:asciiTheme="minorHAnsi" w:hAnsiTheme="minorHAnsi" w:cstheme="minorHAnsi"/>
        </w:rPr>
        <w:lastRenderedPageBreak/>
        <w:t>Példa egy 2024. január 1-je előtt induló, 130 százalékos szorzóval kamatozó babaváró hitel esetén követendő jelentési módra:</w:t>
      </w:r>
    </w:p>
    <w:p w14:paraId="5D554A71" w14:textId="77777777" w:rsidR="00BD4169" w:rsidRPr="00B71640" w:rsidRDefault="00BD4169" w:rsidP="00BD4169">
      <w:pPr>
        <w:rPr>
          <w:rFonts w:asciiTheme="minorHAnsi" w:hAnsiTheme="minorHAnsi" w:cstheme="minorHAnsi"/>
        </w:rPr>
      </w:pPr>
      <w:r w:rsidRPr="00B71640">
        <w:rPr>
          <w:noProof/>
        </w:rPr>
        <w:drawing>
          <wp:inline distT="0" distB="0" distL="0" distR="0" wp14:anchorId="0D01AAEB" wp14:editId="1406B7CA">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C15BEBF" w14:textId="77777777" w:rsidR="00BD4169" w:rsidRDefault="00BD4169" w:rsidP="00BD4169">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25" w:name="_Toc106619737"/>
      <w:bookmarkStart w:id="126" w:name="_Toc149904383"/>
      <w:r w:rsidRPr="000C2023">
        <w:rPr>
          <w:b/>
          <w:szCs w:val="22"/>
        </w:rPr>
        <w:t>Instrumentum megszűnése</w:t>
      </w:r>
      <w:bookmarkEnd w:id="125"/>
      <w:r w:rsidR="00545F0D">
        <w:rPr>
          <w:b/>
          <w:szCs w:val="22"/>
        </w:rPr>
        <w:t xml:space="preserve"> (INSTM)</w:t>
      </w:r>
      <w:bookmarkEnd w:id="126"/>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Amennyiben egy instrumentum megszűnik, a megszűnés ténye az INSTM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INSTM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r w:rsidRPr="000C2023">
        <w:t>INSTR / INSTK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r w:rsidR="006C1F85" w:rsidRPr="000C2023">
        <w:t xml:space="preserve">FOLY, </w:t>
      </w:r>
      <w:r w:rsidRPr="000C2023">
        <w:t xml:space="preserve">TORL, </w:t>
      </w:r>
      <w:r w:rsidR="006C1F85" w:rsidRPr="000C2023">
        <w:t xml:space="preserve">ELOT, </w:t>
      </w:r>
      <w:r w:rsidRPr="000C2023">
        <w:t>KESD</w:t>
      </w:r>
      <w:r w:rsidR="00D41C05" w:rsidRPr="000C2023">
        <w:t>,</w:t>
      </w:r>
    </w:p>
    <w:p w14:paraId="7D82F9B0" w14:textId="626D02AE" w:rsidR="00214EC0" w:rsidRPr="000C2023" w:rsidRDefault="00214EC0" w:rsidP="00C14714">
      <w:pPr>
        <w:pStyle w:val="Listaszerbekezds"/>
        <w:numPr>
          <w:ilvl w:val="0"/>
          <w:numId w:val="20"/>
        </w:numPr>
      </w:pPr>
      <w:r w:rsidRPr="000C2023">
        <w:t xml:space="preserve">HKIV tábla, amennyiben teljesülnek a </w:t>
      </w:r>
      <w:r w:rsidR="00862369" w:rsidRPr="000C2023">
        <w:t xml:space="preserve">HKIV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 xml:space="preserve">Ügyfél táblából a megfelelő (UGYFL, UGYFBV, UGYFBVTN, UGYFKV)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INST_UGYF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az INSTN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r w:rsidR="00D55DFC" w:rsidRPr="000C2023">
        <w:t>INSTN, FEDE, FEDA, INST</w:t>
      </w:r>
      <w:r w:rsidR="00D41C05" w:rsidRPr="000C2023">
        <w:t>_</w:t>
      </w:r>
      <w:r w:rsidR="00D55DFC" w:rsidRPr="000C2023">
        <w:t>FED, FED</w:t>
      </w:r>
      <w:r w:rsidR="00D41C05" w:rsidRPr="000C2023">
        <w:t>_</w:t>
      </w:r>
      <w:r w:rsidR="00D55DFC" w:rsidRPr="000C2023">
        <w:t>UGYF, HBIR</w:t>
      </w:r>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 xml:space="preserve">(FEDE és FEDA együtt) </w:t>
      </w:r>
      <w:r w:rsidR="00A111C4" w:rsidRPr="000C2023">
        <w:t>az adatszolgáltató, akkor ezzel egyidejűleg köteles a FED_UGYF, INST_FED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7" w:name="_Hlk27124734"/>
      <w:r w:rsidRPr="000C2023">
        <w:t xml:space="preserve">UGYFM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így nem kell tölteni az UGYFM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UGYFM tábla az előző </w:t>
      </w:r>
      <w:r w:rsidR="008E21A6" w:rsidRPr="000C2023">
        <w:t xml:space="preserve">negyedéves </w:t>
      </w:r>
      <w:r w:rsidR="003238E3" w:rsidRPr="000C2023">
        <w:t>adatokkal töltésre kerül</w:t>
      </w:r>
      <w:r w:rsidRPr="000C2023">
        <w:t>.</w:t>
      </w:r>
      <w:bookmarkEnd w:id="127"/>
    </w:p>
    <w:p w14:paraId="6483B22C" w14:textId="70443E15" w:rsidR="006F715D" w:rsidRPr="000C2023" w:rsidRDefault="006F715D" w:rsidP="00C14714">
      <w:r w:rsidRPr="000C2023">
        <w:lastRenderedPageBreak/>
        <w:t>Az instrumentum megszűnése esetén, amennyiben késedelem is tartozott az instrumentumhoz, a késedelmet is meg kell szüntetni a KESD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a KHR-rel egyezően</w:t>
      </w:r>
      <w:r w:rsidRPr="000C2023">
        <w:t>), a TORL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KHR-rel egyezően a szerződésszintű maradványösszeget kell jelenteni, minden, adott szerződéshez tartozó instrumentum esetén. Amennyiben adott szerződés nem szerepel a KHR-ben,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Amennyiben olyan FF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Amennyiben INSTK táblában nyílt keret szűnik meg</w:t>
      </w:r>
      <w:r w:rsidR="004916EA" w:rsidRPr="000C2023">
        <w:t xml:space="preserve"> (azaz faktoring szerződések INSTK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INSTR instrumentum, attól függetlenül mindaddig bent kell tartani az adatmodellben, míg valamely hozzá tartozó instrumentum él, hogy a szerződés INSTK táblában jelentett lejáratának napja már elkövetkezett. Az utolsó, hozzá tartozó instrumentum megszűnésének </w:t>
      </w:r>
      <w:r w:rsidR="00CE33C0" w:rsidRPr="000C2023">
        <w:t xml:space="preserve">negyedévében </w:t>
      </w:r>
      <w:r w:rsidRPr="000C2023">
        <w:t>kell megszüntetni ’EGYEBM’ kóddal,</w:t>
      </w:r>
    </w:p>
    <w:p w14:paraId="4899F56C" w14:textId="054FE847" w:rsidR="00CD0293" w:rsidRPr="000C2023" w:rsidRDefault="00CD0293" w:rsidP="00C14714">
      <w:pPr>
        <w:pStyle w:val="Listaszerbekezds"/>
        <w:numPr>
          <w:ilvl w:val="0"/>
          <w:numId w:val="20"/>
        </w:numPr>
      </w:pPr>
      <w:r w:rsidRPr="000C2023">
        <w:t>ha nem tartozik alá INSTR instrumentum, akkor az INSTK táblában szereplő lejárati nap időszakában kell ’</w:t>
      </w:r>
      <w:r w:rsidR="00BE3A13" w:rsidRPr="000C2023">
        <w:t>FOLYELOTT</w:t>
      </w:r>
      <w:r w:rsidRPr="000C2023">
        <w:t>’</w:t>
      </w:r>
      <w:r w:rsidR="00B15D74" w:rsidRPr="000C2023">
        <w:t>/’EGYEBM’</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KHR-rel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1F218439" w:rsidR="001E6230" w:rsidRPr="000C2023" w:rsidRDefault="00EC3DF4" w:rsidP="00C14714">
      <w:r w:rsidRPr="004329C4">
        <w:t xml:space="preserve">2025. negyedik negyedévi vonatkozási időtől kezdődően kizárólag a 2025. </w:t>
      </w:r>
      <w:r w:rsidR="00214212" w:rsidRPr="004329C4">
        <w:t xml:space="preserve">május </w:t>
      </w:r>
      <w:r w:rsidRPr="004329C4">
        <w:t>16-án hatályba lépett, a nemteljesítő hitelmegállapodások hitelgondozóiról és a nemteljesítő hitelmegállapodások felvásárlóiról szóló 2025. évi XII. törvény (a továbbiakban: Nhf.) hatálya alá tartozó hitelértékesítések esetén jelentendők a vevőre, az értékesített hitelösszegre és az átadott fedezetekre vonatkozó információk</w:t>
      </w:r>
      <w:r w:rsidR="002D48EC" w:rsidRPr="004329C4">
        <w:t xml:space="preserve"> (</w:t>
      </w:r>
      <w:r w:rsidR="002D48EC" w:rsidRPr="004329C4">
        <w:rPr>
          <w:rFonts w:asciiTheme="minorHAnsi" w:hAnsiTheme="minorHAnsi" w:cstheme="minorHAnsi"/>
        </w:rPr>
        <w:t>INSTM 19-38 sorszámú mezők)</w:t>
      </w:r>
      <w:r w:rsidRPr="004329C4">
        <w:t>.</w:t>
      </w:r>
      <w:r w:rsidR="00011493" w:rsidRPr="004329C4">
        <w:t xml:space="preserve"> Csak PVOV </w:t>
      </w:r>
      <w:r w:rsidR="00214212" w:rsidRPr="004329C4">
        <w:t xml:space="preserve">tekintetében jelentendő, FF tevékenység </w:t>
      </w:r>
      <w:r w:rsidR="00011493" w:rsidRPr="004329C4">
        <w:t>kivé</w:t>
      </w:r>
      <w:r w:rsidR="00214212" w:rsidRPr="004329C4">
        <w:t>telével.</w:t>
      </w:r>
    </w:p>
    <w:p w14:paraId="0C5C4864" w14:textId="77777777" w:rsidR="00771390" w:rsidRPr="000C2023" w:rsidRDefault="00771390" w:rsidP="00C14714">
      <w:pPr>
        <w:pStyle w:val="Cmsor2"/>
        <w:jc w:val="both"/>
      </w:pPr>
      <w:bookmarkStart w:id="128" w:name="_Toc106619738"/>
      <w:bookmarkStart w:id="129" w:name="_Toc149904384"/>
      <w:r w:rsidRPr="000C2023">
        <w:t>Instrumentum – felügyeleti adatok (INSTN)</w:t>
      </w:r>
      <w:bookmarkEnd w:id="128"/>
      <w:bookmarkEnd w:id="129"/>
    </w:p>
    <w:p w14:paraId="6653431D" w14:textId="77777777" w:rsidR="00771390" w:rsidRPr="000C2023" w:rsidRDefault="00771390" w:rsidP="00C14714">
      <w:pPr>
        <w:rPr>
          <w:rFonts w:cs="Arial"/>
        </w:rPr>
      </w:pPr>
    </w:p>
    <w:p w14:paraId="3BC5E629" w14:textId="2D0EA9E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29499E" w:rsidRPr="000C2023">
        <w:rPr>
          <w:rFonts w:asciiTheme="minorHAnsi" w:hAnsiTheme="minorHAnsi" w:cstheme="minorHAnsi"/>
        </w:rPr>
        <w:t xml:space="preserve"> Minden esetben szükséges INSTN tábla csatolása mind az INSTK instrumentumhoz (akkor is, ha a teljes keret lehívásra kerül), mind pedig az INSTR instrumentumhoz. Minden INSTK azonosító csak egy INSTN rekordnál jelenhet meg és ebben az esetben az az INSTN.INSTR_azon nem lehet töltött, illetve amennyiben töltött az INSTR azonosító, nem tölthető az INSTK azonosító (azaz nem kell megadni a keretet ebben a táblában az adott INSTR instrumentumhoz kapcsolódóan).</w:t>
      </w:r>
      <w:r w:rsidR="00EC3DF4">
        <w:rPr>
          <w:rFonts w:asciiTheme="minorHAnsi" w:hAnsiTheme="minorHAnsi" w:cstheme="minorHAnsi"/>
        </w:rPr>
        <w:t xml:space="preserve"> </w:t>
      </w:r>
      <w:r w:rsidR="00C47CF1" w:rsidRPr="000C2023">
        <w:rPr>
          <w:rFonts w:cs="Arial"/>
        </w:rPr>
        <w:t>A</w:t>
      </w:r>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lastRenderedPageBreak/>
        <w:t xml:space="preserve">nemteljesítési valószínűség (PD) és a nemteljesítési veszteségráta (LGD) </w:t>
      </w:r>
      <w:r w:rsidR="000C6D81">
        <w:rPr>
          <w:rFonts w:asciiTheme="minorHAnsi" w:hAnsiTheme="minorHAnsi" w:cs="Arial"/>
        </w:rPr>
        <w:t>PVOV</w:t>
      </w:r>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PD-t és az LGD-t négy tizedesjegyre kerekítve kell megadni. </w:t>
      </w:r>
      <w:r w:rsidR="00FD6CD3" w:rsidRPr="000C2023">
        <w:rPr>
          <w:rFonts w:asciiTheme="minorHAnsi" w:hAnsiTheme="minorHAnsi" w:cstheme="minorHAnsi"/>
        </w:rPr>
        <w:t xml:space="preserve">A mezők az adott INSTK/INSTR instrumentum szintjén értelmezendő és jelentendő mutatók, azaz pl. a </w:t>
      </w:r>
      <w:r w:rsidR="00FD6CD3" w:rsidRPr="000C2023">
        <w:rPr>
          <w:rFonts w:asciiTheme="minorHAnsi" w:hAnsiTheme="minorHAnsi" w:cstheme="minorHAnsi"/>
          <w:b/>
          <w:bCs/>
        </w:rPr>
        <w:t>„Tőkeszámítás során alkalmazott nemteljesítéskori veszteségráta (LGD)”</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w:t>
      </w:r>
      <w:r w:rsidRPr="00FE6735">
        <w:rPr>
          <w:rFonts w:asciiTheme="minorHAnsi" w:hAnsiTheme="minorHAnsi" w:cstheme="minorHAnsi"/>
          <w:b/>
          <w:bCs/>
        </w:rPr>
        <w:t>Tőkeszámítás során alkalmazott hitelegyenértékesítési tényező (CCF)</w:t>
      </w:r>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kkor jelentendő adat, ha az INSTN tábla olyan INSTK/INSTR táblához kapcsolódik, ahol jelentésre kerül le nem hívott keret, ekkor az adott le nem hívott keretre vonatkozó CCF jelentendő. Amennyiben például az INSTK táblában szerepel egy főkeret szintű le nem hívott keret és az INSTR-ben egy alkeret szintű, akkor mind az INSTK, mind az INSTR táblához kapcsolódó INSTN-ben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xml:space="preserve">. </w:t>
      </w:r>
      <w:bookmarkStart w:id="130" w:name="_Hlk208566386"/>
      <w:r w:rsidR="0007513F" w:rsidRPr="000C2023">
        <w:rPr>
          <w:rFonts w:asciiTheme="minorHAnsi" w:hAnsiTheme="minorHAnsi" w:cstheme="minorHAnsi"/>
        </w:rPr>
        <w:t>negyedik negyedévi</w:t>
      </w:r>
      <w:r w:rsidR="00F9177D" w:rsidRPr="000C2023">
        <w:rPr>
          <w:rFonts w:asciiTheme="minorHAnsi" w:hAnsiTheme="minorHAnsi" w:cstheme="minorHAnsi"/>
        </w:rPr>
        <w:t xml:space="preserve"> </w:t>
      </w:r>
      <w:bookmarkEnd w:id="130"/>
      <w:r w:rsidR="00F9177D" w:rsidRPr="000C2023">
        <w:rPr>
          <w:rFonts w:asciiTheme="minorHAnsi" w:hAnsiTheme="minorHAnsi" w:cstheme="minorHAnsi"/>
        </w:rPr>
        <w:t>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IFRS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IFRS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31" w:name="_Hlk48739227"/>
      <w:r w:rsidRPr="000C2023">
        <w:rPr>
          <w:rFonts w:asciiTheme="minorHAnsi" w:hAnsiTheme="minorHAnsi" w:cstheme="minorHAnsi"/>
          <w:b/>
          <w:bCs/>
        </w:rPr>
        <w:t>„Várható hitelezési veszteség alapján származtatott nemteljesítéskori veszteségráta (LGD)”, „Tényleges hitelegyenértékesítési tényező (CCF)”</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31"/>
      <w:r w:rsidRPr="000C2023">
        <w:rPr>
          <w:rFonts w:asciiTheme="minorHAnsi" w:hAnsiTheme="minorHAnsi" w:cstheme="minorHAnsi"/>
          <w:b/>
          <w:bCs/>
        </w:rPr>
        <w:t xml:space="preserve"> (PD)”</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699DBBD" w:rsidR="0012239E" w:rsidRPr="000C2023" w:rsidRDefault="0012239E" w:rsidP="00C14714">
      <w:pPr>
        <w:rPr>
          <w:rFonts w:asciiTheme="minorHAnsi" w:hAnsiTheme="minorHAnsi" w:cstheme="minorHAnsi"/>
        </w:rPr>
      </w:pPr>
      <w:bookmarkStart w:id="132"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(LGD)”</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(PD)”</w:t>
      </w:r>
      <w:r w:rsidRPr="000C2023">
        <w:rPr>
          <w:rFonts w:asciiTheme="minorHAnsi" w:hAnsiTheme="minorHAnsi" w:cstheme="minorHAnsi"/>
        </w:rPr>
        <w:t xml:space="preserve"> mezők</w:t>
      </w:r>
      <w:r w:rsidR="00797E1D" w:rsidRPr="000C2023">
        <w:rPr>
          <w:rFonts w:asciiTheme="minorHAnsi" w:hAnsiTheme="minorHAnsi" w:cstheme="minorHAnsi"/>
        </w:rPr>
        <w:t xml:space="preserve"> INSTK/INSTR instrumentum szinten jelentendők ,</w:t>
      </w:r>
      <w:r w:rsidRPr="000C2023">
        <w:rPr>
          <w:rFonts w:asciiTheme="minorHAnsi" w:hAnsiTheme="minorHAnsi" w:cstheme="minorHAnsi"/>
        </w:rPr>
        <w:t xml:space="preserve">az alábbi módon kalkulálandók: </w:t>
      </w:r>
      <w:bookmarkEnd w:id="132"/>
      <w:r w:rsidRPr="000C2023">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PD-t és LGD-t (pl. ha csak veszteségrátával kalkulál), ezért egy egységesített módszertan alapján kalkulálandó PD és LGD jelentendő minden intézmény és ügylet esetében (tehát NEM az értékvesztésképzés során alkalmazott közvetlen PD és LGD,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PD és LGD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r w:rsidRPr="000C2023">
        <w:rPr>
          <w:rFonts w:asciiTheme="minorHAnsi" w:hAnsiTheme="minorHAnsi" w:cstheme="minorHAnsi"/>
        </w:rPr>
        <w:t>I. Ha az intézmény az ÉV számításához PD és LGD értékeket alkalmaz, akár ügyletenként, akár életciklus és kockázati jellemzők alapján meghatározott poolok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a) Az ún. súlyozott átlagos LGD megállapítása: az egyes jövőbeli időszakokban alkalmazott várható LGD értékek (egyedi vagy pool)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sum(LGDi * PV(EADi) ) / sum( PV(EADi ) ), ahol EADi az ügylet i időpontban mérlegen belüli amortizált bekerülési értékének összege és PV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b) Ha az intézmény nem számol LGD értékeket, úgy a II.a.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c) Az ún. súlyozott átlagos PD megállapítása: a várható hitelezési veszteség és a származtatott kitettségérték a Stage besorolásnak megfelelő hátralévő futamidővel korrigált értékének hányadosa (ügylet aktuális várható hitelezési vesztesége / [várható kitettségérték aktuális értéke * hátralévő futamidő]) osztva a mindenkori súlyozott átlagos LGD értékkel.</w:t>
      </w:r>
    </w:p>
    <w:p w14:paraId="6C886149" w14:textId="77777777" w:rsidR="0012239E" w:rsidRPr="000C2023" w:rsidRDefault="0012239E" w:rsidP="00545F0D">
      <w:pPr>
        <w:ind w:left="567" w:hanging="283"/>
        <w:rPr>
          <w:rFonts w:asciiTheme="minorHAnsi" w:hAnsiTheme="minorHAnsi" w:cstheme="minorHAnsi"/>
        </w:rPr>
      </w:pPr>
      <w:r w:rsidRPr="000C2023">
        <w:rPr>
          <w:rFonts w:asciiTheme="minorHAnsi" w:hAnsiTheme="minorHAnsi" w:cstheme="minorHAnsi"/>
        </w:rPr>
        <w:t>II. Ha az intézmény az ÉV számításához PD és LGD értékeket nem alkalmaz, de ügyletenként vagy életciklus és kockázati jellemzők alapján meghatározott poolokra (részportfóliókra) valamilyen veszteségráta (loan loss rate)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lastRenderedPageBreak/>
        <w:t xml:space="preserve">a) Az ún. súlyozott átlagos LGD megállapítása: az egyes jövőbeli időszakokban (a mindenkori biztosítéki értékek és megtérülések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b) Az ún. súlyozott átlagos PD megállapítása: a várható hitelezési veszteség és a származtatott kitettségérték a Stage besorolásnak megfelelő hátralévő futamidővel korrigált értékének hányadosa (ügylet aktuálisvárható hitelezési vesztesége / [várható kitettségérték aktuális értéke * hátralévő futamidő]) osztva a mindenkori súlyozott átlagos LGD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Amennyiben az instrumentum a mérlegben még nem szerepel (azaz az instrumentum még csak az INSTK táblában létezik és nem került INSTR instrumentum hozzá kapcsolódóan megnyitásra vagy nem az INSTK táblában nyílik, azonban az INSTR táblában egy keret került megnyitásra és folyósítás még nem történt), akkor nem az értékvesztésképzés, hanem a céltartalékképzés során kalkulált EAD-ból, illetve a PD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5F94B51F"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(CCF)</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 xml:space="preserve">TN tábla olyan </w:t>
      </w:r>
      <w:r w:rsidRPr="000C2023">
        <w:rPr>
          <w:rFonts w:asciiTheme="minorHAnsi" w:hAnsiTheme="minorHAnsi" w:cstheme="minorHAnsi"/>
        </w:rPr>
        <w:t>INSTK táblá</w:t>
      </w:r>
      <w:r w:rsidR="00CF33CA" w:rsidRPr="000C2023">
        <w:rPr>
          <w:rFonts w:asciiTheme="minorHAnsi" w:hAnsiTheme="minorHAnsi" w:cstheme="minorHAnsi"/>
        </w:rPr>
        <w:t>hoz kapcsolódik, ahol szerepel le nem hívott keret és a keret értékvesztésképzés hatálya alá tartozik.</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r w:rsidR="000C6D81">
        <w:rPr>
          <w:rFonts w:asciiTheme="minorHAnsi" w:hAnsiTheme="minorHAnsi" w:cs="Arial"/>
        </w:rPr>
        <w:t>PVOV</w:t>
      </w:r>
      <w:r w:rsidR="000C6D81" w:rsidDel="000C6D81">
        <w:t xml:space="preserve"> </w:t>
      </w:r>
      <w:r>
        <w:t xml:space="preserve">esetén a teljes INSTN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„Minősítő modell (ügyfélminősítési tool)</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 xml:space="preserve">nnak az ügyfélminősítési modell-nek /tool-nak a megnevezése, amellyel az adott a INSTK/INSTR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(risk)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„Risk-szegmenst” kell megadni, amelybe az adott instrumentum tartozik, azaz az adott INSTK/INSTR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risk-szegmensbe tartoznak, a leginkább meghatározó ügyfél risk-szegmensét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(RWA-hoz)”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CRR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[( 0%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Amennyiben a le nem hívott keret az INSTK táblában szerepel, az ahhoz kötött INSTN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IRB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A kockázati súlyt, a PD-t és az LGD-t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lastRenderedPageBreak/>
        <w:t xml:space="preserve">A </w:t>
      </w:r>
      <w:r w:rsidRPr="00C97CAE">
        <w:rPr>
          <w:rFonts w:asciiTheme="minorHAnsi" w:hAnsiTheme="minorHAnsi" w:cstheme="minorHAnsi"/>
          <w:b/>
          <w:bCs/>
        </w:rPr>
        <w:t>„Kockázati (risk) szegmens” és a „Pillér I. tőkefüggvény</w:t>
      </w:r>
      <w:r>
        <w:rPr>
          <w:rFonts w:asciiTheme="minorHAnsi" w:hAnsiTheme="minorHAnsi" w:cstheme="minorHAnsi"/>
        </w:rPr>
        <w:t xml:space="preserve">” mezőkben abban az esetben, ha </w:t>
      </w:r>
      <w:r>
        <w:rPr>
          <w:rFonts w:eastAsia="Times New Roman"/>
        </w:rPr>
        <w:t>bármekkora IRB-s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az 575/2013/EU rendelet szerinti 2.pilléres ICAAP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Mivel mind a Pillér I., mind a Pillér II. tőkekövetelmény az adott INSTK/INSTR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Defaultos, illetve 0 PD-jű instrumentumok esetén mind a INSTN.P1_TOKEFUGGV_KOD, mind az INSTN.IRBM_ERTEK mezők üresen hagyhatók vagy tölthetők az egyéb kódértékkel (INSTN.P1_TOKEFUGGV_KOD mező esetén) vagy azzal a kódértékkel, amit nem defaultos ügylet esetén alkalmaznának (INSTN.IRBM_ERTEK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mezőben a Pillér 1 alatti végső kockázattal súlyozott kitettségérték jelentendő forintban (minden korrekciós tétellel korrigálva pl.: KKV korrekció, kockázat transzfer stb.) az adott INSTK/INSTR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IRB és sztenderd módszer szerinti értékelés egyaránt – az IRB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mezőben a CRR (575/2013/EU rendelet) 158. cikke szerinti összeg jelentendő az adott INSTK/INSTR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33" w:name="_Toc106619739"/>
      <w:bookmarkStart w:id="134" w:name="_Toc149904385"/>
      <w:bookmarkEnd w:id="99"/>
      <w:r w:rsidRPr="000C2023">
        <w:rPr>
          <w:sz w:val="22"/>
          <w:szCs w:val="22"/>
        </w:rPr>
        <w:t xml:space="preserve">FEDEZETEKRE vonatkozó </w:t>
      </w:r>
      <w:r w:rsidR="00E60D85" w:rsidRPr="000C2023">
        <w:rPr>
          <w:sz w:val="22"/>
          <w:szCs w:val="22"/>
        </w:rPr>
        <w:t>táblák</w:t>
      </w:r>
      <w:bookmarkEnd w:id="133"/>
      <w:bookmarkEnd w:id="134"/>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r w:rsidR="002156BD" w:rsidRPr="000C2023">
        <w:rPr>
          <w:rFonts w:cs="Arial"/>
        </w:rPr>
        <w:t xml:space="preserve">FEDE és FEDA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FEDE/FEDA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FEDE táblában az adott fedezet befogadáskori jellemzőit, értékadatait, a FEDA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FEDE táblában a fedezetek eredeti adatai minden adatszolgáltatásban jelentendők, nemcsak a fedezet befogadásakor. </w:t>
      </w:r>
      <w:r w:rsidR="004E35B6" w:rsidRPr="000C2023">
        <w:t>Az egyedileg azonosítható fedezetek esetében a FEDE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FEDE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lastRenderedPageBreak/>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FEDE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(pl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0A5CA588" w:rsidR="00EF3E0C" w:rsidRPr="000C2023" w:rsidRDefault="006C1FB5" w:rsidP="00C14714">
      <w:pPr>
        <w:rPr>
          <w:rFonts w:cs="Arial"/>
        </w:rPr>
      </w:pPr>
      <w:r w:rsidRPr="000C2023">
        <w:rPr>
          <w:rFonts w:cs="Arial"/>
        </w:rPr>
        <w:t xml:space="preserve">A fedezetek jelentésének alapegysége az intézmény által egységesen értékelt fedezet. Pl.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pool szerepel fedezetként. Ilyenkor az együttesen értékelt ingatlanokat egy fedezetként, egy fedezetazonosítóval kell jelenteni, azonban jelölni kell, hogy csoportos fedezetről van szó.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adatokat a teljes fedezetcsoportra vonatkozóan kell szerepeltetni, a leíró adatok (pl. ingatlan típusa, fizikai elhelyezkedése</w:t>
      </w:r>
      <w:r w:rsidR="00B6098E" w:rsidRPr="000C2023">
        <w:rPr>
          <w:rFonts w:cs="Arial"/>
        </w:rPr>
        <w:t>,</w:t>
      </w:r>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(INSTM tábla töltése esetén) a FEDE és a FEDA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 xml:space="preserve">A babaváró hitelekhez kapcsolódó állami kezességvállalás ’KEZ_KOZPK’ (központi költségvetés készfizető kezessége) kódértéken jelentendő. </w:t>
      </w:r>
    </w:p>
    <w:p w14:paraId="0AE6AD8F" w14:textId="1F470A61" w:rsidR="00BD3277" w:rsidRPr="00B944EB" w:rsidRDefault="00BD3277" w:rsidP="00BD3277">
      <w:pPr>
        <w:pStyle w:val="Listaszerbekezds"/>
        <w:numPr>
          <w:ilvl w:val="0"/>
          <w:numId w:val="0"/>
        </w:numPr>
        <w:spacing w:after="0"/>
        <w:ind w:left="426"/>
      </w:pPr>
      <w:r>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’ING_KER’ és ’ING_IRODA’ kódértékeken jelentett tételek) között szereplő ügyletek egy része is a lakóingatlanok közé lesz sorolandó.</w:t>
      </w:r>
      <w:r w:rsidRPr="002C7E34">
        <w:t xml:space="preserve"> </w:t>
      </w:r>
      <w:r>
        <w:t xml:space="preserve">Ezeket – a korábban a kereskedelmi ingatlanok (’ING_KER’ és ’ING_IRODA’) közé sorolt - ingatlanokat a jelenlegi lakóingatlanoktól elkülönítetten, az új ’ING_LAKO_EP_ALATT’ kódértéken kell jelenteni, azok nem jelenthetők a már meglévő ’ING_LAKO’ kódértéken. Az ’ING_LAKO’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w:t>
      </w:r>
      <w:r>
        <w:lastRenderedPageBreak/>
        <w:t>31-ig lakóingatlannak minősült volna-e, amennyiben igen, akkor ’ING_LAKO’ kódérték alkalmazandó, amennyiben nem, akkor az új ’ING_LAKO_EP_ALATT’ kódértéket kell használni. Mivel a COREP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(’ING_KER’ és ’ING_IRODA’)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FEDE táblában megadható az összevonáskori/szétváláskori aktuális érték </w:t>
      </w:r>
      <w:r w:rsidR="004C51E8" w:rsidRPr="000C2023">
        <w:t xml:space="preserve">arányosítva </w:t>
      </w:r>
      <w:r w:rsidR="008B7DF0" w:rsidRPr="000C2023">
        <w:t>vagy (ha megoldható), az eredeti fedezet(ek) eredeti értékéből származtatott, arányos adat. Fedezetazonosító tovább élése esetén mindenképp módosítandó a FEDE tábla, hogy az arányos érték kerüljön jelentésre. Ha szétválás történik olyan módon, hogy a korábbi fedezetazonosító tovább él, a FEDE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Amennyiben valamely hitel mögött egy fedezet pool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(FEDE.FED_INGATLAN_KOD).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(FEDE.FED_KOD)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ING_LAKO kódértékbe való besorolásuk egyértelmű. Amennyiben az építés alatt álló lakóingatlanokat a hitelintézet mindaddig, amíg a jogerős használatbavételi engedély nem áll rendelkezésre, ING_IRODA-ként tartja nyilván, akkor előfordulhat </w:t>
      </w:r>
      <w:r w:rsidRPr="006C72EB">
        <w:rPr>
          <w:rFonts w:asciiTheme="minorHAnsi" w:eastAsia="Times New Roman" w:hAnsiTheme="minorHAnsi" w:cstheme="minorHAnsi"/>
        </w:rPr>
        <w:lastRenderedPageBreak/>
        <w:t>lakóingatlanra utaló altípus kódérték ING_IRODA főtípus mellett, pl. lakópark építése a jogerős használatbavételi engedély megszerzéséig ING_IRODA főtípuson és L_PARK altípuson szerepel. Amennyiben az ingatlan megkapja a jogerős használatbavételi engedélyt, a fedezet- és ingatlan típusának megfelelő kódértéket kell jelenteni a FEDE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ING_IRODA,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ING_KER).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sárga kategória: az esetek nagy részében ING_KER,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ING_IRODA lehet, hiszen nem az ingatlan jövedelemtermelő képessége a meghatározó, azonban egy szállodafejlesztés esetén ING_KER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kék kategória: ezzel azt az anomáliát jelöljük, hogy bár a fedezet típusa IRODA, nem lehet egyértelműen ING_IRODA kategóriába sorolni, sőt, vélhetőleg figyelembe veszik a bankok a jövedelemtermelő képességet, így inkább az ING_KER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0365F905" w:rsidR="00746746" w:rsidRPr="006C72EB" w:rsidRDefault="00746746" w:rsidP="00C14714">
      <w:pPr>
        <w:rPr>
          <w:rFonts w:asciiTheme="minorHAnsi" w:hAnsiTheme="minorHAnsi" w:cstheme="minorHAnsi"/>
        </w:rPr>
      </w:pPr>
      <w:r w:rsidRPr="00746746">
        <w:rPr>
          <w:rFonts w:asciiTheme="minorHAnsi" w:hAnsiTheme="minorHAnsi" w:cstheme="minorHAnsi"/>
        </w:rPr>
        <w:t>Fent leírtakat befolyásolja az, hogy 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Ezeket – a korábban a kereskedelmi ingatlanok (’ING_KER’ és ’ING_IRODA’) közé sorolt - ingatlanokat a jelenlegi lakóingatlanoktól elkülönítetten, az új ’ING_LAKO_EP_ALATT’ kódértéken kell jelenteni, azok nem jelenthetők a már meglévő ’ING_LAKO’ kódértéken. Az ’ING_LAKO’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’ING_LAKO_EP_ALATT’ kódértéket kell használni. Mivel a COREP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(’ING_KER’ és ’ING_IRODA’)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FEDA.FED_AKT_ERTEKBECSLES_NAP mezőben is. Nem teljeskörű értékbecslés esetén a mezőben a 15/2021 MNB ajánlás 21. pontjának megfelelő felülvizsgálat dátuma jelentendő. </w:t>
      </w:r>
      <w:r w:rsidR="0014658D" w:rsidRPr="000C2023">
        <w:rPr>
          <w:rFonts w:asciiTheme="minorHAnsi" w:hAnsiTheme="minorHAnsi" w:cstheme="minorHAnsi"/>
        </w:rPr>
        <w:t>2022. június vonatkozási időtől kezdődően beépítésre került a FEDE és a FEDA táblákba egy-egy új mező, mely pénzügyi vállalkozási tevékenységre való szűrés nélkül jelentendő: „</w:t>
      </w:r>
      <w:bookmarkStart w:id="135" w:name="_Hlk74695231"/>
      <w:r w:rsidR="0014658D" w:rsidRPr="000C2023">
        <w:t>Ingatlan fedezet hitelbírálatkori piaci érték meghatározási módszere</w:t>
      </w:r>
      <w:bookmarkEnd w:id="135"/>
      <w:r w:rsidR="0014658D" w:rsidRPr="000C2023">
        <w:t xml:space="preserve">” és „Ingatlan fedezet aktuális piaci érték meghatározási módszere”. Ezen mezők beépítésének célja elsősorban az ún. statisztikai értékbecslés alkalmazásának megfigyelése, mivel a 25/1997. (VIII.1.) számú, a </w:t>
      </w:r>
      <w:r w:rsidR="0014658D" w:rsidRPr="000C2023">
        <w:lastRenderedPageBreak/>
        <w:t xml:space="preserve">termőföldnek nem minősülő ingatlanok hitelbiztosítéki értékének meghatározására vonatkozó módszertani elvekről szóló PM rendelet módosításának megfelelően lehetségessé válik a statisztikai alapú értékbecslések hitelkihelyezéskor történő alkalmazása ingatlanfedezetek esetén, ennek megfelelően ezekben az esetekben kötelező a mezők töltése. A FEDE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FEDE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PM rendelet szerinti </w:t>
      </w:r>
      <w:r w:rsidR="003C0F51">
        <w:t>statisztikai értékbecslést, valamint a FEDA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2023. március vonatkozási időtől kezdődően három új mező kerül beépítésre a FEDE és FEDA táblákba</w:t>
      </w:r>
      <w:r w:rsidR="00DB4F68">
        <w:t xml:space="preserve"> a </w:t>
      </w:r>
      <w:r w:rsidR="000C6D81">
        <w:rPr>
          <w:rFonts w:asciiTheme="minorHAnsi" w:hAnsiTheme="minorHAnsi" w:cs="Arial"/>
        </w:rPr>
        <w:t>PVOV</w:t>
      </w:r>
      <w:r w:rsidR="00DB4F68">
        <w:t xml:space="preserve"> tekintetében az FF</w:t>
      </w:r>
      <w:r w:rsidR="00441EDB">
        <w:t xml:space="preserve"> és a KK</w:t>
      </w:r>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7A0ED6C1"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w:t>
      </w:r>
      <w:r w:rsidR="00901FA5">
        <w:rPr>
          <w:rFonts w:asciiTheme="minorHAnsi" w:hAnsiTheme="minorHAnsi" w:cstheme="minorHAnsi"/>
        </w:rPr>
        <w:t>kerültek</w:t>
      </w:r>
      <w:r w:rsidR="00901FA5" w:rsidRPr="00295977">
        <w:rPr>
          <w:rFonts w:asciiTheme="minorHAnsi" w:hAnsiTheme="minorHAnsi" w:cstheme="minorHAnsi"/>
        </w:rPr>
        <w:t xml:space="preserve"> </w:t>
      </w:r>
      <w:r w:rsidR="00647E9E" w:rsidRPr="00295977">
        <w:rPr>
          <w:rFonts w:asciiTheme="minorHAnsi" w:hAnsiTheme="minorHAnsi" w:cstheme="minorHAnsi"/>
        </w:rPr>
        <w:t xml:space="preserve">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30"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mezők vonatkozásában elfogadható a 7/2006. (V. 24.) TNM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18C476CA" w:rsidR="00000414" w:rsidRPr="000C2023" w:rsidRDefault="000E0A5C" w:rsidP="000E0A5C">
      <w:pPr>
        <w:rPr>
          <w:rFonts w:cs="Arial"/>
        </w:rPr>
      </w:pPr>
      <w:r w:rsidRPr="000E0A5C">
        <w:rPr>
          <w:rFonts w:cs="Arial"/>
        </w:rPr>
        <w:t xml:space="preserve">2025. </w:t>
      </w:r>
      <w:r>
        <w:rPr>
          <w:rFonts w:cs="Arial"/>
        </w:rPr>
        <w:t>negyedik negyedévi</w:t>
      </w:r>
      <w:r w:rsidRPr="000E0A5C">
        <w:rPr>
          <w:rFonts w:cs="Arial"/>
        </w:rPr>
        <w:t xml:space="preserve"> vonatkozási időtől kezdődően jelentendő mind a FEDE, mind a FEDA táblában a „</w:t>
      </w:r>
      <w:r w:rsidRPr="00FE6735">
        <w:rPr>
          <w:rFonts w:cs="Arial"/>
          <w:b/>
          <w:bCs/>
        </w:rPr>
        <w:t>Szén-dioxid-kibocsátás (kg/m2/év) eredeti/aktuális</w:t>
      </w:r>
      <w:r w:rsidRPr="000E0A5C">
        <w:rPr>
          <w:rFonts w:cs="Arial"/>
        </w:rPr>
        <w:t>” információ a 176/2008. (VI. 30.) Korm. rendelet (egyes építésügyi tárgyú kormányrendeleteknek az épületenergetikai követelményekkel összefüggő módosításáról) alapján érintett ingatlanfedezetek esetén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Fejlesztés/építés alatt álló ingatlanok esetén a tervdokumentáció szerinti CO2 kibocsátás jelentendő ebben a mezőben. Amennyiben a használatbavételi engedélyben eltérőek az adatok, módosítandó a „Szén-dioxid-kibocsátás (kg/m2/év) aktuális” mező értéke. A mezők csak 2025. január 1-től kezdődő szerződéskötések esetén töltendők.</w:t>
      </w:r>
      <w:r>
        <w:rPr>
          <w:rFonts w:cs="Arial"/>
        </w:rPr>
        <w:t xml:space="preserve"> A fenti mezők </w:t>
      </w:r>
      <w:r w:rsidRPr="000E0A5C">
        <w:rPr>
          <w:rFonts w:cs="Arial"/>
        </w:rPr>
        <w:t>csak PVOV esetén töltendő, KK és FF tevékenység kivételével</w:t>
      </w:r>
      <w:r>
        <w:rPr>
          <w:rFonts w:cs="Arial"/>
        </w:rPr>
        <w:t>.</w:t>
      </w:r>
    </w:p>
    <w:p w14:paraId="1FEE5D58" w14:textId="0B2CBA42" w:rsidR="008B6254" w:rsidRPr="000C2023" w:rsidRDefault="008B6254" w:rsidP="00C14714">
      <w:pPr>
        <w:pStyle w:val="Cmsor3"/>
        <w:keepNext/>
        <w:jc w:val="both"/>
        <w:rPr>
          <w:b/>
          <w:szCs w:val="22"/>
        </w:rPr>
      </w:pPr>
      <w:bookmarkStart w:id="136" w:name="_Toc106619740"/>
      <w:bookmarkStart w:id="137" w:name="_Toc149904386"/>
      <w:r w:rsidRPr="000C2023">
        <w:rPr>
          <w:b/>
          <w:szCs w:val="22"/>
        </w:rPr>
        <w:t>Fedezet-értékek elkülönítése</w:t>
      </w:r>
      <w:bookmarkEnd w:id="136"/>
      <w:bookmarkEnd w:id="137"/>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illetve KK tevékenység esetén átvételkori</w:t>
      </w:r>
      <w:r w:rsidR="006C1FB5" w:rsidRPr="000C2023">
        <w:rPr>
          <w:rFonts w:cs="Arial"/>
        </w:rPr>
        <w:t xml:space="preserve"> </w:t>
      </w:r>
      <w:r w:rsidR="00072D43" w:rsidRPr="000C2023">
        <w:rPr>
          <w:rFonts w:cs="Arial"/>
        </w:rPr>
        <w:t xml:space="preserve">(FEDE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 xml:space="preserve">(FEDA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lastRenderedPageBreak/>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r w:rsidR="009111BF" w:rsidRPr="000C2023">
        <w:rPr>
          <w:rFonts w:cs="Calibri"/>
          <w:color w:val="000000"/>
        </w:rPr>
        <w:t>CRR 4. cikk (1) bekezdés 76. pontja szerinti fogalom</w:t>
      </w:r>
      <w:r w:rsidR="009111BF" w:rsidRPr="000C2023">
        <w:t xml:space="preserve">, azaz </w:t>
      </w:r>
      <w:r w:rsidR="00A025A9" w:rsidRPr="000C2023">
        <w:rPr>
          <w:rFonts w:cs="EUAlbertina"/>
          <w:color w:val="000000"/>
        </w:rPr>
        <w:t>az ingatlan szempontjából az a becsült érték, amelyen az ingatlant egy eladni szándékozó eladó megfelelő hirdetés útján egy vásárolni szándékozó vevőnek független ügylet során el tudná adni az értékelés időpontjában, feltételezve, hogy a felek jól értesülten,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38"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(mobilizálhatóság, hozzáférhetőség, értékállandóság, a biztosítékot nyújtó fél gazdasági helyzete, egyéb) alapján korrigálhat.</w:t>
      </w:r>
      <w:r w:rsidR="00AE4BA6" w:rsidRPr="000C2023">
        <w:rPr>
          <w:rFonts w:cs="Arial"/>
        </w:rPr>
        <w:t>;</w:t>
      </w:r>
    </w:p>
    <w:bookmarkEnd w:id="138"/>
    <w:p w14:paraId="7147240E" w14:textId="1C7EC354" w:rsidR="003F5BD4" w:rsidRPr="000C2023" w:rsidRDefault="008B6254" w:rsidP="00C14714">
      <w:pPr>
        <w:pStyle w:val="Listaszerbekezds"/>
        <w:numPr>
          <w:ilvl w:val="0"/>
          <w:numId w:val="24"/>
        </w:numPr>
        <w:rPr>
          <w:snapToGrid w:val="0"/>
        </w:rPr>
      </w:pPr>
      <w:r w:rsidRPr="000C2023">
        <w:rPr>
          <w:rFonts w:cs="Arial"/>
          <w:b/>
        </w:rPr>
        <w:t>likvidációs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FEDE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FEDA táblában nincs dátumszűkítés (az aktuális értékek rendelkezésre kell álljanak).</w:t>
      </w:r>
      <w:r w:rsidR="00D83C7D" w:rsidRPr="000C2023">
        <w:rPr>
          <w:snapToGrid w:val="0"/>
        </w:rPr>
        <w:t xml:space="preserve"> LIZ tevékenység esetén a FEDE táblában megfelelő, ha a szállítói számla, illetve a katalógusérték alapján történik az eredeti érték megállapítása, a FEDA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FEDE mind a FEDA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FEDE és FEDA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INST_FED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INSTR táblában </w:t>
      </w:r>
      <w:r w:rsidRPr="000C2023">
        <w:rPr>
          <w:rFonts w:cs="Times New Roman"/>
        </w:rPr>
        <w:t>flagelni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r w:rsidRPr="000C2023">
        <w:rPr>
          <w:rFonts w:cs="Times New Roman"/>
        </w:rPr>
        <w:t>flag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INSTR táblában a </w:t>
      </w:r>
      <w:r w:rsidRPr="000C2023">
        <w:rPr>
          <w:rFonts w:cs="Times New Roman"/>
        </w:rPr>
        <w:t xml:space="preserve">flag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lastRenderedPageBreak/>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39" w:name="_Toc106619741"/>
      <w:bookmarkStart w:id="140" w:name="_Toc149904387"/>
      <w:r w:rsidRPr="000C2023">
        <w:rPr>
          <w:b/>
          <w:szCs w:val="22"/>
        </w:rPr>
        <w:t>A fedezetek megszűnése</w:t>
      </w:r>
      <w:bookmarkEnd w:id="139"/>
      <w:bookmarkEnd w:id="140"/>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r w:rsidR="00FD65E3" w:rsidRPr="000C2023">
        <w:rPr>
          <w:rFonts w:cs="Arial"/>
        </w:rPr>
        <w:t xml:space="preserve">FEDE </w:t>
      </w:r>
      <w:r w:rsidR="00A01B29" w:rsidRPr="000C2023">
        <w:rPr>
          <w:rFonts w:cs="Arial"/>
        </w:rPr>
        <w:t xml:space="preserve">és FEDA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r w:rsidR="00FD65E3" w:rsidRPr="000C2023">
        <w:rPr>
          <w:rFonts w:cs="Arial"/>
        </w:rPr>
        <w:t xml:space="preserve">INST_FED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UGYFL, UGYFBV, vagy UGYFKV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FED_UGYF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41" w:name="_Toc106619742"/>
      <w:bookmarkStart w:id="142" w:name="_Toc149904388"/>
      <w:r w:rsidRPr="000C2023">
        <w:rPr>
          <w:sz w:val="22"/>
          <w:szCs w:val="22"/>
        </w:rPr>
        <w:t xml:space="preserve">ÜGYFELEKRE vonatkozó </w:t>
      </w:r>
      <w:r w:rsidR="00E60D85" w:rsidRPr="000C2023">
        <w:rPr>
          <w:sz w:val="22"/>
          <w:szCs w:val="22"/>
        </w:rPr>
        <w:t>táblák</w:t>
      </w:r>
      <w:bookmarkEnd w:id="141"/>
      <w:bookmarkEnd w:id="142"/>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43" w:name="_Toc106619743"/>
      <w:bookmarkStart w:id="144" w:name="_Toc149904389"/>
      <w:r w:rsidRPr="000C2023">
        <w:rPr>
          <w:b/>
          <w:szCs w:val="22"/>
        </w:rPr>
        <w:t>Általános tudnivalók</w:t>
      </w:r>
      <w:bookmarkEnd w:id="143"/>
      <w:bookmarkEnd w:id="144"/>
    </w:p>
    <w:p w14:paraId="1AD5D71D" w14:textId="1E8116BE" w:rsidR="00CB2B74" w:rsidRPr="000C2023" w:rsidRDefault="00CB2B74" w:rsidP="00C14714">
      <w:pPr>
        <w:rPr>
          <w:rFonts w:cs="Arial"/>
        </w:rPr>
      </w:pPr>
      <w:r w:rsidRPr="000C2023">
        <w:rPr>
          <w:rFonts w:cs="Arial"/>
        </w:rPr>
        <w:t xml:space="preserve">Az UGYF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az INSTR/INSTK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lastRenderedPageBreak/>
        <w:t>A tárgy</w:t>
      </w:r>
      <w:r w:rsidR="0071171E" w:rsidRPr="000C2023">
        <w:rPr>
          <w:rFonts w:cs="Arial"/>
        </w:rPr>
        <w:t>negyedévé</w:t>
      </w:r>
      <w:r w:rsidRPr="000C2023">
        <w:rPr>
          <w:rFonts w:cs="Arial"/>
        </w:rPr>
        <w:t>b</w:t>
      </w:r>
      <w:r w:rsidR="0071171E" w:rsidRPr="000C2023">
        <w:rPr>
          <w:rFonts w:cs="Arial"/>
        </w:rPr>
        <w:t>e</w:t>
      </w:r>
      <w:r w:rsidRPr="000C2023">
        <w:rPr>
          <w:rFonts w:cs="Arial"/>
        </w:rPr>
        <w:t>n keletkező és megszűnő hitelek esetében az ügyféltáblákban szűkebb attribútumkör jelentendő kötelezően, a részletes listát a technikai segédletek között szereplő adatmodell excel file tartalmazza.</w:t>
      </w:r>
    </w:p>
    <w:p w14:paraId="5152D5A6" w14:textId="67394109" w:rsidR="00D443EC" w:rsidRPr="000C2023" w:rsidRDefault="00D443EC" w:rsidP="00C14714">
      <w:pPr>
        <w:rPr>
          <w:rFonts w:cs="Arial"/>
        </w:rPr>
      </w:pPr>
      <w:r w:rsidRPr="000C2023">
        <w:rPr>
          <w:rFonts w:cs="Arial"/>
        </w:rPr>
        <w:t xml:space="preserve">Az egyes UGYF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Azt az információt, hogy melyik instrumentumhoz kapcsolódik az ügyfél, az INST_UGYF, illetve FED_UGYF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r w:rsidR="000C6D81">
        <w:rPr>
          <w:rFonts w:asciiTheme="minorHAnsi" w:hAnsiTheme="minorHAnsi" w:cs="Arial"/>
        </w:rPr>
        <w:t>PVOV</w:t>
      </w:r>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UGYFL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5"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5"/>
    </w:p>
    <w:p w14:paraId="0AFEA3C7" w14:textId="001BC71B" w:rsidR="00CD41AE" w:rsidRPr="00A60276" w:rsidRDefault="00022C69" w:rsidP="00C14714">
      <w:r w:rsidRPr="000C2023">
        <w:rPr>
          <w:rFonts w:asciiTheme="minorHAnsi" w:hAnsiTheme="minorHAnsi" w:cstheme="minorHAnsi"/>
        </w:rPr>
        <w:t xml:space="preserve">Szintén 2022. júniustól jelentendő </w:t>
      </w:r>
      <w:r w:rsidR="000C6D81">
        <w:rPr>
          <w:rFonts w:asciiTheme="minorHAnsi" w:hAnsiTheme="minorHAnsi" w:cs="Arial"/>
        </w:rPr>
        <w:t>PVOV</w:t>
      </w:r>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(’I_UF’), az ügyfélcsoport többi tagjánál ügyfélcsoportszintű (’I_CSOP’)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r w:rsidR="000C6D81">
        <w:rPr>
          <w:rFonts w:asciiTheme="minorHAnsi" w:hAnsiTheme="minorHAnsi" w:cs="Arial"/>
        </w:rPr>
        <w:t>PVOV</w:t>
      </w:r>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46" w:name="_Toc106619744"/>
      <w:bookmarkStart w:id="147" w:name="_Toc149904390"/>
      <w:r w:rsidRPr="000C2023">
        <w:rPr>
          <w:b/>
          <w:szCs w:val="22"/>
        </w:rPr>
        <w:t>A háztartási ügyfelekre vonatkozó tábla (UGYFL)</w:t>
      </w:r>
      <w:bookmarkEnd w:id="146"/>
      <w:bookmarkEnd w:id="147"/>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8"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Amennyiben adathiba javítása miatt megváltozik az anonim azonosító, akkor INSTR</w:t>
      </w:r>
      <w:r w:rsidR="00191130" w:rsidRPr="000C2023">
        <w:rPr>
          <w:rFonts w:cs="Arial"/>
        </w:rPr>
        <w:t>_</w:t>
      </w:r>
      <w:r w:rsidR="00714F65" w:rsidRPr="000C2023">
        <w:rPr>
          <w:rFonts w:cs="Arial"/>
        </w:rPr>
        <w:t>UGYF táblába az ügyfélváltozás oka mezőbe beépített vonatkozó kódérték (</w:t>
      </w:r>
      <w:r w:rsidR="00D64ECE" w:rsidRPr="000C2023">
        <w:rPr>
          <w:rFonts w:cs="Arial"/>
        </w:rPr>
        <w:t>’KORREKCIO’</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8"/>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r w:rsidR="0005126A" w:rsidRPr="000C2023">
        <w:rPr>
          <w:rFonts w:cs="Arial"/>
        </w:rPr>
        <w:t>UGYFL</w:t>
      </w:r>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r w:rsidRPr="000C2023">
        <w:rPr>
          <w:rFonts w:cs="Arial"/>
        </w:rPr>
        <w:t>OSTERMELO</w:t>
      </w:r>
      <w:r w:rsidR="00060D1F" w:rsidRPr="000C2023">
        <w:rPr>
          <w:rFonts w:cs="Arial"/>
        </w:rPr>
        <w:t>’ kóddal jelentendő</w:t>
      </w:r>
      <w:r w:rsidRPr="000C2023">
        <w:rPr>
          <w:rFonts w:cs="Arial"/>
        </w:rPr>
        <w:t>. Az INST_UGYF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UGYFL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lastRenderedPageBreak/>
        <w:t>Az ágazat információ KK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KK tevékenység kivételével. </w:t>
      </w:r>
      <w:r w:rsidR="001A66FA">
        <w:rPr>
          <w:rFonts w:asciiTheme="minorHAnsi" w:hAnsiTheme="minorHAnsi" w:cstheme="minorHAnsi"/>
        </w:rPr>
        <w:t>Amennyiben nem áll rendelkezésre az adat és semmiképp nem szerezhető be, a ’NEM_ISMERT’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49" w:name="_Toc106619745"/>
      <w:bookmarkStart w:id="150" w:name="_Toc149904391"/>
      <w:r w:rsidRPr="000C2023">
        <w:rPr>
          <w:b/>
          <w:szCs w:val="22"/>
        </w:rPr>
        <w:t>Vállalkozások</w:t>
      </w:r>
      <w:bookmarkEnd w:id="149"/>
      <w:bookmarkEnd w:id="150"/>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r w:rsidRPr="000C2023">
        <w:rPr>
          <w:rFonts w:cs="Arial"/>
        </w:rPr>
        <w:t>UGYFBV – belföldi, törzsszámmal rendelkező vállalkozások</w:t>
      </w:r>
    </w:p>
    <w:p w14:paraId="38270015" w14:textId="77777777" w:rsidR="00C16D5B" w:rsidRPr="000C2023" w:rsidRDefault="00C16D5B" w:rsidP="00C14714">
      <w:pPr>
        <w:pStyle w:val="Listaszerbekezds"/>
        <w:numPr>
          <w:ilvl w:val="0"/>
          <w:numId w:val="10"/>
        </w:numPr>
        <w:rPr>
          <w:rFonts w:cs="Arial"/>
        </w:rPr>
      </w:pPr>
      <w:r w:rsidRPr="000C2023">
        <w:rPr>
          <w:rFonts w:cs="Arial"/>
        </w:rPr>
        <w:t xml:space="preserve">UGYFBVTN – belföldi, törzsszám nélküli vállalkozások </w:t>
      </w:r>
    </w:p>
    <w:p w14:paraId="38F73A14" w14:textId="77777777" w:rsidR="00C16D5B" w:rsidRPr="000C2023" w:rsidRDefault="00C16D5B" w:rsidP="00C14714">
      <w:pPr>
        <w:pStyle w:val="Listaszerbekezds"/>
        <w:numPr>
          <w:ilvl w:val="0"/>
          <w:numId w:val="10"/>
        </w:numPr>
        <w:rPr>
          <w:rFonts w:cs="Arial"/>
        </w:rPr>
      </w:pPr>
      <w:r w:rsidRPr="000C2023">
        <w:rPr>
          <w:rFonts w:cs="Arial"/>
        </w:rPr>
        <w:t xml:space="preserve">UGYFKV –külföldi vállalati ügyfelek </w:t>
      </w:r>
    </w:p>
    <w:p w14:paraId="0465E4E5" w14:textId="59867235" w:rsidR="00C16D5B" w:rsidRPr="000C2023" w:rsidRDefault="00C16D5B" w:rsidP="00C14714">
      <w:pPr>
        <w:rPr>
          <w:rFonts w:cs="Arial"/>
        </w:rPr>
      </w:pPr>
      <w:r w:rsidRPr="000C2023">
        <w:rPr>
          <w:rFonts w:cs="Arial"/>
        </w:rPr>
        <w:t xml:space="preserve">Az UGYFBV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2651B52F" w:rsidR="00C71202" w:rsidRDefault="00C71202" w:rsidP="00C14714">
      <w:pPr>
        <w:rPr>
          <w:rFonts w:cs="Arial"/>
        </w:rPr>
      </w:pPr>
    </w:p>
    <w:p w14:paraId="6FB3F28A" w14:textId="73B5767E" w:rsidR="00B35D42" w:rsidRDefault="00B35D42" w:rsidP="00C14714">
      <w:pPr>
        <w:rPr>
          <w:rFonts w:cs="Arial"/>
        </w:rPr>
      </w:pPr>
      <w:r w:rsidRPr="00B35D42">
        <w:rPr>
          <w:noProof/>
        </w:rPr>
        <w:lastRenderedPageBreak/>
        <w:drawing>
          <wp:inline distT="0" distB="0" distL="0" distR="0" wp14:anchorId="5CAA995E" wp14:editId="31286648">
            <wp:extent cx="6047740" cy="8510905"/>
            <wp:effectExtent l="0" t="0" r="0" b="4445"/>
            <wp:docPr id="208536455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8510905"/>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Az UGYFBV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D1541DC"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MRP szervezetek), bár az aggregált statisztikákban J1 szektoron szerepeltetendők (lakosság), az UGYFBV táblában jelentendők. Ez azt jelenti, hogy ezek a szervezetek </w:t>
      </w:r>
      <w:r w:rsidR="0012447D">
        <w:rPr>
          <w:rFonts w:asciiTheme="minorHAnsi" w:hAnsiTheme="minorHAnsi" w:cstheme="minorHAnsi"/>
        </w:rPr>
        <w:t>a</w:t>
      </w:r>
      <w:r w:rsidRPr="000C2023">
        <w:rPr>
          <w:rFonts w:asciiTheme="minorHAnsi" w:hAnsiTheme="minorHAnsi" w:cstheme="minorHAnsi"/>
        </w:rPr>
        <w:t xml:space="preserve"> törzsszámmal azonosítottan az UGYFBV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2023. március vonatkozási időtől kezdődően az UGYFBV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2023. decemberi vonatkozási időtől kezdődően az UGYFBV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FF tevékenység esetén a mező minden esetben ’N’ értékkel töltendő (azaz FF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r w:rsidR="00C03AB3" w:rsidRPr="00F451BD">
        <w:rPr>
          <w:rFonts w:eastAsia="Times New Roman"/>
        </w:rPr>
        <w:t xml:space="preserve">CSRD_KOD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r w:rsidR="00C03AB3" w:rsidRPr="00996415">
        <w:rPr>
          <w:rFonts w:eastAsia="Times New Roman"/>
        </w:rPr>
        <w:t>TAX_UGYF</w:t>
      </w:r>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6F383717" w:rsidR="00C16D5B" w:rsidRPr="000C2023" w:rsidRDefault="00C16D5B" w:rsidP="00C14714">
      <w:pPr>
        <w:rPr>
          <w:rFonts w:cs="Arial"/>
        </w:rPr>
      </w:pPr>
      <w:r w:rsidRPr="000C2023">
        <w:rPr>
          <w:rFonts w:cs="Arial"/>
        </w:rPr>
        <w:t>Amennyiben a belföldi vállalkozás nem rendelkezik törzsszámmal (pl. egyes társasházak, víziközmű-társulatok, stb.), ott adott belföldi vállalati ügyfél az UGYFBVTN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lastRenderedPageBreak/>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A külföldi vállalkozások esetében az ügyféladatokat az UGYFKV táblában kell jelenteni. Az azonosító az adatszolgáltató által képzett egyedi, időben állandó azonosító kell legyen, ami „KULF_” előtaggal kezdődik. Ezen kívül meg kell adni a hitelbírálatkor bekért külföldi vállalati azonosítók valamelyikét vagy akár az összes azonosítót</w:t>
      </w:r>
      <w:r w:rsidR="001E1B8D" w:rsidRPr="000C2023">
        <w:rPr>
          <w:rFonts w:cs="Arial"/>
        </w:rPr>
        <w:t xml:space="preserve"> (adószám, cégjegyzékszám,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038C4840" w:rsidR="00B56E01" w:rsidRDefault="00B56E01" w:rsidP="00C14714"/>
    <w:p w14:paraId="646A3071" w14:textId="18BF8964" w:rsidR="00B35D42" w:rsidRPr="000C2023" w:rsidRDefault="00B35D42" w:rsidP="00C14714">
      <w:r w:rsidRPr="00B35D42">
        <w:rPr>
          <w:noProof/>
        </w:rPr>
        <w:lastRenderedPageBreak/>
        <w:drawing>
          <wp:inline distT="0" distB="0" distL="0" distR="0" wp14:anchorId="4A5E3B33" wp14:editId="31E9A1E3">
            <wp:extent cx="6047740" cy="8141970"/>
            <wp:effectExtent l="0" t="0" r="0" b="0"/>
            <wp:docPr id="70953123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141970"/>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Külföldi állami szerv által nyújtott garancia/kezesség: a fedezetnyújtót az UGYFKV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AnaCredit adatszolgáltatásához megadott formátuma, az alkalmazható azonosító-formátumok országonkénti listája megtalálható az EKB honlapján (link: </w:t>
      </w:r>
      <w:hyperlink r:id="rId36" w:history="1">
        <w:r w:rsidRPr="000C2023">
          <w:rPr>
            <w:rStyle w:val="Hiperhivatkozs"/>
            <w:rFonts w:asciiTheme="minorHAnsi" w:hAnsiTheme="minorHAnsi" w:cstheme="minorHAnsi"/>
            <w:vertAlign w:val="baseline"/>
          </w:rPr>
          <w:t>'List of national identifiers'</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2023. decemberi vonatkozási időtől kezdődően az UGYFKV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FF tevékenység esetén a mező minden esetben ’N’ értékkel töltendő (azaz FF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53E17CA6" w14:textId="77777777" w:rsidR="0012447D" w:rsidRPr="000C2023" w:rsidRDefault="0012447D"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51" w:name="_Toc106619746"/>
      <w:bookmarkStart w:id="152" w:name="_Toc149904392"/>
      <w:r w:rsidRPr="000C2023">
        <w:rPr>
          <w:b/>
          <w:szCs w:val="22"/>
        </w:rPr>
        <w:t>Ügyfélminősítésre vonatkozó tábla</w:t>
      </w:r>
      <w:bookmarkEnd w:id="151"/>
      <w:r w:rsidR="00857F39">
        <w:rPr>
          <w:b/>
          <w:szCs w:val="22"/>
        </w:rPr>
        <w:t xml:space="preserve"> (UGYFM)</w:t>
      </w:r>
      <w:bookmarkEnd w:id="152"/>
    </w:p>
    <w:p w14:paraId="6DB8DC16" w14:textId="72D4563B" w:rsidR="001E1B8D" w:rsidRPr="000C2023" w:rsidRDefault="001E1B8D" w:rsidP="00C14714">
      <w:pPr>
        <w:rPr>
          <w:rFonts w:cs="Arial"/>
        </w:rPr>
      </w:pPr>
      <w:r w:rsidRPr="000C2023">
        <w:rPr>
          <w:rFonts w:cs="Arial"/>
        </w:rPr>
        <w:t xml:space="preserve">Az UGYFM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704A2983"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r w:rsidR="0012447D">
        <w:t xml:space="preserve"> </w:t>
      </w:r>
      <w:r w:rsidRPr="000C2023">
        <w:t>(2) pontja esetén az ügyfélminősítés teljesítő marad, azonban az ügyletszintű nemteljesítés tekintetében a cross-default kódok alkalmazandók az ügylet szinten az ügyfél más hitele miatt nemteljesítő kategóriába került instrumentumnál.</w:t>
      </w:r>
    </w:p>
    <w:p w14:paraId="219B9DEA" w14:textId="052AFBB6" w:rsidR="00B27C3C" w:rsidRDefault="00B27C3C" w:rsidP="00C14714">
      <w:r w:rsidRPr="000C2023">
        <w:t>KK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az ügyfél- és partnerminősítés, valamint a fedezetértékelés prudenciális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r w:rsidR="000C6D81">
        <w:rPr>
          <w:rFonts w:asciiTheme="minorHAnsi" w:hAnsiTheme="minorHAnsi" w:cs="Arial"/>
        </w:rPr>
        <w:t>PVOV</w:t>
      </w:r>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Abban az esetben, ha az ügyfél több score-ral rendelkezik az adott termékre vonatkozóan, akkor a leginkább hátrányos score jelentendő.</w:t>
      </w:r>
    </w:p>
    <w:p w14:paraId="14621B37" w14:textId="6B4F69D1" w:rsidR="0041388B" w:rsidRPr="000C2023" w:rsidRDefault="00B40D7F" w:rsidP="00C14714">
      <w:r w:rsidRPr="00B40D7F">
        <w:rPr>
          <w:rFonts w:asciiTheme="minorHAnsi" w:hAnsiTheme="minorHAnsi" w:cstheme="minorHAnsi"/>
        </w:rPr>
        <w:lastRenderedPageBreak/>
        <w:t>Megszűnő instrumentumokhoz kapcsolódó ügyfelek esetén (amennyiben az ügyfél nem kapcsolódik más élő instrumentumhoz), az UGYFM tábla jelenthető nemlegesen. A szabályok azonban várják a tábla töltését (warning szabály vezérli a töltést), mivel újabb szűrés az INSTM táblára nem építhető be a szabályokba. Ennek következtében úgy oldható meg az, hogy ne kelljen tölteni a táblát, hogy az adott adós ügyfél esetén az ügyféltáblában az ’ADOS_KOD’ mező értéke ’N’-ként kerül jelentésre vagy ezekben az esetekben a kapott warning jelzés indokolt hibának tekintendő.</w:t>
      </w:r>
    </w:p>
    <w:p w14:paraId="0952CE28" w14:textId="057C37BA" w:rsidR="00D427D2" w:rsidRDefault="00D427D2" w:rsidP="00C14714">
      <w:pPr>
        <w:pStyle w:val="Cmsor3"/>
        <w:jc w:val="both"/>
        <w:rPr>
          <w:b/>
          <w:szCs w:val="22"/>
        </w:rPr>
      </w:pPr>
      <w:bookmarkStart w:id="153" w:name="_Toc106619747"/>
      <w:bookmarkStart w:id="154" w:name="_Toc149904393"/>
      <w:r w:rsidRPr="000C2023">
        <w:rPr>
          <w:b/>
          <w:szCs w:val="22"/>
        </w:rPr>
        <w:t>Hitelbírálati adatok</w:t>
      </w:r>
      <w:bookmarkEnd w:id="153"/>
      <w:r w:rsidRPr="000C2023">
        <w:rPr>
          <w:b/>
          <w:szCs w:val="22"/>
        </w:rPr>
        <w:t xml:space="preserve"> </w:t>
      </w:r>
      <w:r w:rsidR="00857F39">
        <w:rPr>
          <w:b/>
          <w:szCs w:val="22"/>
        </w:rPr>
        <w:t>(HBIR)</w:t>
      </w:r>
      <w:bookmarkEnd w:id="154"/>
    </w:p>
    <w:p w14:paraId="0B139049" w14:textId="77777777" w:rsidR="00857F39" w:rsidRPr="00857F39" w:rsidRDefault="00857F39" w:rsidP="00857F39"/>
    <w:p w14:paraId="76E9E3C9" w14:textId="68277568" w:rsidR="00D427D2" w:rsidRPr="000C2023" w:rsidRDefault="00D427D2" w:rsidP="00C14714">
      <w:pPr>
        <w:rPr>
          <w:rFonts w:cs="Arial"/>
        </w:rPr>
      </w:pPr>
      <w:bookmarkStart w:id="155" w:name="_Hlk30507341"/>
      <w:r w:rsidRPr="000C2023">
        <w:rPr>
          <w:rFonts w:cs="Arial"/>
        </w:rPr>
        <w:t xml:space="preserve">A háztartási ügyfelek esetében (csak akkor, ha a háztartási ügyfél adósként vagy adóstársként szerepel valamely instrumentumnál) a HBIR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5"/>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rendelet hatálya alá tartozó szerződések esetén a HBIR tábla töltése kötelező.</w:t>
      </w:r>
      <w:r w:rsidRPr="000C2023">
        <w:rPr>
          <w:rFonts w:cs="Arial"/>
        </w:rPr>
        <w:t xml:space="preserve"> Amennyiben a HBIR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r w:rsidR="001E1B8D" w:rsidRPr="000C2023">
        <w:rPr>
          <w:rFonts w:cs="Arial"/>
        </w:rPr>
        <w:t>VEG</w:t>
      </w:r>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HBIR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Ha adott ügyfél, aki rendelkezik már egy hitellel, amihez kapcsolódik HBIR rekord, újabb hitelt vesz fel újabb hitelbírálattal, akkor új HBIR rekord jelentése szükséges a friss hitelbírálat dátumával. Tehát két HBIR rekord fog ugyanazon ügyfélhez tartozni kétféle dátummal és jövedelemadattal, az első hitelhez a korábbi rekord kerül hozzákötésre a HBIR.INSTR_AZON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HBIR tábla, újabb hiteleket vesz fel újabb hitelbírálatokkal egyazon </w:t>
      </w:r>
      <w:r w:rsidR="00BB465A" w:rsidRPr="000C2023">
        <w:rPr>
          <w:rFonts w:eastAsia="Times New Roman"/>
        </w:rPr>
        <w:t xml:space="preserve">negyedév </w:t>
      </w:r>
      <w:r w:rsidRPr="000C2023">
        <w:rPr>
          <w:rFonts w:eastAsia="Times New Roman"/>
        </w:rPr>
        <w:t>során és eltérnek ezek a hitelbírálati adatok, akkor minden instrumentum tekintetében külön HBIR rekord jelentése szükséges, a HBIR.INSTR_AZON mezőn keresztül a megfelelő instrumentumhoz kötve azokat. Ha a két instrumentumhoz ugyanaz a hitelbírálat tartozik, akkor csak egy plusz HBIR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Ha adott ügyfél tekintetében, aki rendelkezik már egy hitellel, amihez kapcsolódik HBIR rekord, keretet emel a hitelintézet és ezért ugyanahhoz az instrumentumhoz kapcsolódóan új hitelbírálat szükséges, akkor jelentendők az új adatok egy új HBIR rekordon és azt kell hozzákötni a már meglévő instrumentumhoz, a korábbi HBIR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csak egy HBIR rekord kapcsolódhat, mindig annak az instrumentumnak a tekintetében legfrissebb adattal, azonban ha adott ügyfélhez kapcsolódóan új hitelbírálat történik másik instrumentum miatt, akkor a nem érintett instrumentumnál nem kell felülvizsgálni a HBIR adatokat, ott a korábbi rekord jelentendő. Ebből az is következik, hogy egy ügyfélhez kapcsolódóan több HBIR rekord is létezhet a rendszerben egyidejűleg, amennyiben több instrumentummal rendelkezik.</w:t>
      </w:r>
    </w:p>
    <w:p w14:paraId="7F71EE7E" w14:textId="62C5955F" w:rsidR="002362FA" w:rsidRPr="000C2023" w:rsidRDefault="002362FA" w:rsidP="00C14714">
      <w:pPr>
        <w:rPr>
          <w:rFonts w:cs="Arial"/>
        </w:rPr>
      </w:pPr>
      <w:bookmarkStart w:id="156"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A HBIR táblában adat csak akkor jelentendő, ha az instrumentum az INSTR táblában szerepel, tehát</w:t>
      </w:r>
      <w:r w:rsidR="00756FF0" w:rsidRPr="000C2023">
        <w:rPr>
          <w:rFonts w:cs="Arial"/>
        </w:rPr>
        <w:t xml:space="preserve"> kizárólag az INSTK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Amennyiben olyan hitelbírálat történik, ahol a jövedelemadatok nem kerülnek figyelembevételre (pl. lakossági lombard hitelek/önálló vállalkozók hitelbírálata árbevétel alapján, stb.), akkor a HBIR tábla nem töltendő.</w:t>
      </w:r>
    </w:p>
    <w:bookmarkEnd w:id="156"/>
    <w:p w14:paraId="25884F61" w14:textId="2A0354DD" w:rsidR="00E43173" w:rsidRDefault="008A432F" w:rsidP="00C14714">
      <w:r w:rsidRPr="000C2023">
        <w:lastRenderedPageBreak/>
        <w:t xml:space="preserve">Bár az adatmodellben a KK tevékenységhez tartozó oszlopban technikai okokból (a szabályok megfelelő leképezésének elősegítése céljából) a HBIR tábla néhány mezőjénél szerepel a jelentési kötelezettséget jelölő flag, </w:t>
      </w:r>
      <w:r w:rsidR="00E43173" w:rsidRPr="000C2023">
        <w:t xml:space="preserve">KK tevékenység esetén a </w:t>
      </w:r>
      <w:r w:rsidRPr="000C2023">
        <w:t xml:space="preserve">HBIR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57" w:name="_Toc106619748"/>
      <w:bookmarkStart w:id="158" w:name="_Toc149904394"/>
      <w:r w:rsidRPr="000C2023">
        <w:rPr>
          <w:sz w:val="22"/>
          <w:szCs w:val="22"/>
        </w:rPr>
        <w:t xml:space="preserve">KAPCSOLATOKRA vonatkozó </w:t>
      </w:r>
      <w:r w:rsidR="006654F1" w:rsidRPr="000C2023">
        <w:rPr>
          <w:sz w:val="22"/>
          <w:szCs w:val="22"/>
        </w:rPr>
        <w:t>táblák</w:t>
      </w:r>
      <w:bookmarkEnd w:id="157"/>
      <w:bookmarkEnd w:id="158"/>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59" w:name="_Toc106619749"/>
      <w:bookmarkStart w:id="160" w:name="_Toc149904395"/>
      <w:r w:rsidRPr="000C2023">
        <w:rPr>
          <w:b/>
          <w:szCs w:val="22"/>
        </w:rPr>
        <w:t>Instrumentum-ügyfél</w:t>
      </w:r>
      <w:bookmarkEnd w:id="159"/>
      <w:r w:rsidRPr="000C2023">
        <w:rPr>
          <w:b/>
          <w:szCs w:val="22"/>
        </w:rPr>
        <w:t xml:space="preserve"> </w:t>
      </w:r>
      <w:r w:rsidR="00857F39">
        <w:rPr>
          <w:rFonts w:asciiTheme="minorHAnsi" w:hAnsiTheme="minorHAnsi" w:cstheme="minorHAnsi"/>
          <w:b/>
          <w:szCs w:val="20"/>
        </w:rPr>
        <w:t>(</w:t>
      </w:r>
      <w:r w:rsidR="00857F39" w:rsidRPr="0079306E">
        <w:rPr>
          <w:rFonts w:asciiTheme="minorHAnsi" w:hAnsiTheme="minorHAnsi" w:cstheme="minorHAnsi"/>
          <w:b/>
          <w:szCs w:val="20"/>
        </w:rPr>
        <w:t>INST_UGYF</w:t>
      </w:r>
      <w:r w:rsidR="00857F39">
        <w:rPr>
          <w:rFonts w:asciiTheme="minorHAnsi" w:hAnsiTheme="minorHAnsi" w:cstheme="minorHAnsi"/>
          <w:b/>
          <w:szCs w:val="20"/>
        </w:rPr>
        <w:t>)</w:t>
      </w:r>
      <w:bookmarkEnd w:id="160"/>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r w:rsidR="004C0EE1" w:rsidRPr="000C2023">
        <w:rPr>
          <w:rFonts w:cs="Arial"/>
        </w:rPr>
        <w:t xml:space="preserve">INST_UGYF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(kizárólag FF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(INSTK vagy INSTR),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r w:rsidRPr="000C2023">
              <w:rPr>
                <w:rFonts w:eastAsia="Times New Roman" w:cs="Times New Roman"/>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r w:rsidRPr="000C2023">
              <w:rPr>
                <w:rFonts w:eastAsia="Times New Roman" w:cs="Times New Roman"/>
              </w:rPr>
              <w:t>INSTR_AZON</w:t>
            </w:r>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Amennyiben az ügylet a KHR-ben is rögzít</w:t>
      </w:r>
      <w:r w:rsidR="00BD7CBC" w:rsidRPr="000C2023">
        <w:rPr>
          <w:rFonts w:cs="Arial"/>
        </w:rPr>
        <w:t>ett</w:t>
      </w:r>
      <w:r w:rsidR="006C1FB5" w:rsidRPr="000C2023">
        <w:rPr>
          <w:rFonts w:cs="Arial"/>
        </w:rPr>
        <w:t xml:space="preserve">, az </w:t>
      </w:r>
      <w:r w:rsidR="004C0EE1" w:rsidRPr="000C2023">
        <w:rPr>
          <w:rFonts w:cs="Arial"/>
        </w:rPr>
        <w:t xml:space="preserve">INST_UGYF kódú </w:t>
      </w:r>
      <w:r w:rsidR="00F12514" w:rsidRPr="000C2023">
        <w:rPr>
          <w:rFonts w:cs="Arial"/>
        </w:rPr>
        <w:t>táblá</w:t>
      </w:r>
      <w:r w:rsidR="004C0EE1" w:rsidRPr="000C2023">
        <w:rPr>
          <w:rFonts w:cs="Arial"/>
        </w:rPr>
        <w:t>ban</w:t>
      </w:r>
      <w:r w:rsidR="006C1FB5" w:rsidRPr="000C2023">
        <w:rPr>
          <w:rFonts w:cs="Arial"/>
        </w:rPr>
        <w:t xml:space="preserve"> kell megadni a KHR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r w:rsidR="00B0666E">
        <w:rPr>
          <w:rFonts w:asciiTheme="minorHAnsi" w:hAnsiTheme="minorHAnsi" w:cstheme="minorHAnsi"/>
        </w:rPr>
        <w:t>INSTK-ban és</w:t>
      </w:r>
      <w:r w:rsidR="00404E3E" w:rsidRPr="000C2023">
        <w:rPr>
          <w:rFonts w:cs="Arial"/>
        </w:rPr>
        <w:t xml:space="preserve"> INSTR-ben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r w:rsidR="000C6D81">
        <w:rPr>
          <w:rFonts w:asciiTheme="minorHAnsi" w:hAnsiTheme="minorHAnsi" w:cs="Arial"/>
        </w:rPr>
        <w:t>PVOV</w:t>
      </w:r>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61"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’NEM_ISMERT’ kódérték, amennyiben az adat semmiképp nem áll rendelkezésre. 2021.0</w:t>
      </w:r>
      <w:r w:rsidR="00265058" w:rsidRPr="000C2023">
        <w:rPr>
          <w:rFonts w:cs="Arial"/>
        </w:rPr>
        <w:t>7</w:t>
      </w:r>
      <w:r w:rsidR="00794FBC" w:rsidRPr="000C2023">
        <w:rPr>
          <w:rFonts w:cs="Arial"/>
        </w:rPr>
        <w:t>.01-től kezdődően kötött szerződések esetén a ’NEM_ISMERT’ kódérték nem alkalmazható.</w:t>
      </w:r>
      <w:r w:rsidR="00BF4D69">
        <w:rPr>
          <w:rFonts w:cs="Arial"/>
        </w:rPr>
        <w:t xml:space="preserve"> </w:t>
      </w:r>
      <w:r w:rsidR="00BF4D69">
        <w:t>A mező nem töltendő KK és FF tevékenységek esetén.</w:t>
      </w:r>
    </w:p>
    <w:bookmarkEnd w:id="161"/>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 xml:space="preserve">egfelelő eljárás az is, ha a hiteligénylés dátuma helyett a vállalati hitelek esetén, amennyiben nem áll rendelkezésre a hiteligénylés pontos </w:t>
      </w:r>
      <w:r w:rsidR="00C91F95" w:rsidRPr="000C2023">
        <w:lastRenderedPageBreak/>
        <w:t>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A mező nem töltendő KK és FF tevékenységek esetén.</w:t>
      </w:r>
    </w:p>
    <w:p w14:paraId="6CF7EB36" w14:textId="4CD0097F"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r w:rsidR="003F583C" w:rsidRPr="00C06692">
        <w:t>NEM_ISMERT</w:t>
      </w:r>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r w:rsidR="000C6D81">
        <w:rPr>
          <w:rFonts w:asciiTheme="minorHAnsi" w:hAnsiTheme="minorHAnsi" w:cs="Arial"/>
        </w:rPr>
        <w:t>PVOV</w:t>
      </w:r>
      <w:r w:rsidRPr="000C2023">
        <w:t xml:space="preserve"> esetén töltendő</w:t>
      </w:r>
      <w:r w:rsidR="00BF4D69">
        <w:t xml:space="preserve">, KK </w:t>
      </w:r>
      <w:r w:rsidR="003E7F42">
        <w:t xml:space="preserve">és FF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’NEM_ISMERT’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62" w:name="_Toc106619750"/>
      <w:bookmarkStart w:id="163" w:name="_Toc149904396"/>
      <w:r w:rsidRPr="000C2023">
        <w:rPr>
          <w:b/>
          <w:szCs w:val="22"/>
        </w:rPr>
        <w:t>Instrumentum-fedezet</w:t>
      </w:r>
      <w:bookmarkEnd w:id="162"/>
      <w:r w:rsidR="00857F39">
        <w:rPr>
          <w:b/>
          <w:szCs w:val="22"/>
        </w:rPr>
        <w:t xml:space="preserve"> (INST_FED)</w:t>
      </w:r>
      <w:bookmarkEnd w:id="163"/>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t az INST_FED</w:t>
      </w:r>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első alkalommal a FEDE táblában kell megadni (a FEDA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FF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r w:rsidRPr="000C2023">
              <w:rPr>
                <w:rFonts w:eastAsia="Times New Roman" w:cs="Times New Roman"/>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r w:rsidRPr="000C2023">
              <w:rPr>
                <w:rFonts w:eastAsia="Times New Roman" w:cs="Times New Roman"/>
              </w:rPr>
              <w:t>INSTR_AZON</w:t>
            </w:r>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lastRenderedPageBreak/>
        <w:t xml:space="preserve">Az INST_FED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likvidációs értéket használja és allokálja a pénzügyi vállalkozás, akkor az az allokált likvidációs érték és az allokált hitelbiztosítéki érték mezőben is jelentendő (ugyanazzal az értékkel). Ha ellenben a hitelbiztosítéki értéket és a likvidációs értéket is használja és allokálja a pénzügyi vállalkozás, akkor az allokált hitelbiztosítéki és az allokált likvidációs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64092A7F" w:rsidR="00D427D2" w:rsidRPr="000C2023" w:rsidRDefault="008769E3" w:rsidP="00C14714">
      <w:pPr>
        <w:rPr>
          <w:rFonts w:cs="Arial"/>
        </w:rPr>
      </w:pPr>
      <w:r w:rsidRPr="000C2023">
        <w:rPr>
          <w:rFonts w:cs="Arial"/>
        </w:rPr>
        <w:t xml:space="preserve"> </w:t>
      </w:r>
      <w:r w:rsidR="00D427D2" w:rsidRPr="000C2023">
        <w:rPr>
          <w:rFonts w:cs="Arial"/>
        </w:rPr>
        <w:t>Ugyancsak az INST_FED</w:t>
      </w:r>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ban kell feltüntetni a fedezethez az adott instrumentum vonatkozásában kapcsolódó jogokat, a fedezetet megelőző terhek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A fedezetet megelőző terhek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4"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4"/>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4EB0306A"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 xml:space="preserve">A ’VAGYON’ (vagyon terhelő jog) kódérték 2022. június vonatkozási időtől kezdődően olyan módon jelentendő, hogy a kódérték kizárólag az opciós jogokat tartalmazza (vételi, eladási visszavásárlási egyaránt). Új kódérték kerül bevezetésre (’EGYEB_VAGYON’), amely az opciós jogokon kívüli egyéb vagyon terhelő jogok jelentésére szolgál (pl. használati, használatbavételi jog, biztosításhoz kapcsolódó kedvezményezetti jog,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értékadatokat a legkisebb ranghelyhez tartozó értékmezőkbe. A </w:t>
      </w:r>
      <w:r w:rsidR="001043CF" w:rsidRPr="000C2023">
        <w:lastRenderedPageBreak/>
        <w:t>megelőző terhek értékénél jelentendő a példában a 2. ranghely értéke, azaz a hitelintézet ranghelyei „közben” lévő idegen terhek értéke.</w:t>
      </w:r>
    </w:p>
    <w:p w14:paraId="0149437E" w14:textId="583E2A06" w:rsidR="000F69FC" w:rsidRPr="000C2023" w:rsidRDefault="000F69FC" w:rsidP="00C14714">
      <w:r w:rsidRPr="000C2023">
        <w:t xml:space="preserve">Amennyiben egy ranghelyen több hitelintézet szerepel egyidejűleg, akkor az </w:t>
      </w:r>
      <w:bookmarkStart w:id="165" w:name="_Hlk63939677"/>
      <w:r w:rsidRPr="000C2023">
        <w:t xml:space="preserve">INST_FED.ING_RHELY_KIKOT_ERTEK </w:t>
      </w:r>
      <w:bookmarkEnd w:id="165"/>
      <w:r w:rsidRPr="000C2023">
        <w:t xml:space="preserve">mezőben az adat pro-rata alapon jelentendő. </w:t>
      </w:r>
      <w:bookmarkStart w:id="166" w:name="_Hlk63939633"/>
      <w:r w:rsidRPr="000C2023">
        <w:t>Amennyiben a ranghelykikötés értéke egy konkrét összeg és járulékai, akkor jelenthető a konkrét összeg a mezőben, ha a járulékok pontosan nem számszerűsíthetők.</w:t>
      </w:r>
      <w:bookmarkEnd w:id="166"/>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Megelőző saját terhek értéke</w:t>
      </w:r>
      <w:r>
        <w:rPr>
          <w:rFonts w:asciiTheme="minorHAnsi" w:hAnsiTheme="minorHAnsi" w:cstheme="minorHAnsi"/>
        </w:rPr>
        <w:t xml:space="preserve">” és ennek devizaneme </w:t>
      </w:r>
      <w:r w:rsidR="000C6D81">
        <w:rPr>
          <w:rFonts w:asciiTheme="minorHAnsi" w:hAnsiTheme="minorHAnsi" w:cs="Arial"/>
        </w:rPr>
        <w:t>PVOV</w:t>
      </w:r>
      <w:r w:rsidR="000C6D81" w:rsidDel="000C6D81">
        <w:rPr>
          <w:rFonts w:asciiTheme="minorHAnsi" w:hAnsiTheme="minorHAnsi" w:cstheme="minorHAnsi"/>
        </w:rPr>
        <w:t xml:space="preserve"> </w:t>
      </w:r>
      <w:r>
        <w:rPr>
          <w:rFonts w:asciiTheme="minorHAnsi" w:hAnsiTheme="minorHAnsi" w:cstheme="minorHAnsi"/>
        </w:rPr>
        <w:t>esetén. Amennyiben ingatlanfedezet esetén a megelőző terhek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csak az adott adatszolgáltató más ügylete miatt bejegyzett jelzálogjog szerepeltetendő megelőző saját teherként</w:t>
      </w:r>
      <w:r w:rsidR="00884E8C" w:rsidRPr="0047638A">
        <w:rPr>
          <w:rFonts w:asciiTheme="minorHAnsi" w:hAnsiTheme="minorHAnsi" w:cstheme="minorHAnsi"/>
        </w:rPr>
        <w:t>.</w:t>
      </w:r>
      <w:r>
        <w:rPr>
          <w:rFonts w:asciiTheme="minorHAnsi" w:hAnsiTheme="minorHAnsi" w:cstheme="minorHAnsi"/>
        </w:rPr>
        <w:t>.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r w:rsidR="000C6D81">
        <w:rPr>
          <w:rFonts w:asciiTheme="minorHAnsi" w:hAnsiTheme="minorHAnsi" w:cs="Arial"/>
        </w:rPr>
        <w:t>PVOV</w:t>
      </w:r>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67" w:name="_Toc106619751"/>
      <w:bookmarkStart w:id="168" w:name="_Toc149904397"/>
      <w:r w:rsidRPr="000C2023">
        <w:rPr>
          <w:b/>
          <w:szCs w:val="22"/>
        </w:rPr>
        <w:t>Fedezet-ügyfél</w:t>
      </w:r>
      <w:bookmarkEnd w:id="167"/>
      <w:r w:rsidR="00857F39">
        <w:rPr>
          <w:b/>
          <w:szCs w:val="22"/>
        </w:rPr>
        <w:t xml:space="preserve"> (FED_UGYF)</w:t>
      </w:r>
      <w:bookmarkEnd w:id="168"/>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FED_UGYF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UGYFBV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UGYFKV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FED_UGYF kódú </w:t>
      </w:r>
      <w:r w:rsidR="00F12514" w:rsidRPr="000C2023">
        <w:rPr>
          <w:rFonts w:cs="Arial"/>
        </w:rPr>
        <w:t>táblá</w:t>
      </w:r>
      <w:r w:rsidR="00D427D2" w:rsidRPr="000C2023">
        <w:rPr>
          <w:rFonts w:cs="Arial"/>
        </w:rPr>
        <w:t xml:space="preserve">ban </w:t>
      </w:r>
      <w:r w:rsidRPr="000C2023">
        <w:rPr>
          <w:rFonts w:cs="Arial"/>
        </w:rPr>
        <w:t>a fedezetnyújtót ebben az esetben is az UGYFBV/UGYFKV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69" w:name="_Toc106619752"/>
      <w:bookmarkStart w:id="170"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9"/>
      <w:bookmarkEnd w:id="170"/>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lastRenderedPageBreak/>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Pl.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71" w:name="_Toc106619753"/>
      <w:bookmarkStart w:id="172" w:name="_Toc149904399"/>
      <w:r w:rsidRPr="000C2023">
        <w:rPr>
          <w:b/>
          <w:szCs w:val="22"/>
        </w:rPr>
        <w:t>Folyósítás / Törlesztés / Előtörlesztés</w:t>
      </w:r>
      <w:bookmarkEnd w:id="171"/>
      <w:bookmarkEnd w:id="172"/>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FOLY és TORL és ELOT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TORL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TORL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TORL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KK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1634B517" w:rsidR="00BA5B42"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r w:rsidRPr="000C2023">
        <w:rPr>
          <w:rFonts w:cs="Arial"/>
        </w:rPr>
        <w:t>UF_BEFIZ</w:t>
      </w:r>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’ELENG_TAM’</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’ELENG_TAM’</w:t>
      </w:r>
      <w:r w:rsidR="00114857" w:rsidRPr="000C2023">
        <w:t xml:space="preserve"> kódon kell jelenteni a TORL táblában.</w:t>
      </w:r>
      <w:r w:rsidR="002865F3" w:rsidRPr="000C2023">
        <w:t xml:space="preserve"> Szintén </w:t>
      </w:r>
      <w:r w:rsidR="004F22D5" w:rsidRPr="000C2023">
        <w:t>’</w:t>
      </w:r>
      <w:r w:rsidR="002865F3" w:rsidRPr="000C2023">
        <w:t>ELENGED</w:t>
      </w:r>
      <w:r w:rsidR="004F22D5" w:rsidRPr="000C2023">
        <w:t>’/’ELENG_TAM’</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r w:rsidR="0057168A">
        <w:t xml:space="preserve"> ’ELENG_TAM’ kódérték alkalmazandó minden, jogszabályi alapon költségvetési támogatás alapján történő tartozás elengedésnél, így különösen a </w:t>
      </w:r>
      <w:r w:rsidR="0057168A" w:rsidRPr="00EF551E">
        <w:t>518/2023. (XI. 30.) Korm. rendelet a családok otthonteremtését támogató kedvezményes CSOK Plusz hitelprogramról</w:t>
      </w:r>
      <w:r w:rsidR="0057168A">
        <w:t xml:space="preserve">, a </w:t>
      </w:r>
      <w:r w:rsidR="0057168A" w:rsidRPr="00EF551E">
        <w:t>372/2024. (XI. 29.) Korm. rendelet a munkáshitel részletszabályairól</w:t>
      </w:r>
      <w:r w:rsidR="0057168A">
        <w:t xml:space="preserve"> és a </w:t>
      </w:r>
      <w:r w:rsidR="0057168A" w:rsidRPr="00EF551E">
        <w:t>389/2024. (XII. 11.) Korm. rendelet a Vidéki Otthonfelújítási Programról</w:t>
      </w:r>
      <w:r w:rsidR="0057168A">
        <w:t xml:space="preserve"> jogszabályokban foglalt tartozás-elengedések esetén.</w:t>
      </w:r>
    </w:p>
    <w:p w14:paraId="32B582ED" w14:textId="77777777" w:rsidR="00BD4169" w:rsidRDefault="00BD4169" w:rsidP="00C14714">
      <w:pPr>
        <w:spacing w:after="0"/>
      </w:pPr>
    </w:p>
    <w:p w14:paraId="54B22A4D" w14:textId="77777777" w:rsidR="00BD4169" w:rsidRPr="00566032" w:rsidRDefault="00BD4169" w:rsidP="00BD4169">
      <w:pPr>
        <w:spacing w:after="0"/>
      </w:pPr>
      <w:r w:rsidRPr="00566032">
        <w:t>Amennyiben az instrumentum tekintetében az Nhf. törvény alá tartozó értékesítés történik, de az instrumentum nem szűnik meg abban az időszakban, akkor a „Törlesztés forrása” mezőben ’KOVETELES_ERT_NHF’ kódértéket kell alkalmazni.</w:t>
      </w:r>
    </w:p>
    <w:p w14:paraId="2482FA3C" w14:textId="77777777" w:rsidR="00BD4169" w:rsidRPr="000C2023" w:rsidRDefault="00BD4169" w:rsidP="00C14714">
      <w:pPr>
        <w:spacing w:after="0"/>
      </w:pP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A hitelkiváltás előtörlesztésként az ELOT táblában jelentendő. Mivel az ELOT tábla nem ún. „bőlös” tábla, azaz az ELOT táblában jelentett tételeket nem tartalmazza a TORL tábla, a hitelkiváltás a TORL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FOLY, mind az ELOT, mind a TORL táblán belül </w:t>
      </w:r>
      <w:r w:rsidR="00EA42B2" w:rsidRPr="000C2023">
        <w:rPr>
          <w:rFonts w:cs="Arial"/>
        </w:rPr>
        <w:t xml:space="preserve">szintén </w:t>
      </w:r>
      <w:r w:rsidRPr="000C2023">
        <w:rPr>
          <w:rFonts w:cs="Arial"/>
        </w:rPr>
        <w:t>kulcsmezők, azaz pl. a TORL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BD41CD" w:rsidRPr="00BD41CD">
        <w:rPr>
          <w:rFonts w:cs="Arial"/>
        </w:rPr>
        <w:t>A futamidő módosítás nem jelentendő tranzakcióként, technikai flaggel szerepeltetendő a HITREG-ben.</w:t>
      </w:r>
      <w:r w:rsidR="00BD41CD">
        <w:rPr>
          <w:rFonts w:cs="Arial"/>
        </w:rPr>
        <w:t xml:space="preserve"> </w:t>
      </w:r>
      <w:r w:rsidR="0034639D" w:rsidRPr="000C2023">
        <w:rPr>
          <w:rFonts w:cs="Arial"/>
        </w:rPr>
        <w:t>KK tevékenység esetén a mérlegen kívül nyilvántartott, az ügyfélkövetelésre befolyó teljes törlesztési összeget kell jelenteni (a bruttó könyv szerinti értéket meghaladóan) a 23C táblával konzisztens módon.</w:t>
      </w:r>
    </w:p>
    <w:p w14:paraId="00C06D12" w14:textId="53DBAF6D" w:rsidR="003613CD" w:rsidRDefault="009F5526" w:rsidP="00C14714">
      <w:pPr>
        <w:tabs>
          <w:tab w:val="num" w:pos="720"/>
        </w:tabs>
        <w:rPr>
          <w:rFonts w:cs="Arial"/>
        </w:rPr>
      </w:pPr>
      <w:r w:rsidRPr="000C2023">
        <w:rPr>
          <w:rFonts w:cs="Arial"/>
        </w:rPr>
        <w:t>FF és KK tevékenység esetén a negyedéves folyósítás és törlesztés adatok jelenthetők egyösszegben, azzal a</w:t>
      </w:r>
      <w:r w:rsidR="004D58B7" w:rsidRPr="000C2023">
        <w:rPr>
          <w:rFonts w:cs="Arial"/>
        </w:rPr>
        <w:t xml:space="preserve"> – tárgynegyedévbe tartozó - </w:t>
      </w:r>
      <w:r w:rsidRPr="000C2023">
        <w:rPr>
          <w:rFonts w:cs="Arial"/>
        </w:rPr>
        <w:t xml:space="preserve">folyósítási/törlesztési dátummal, amely a rendszerből a legegyszerűbb módon rendelkezésre áll. LIZ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rFonts w:asciiTheme="minorHAnsi" w:hAnsiTheme="minorHAnsi" w:cstheme="minorHAnsi"/>
        </w:rPr>
      </w:pPr>
      <w:r>
        <w:rPr>
          <w:rFonts w:asciiTheme="minorHAnsi" w:hAnsiTheme="minorHAnsi" w:cstheme="minorHAnsi"/>
        </w:rPr>
        <w:t>A rulírozó, de nem folyószámlahitel ún. intraday konstrukciók (napon belüli hitelezés) esetén a tranzakciók bruttó módon jelentendők, azaz folyósítás és törlesztés rekord is jelentendő az adott napi igénybevételnek és visszafizetésnek megfelelően.</w:t>
      </w:r>
    </w:p>
    <w:p w14:paraId="6E33954B" w14:textId="1FAB7C82" w:rsidR="00A10817" w:rsidRPr="00EF2A61" w:rsidRDefault="0012447D" w:rsidP="00A10817">
      <w:pPr>
        <w:tabs>
          <w:tab w:val="num" w:pos="720"/>
        </w:tabs>
        <w:rPr>
          <w:rFonts w:asciiTheme="minorHAnsi" w:hAnsiTheme="minorHAnsi" w:cstheme="minorHAnsi"/>
        </w:rPr>
      </w:pPr>
      <w:r w:rsidRPr="0012447D">
        <w:rPr>
          <w:rFonts w:cs="Arial"/>
        </w:rPr>
        <w:t xml:space="preserve">2025. </w:t>
      </w:r>
      <w:r>
        <w:rPr>
          <w:rFonts w:cs="Arial"/>
        </w:rPr>
        <w:t xml:space="preserve">negyedik negyedéves </w:t>
      </w:r>
      <w:r w:rsidRPr="0012447D">
        <w:rPr>
          <w:rFonts w:cs="Arial"/>
        </w:rPr>
        <w:t>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Pr="0012447D">
        <w:t xml:space="preserve"> </w:t>
      </w:r>
      <w:r>
        <w:t>A</w:t>
      </w:r>
      <w:r w:rsidRPr="0012447D">
        <w:rPr>
          <w:rFonts w:cs="Arial"/>
        </w:rPr>
        <w:t xml:space="preserve"> teljes pénzügyi vállalkozási adatszolgáltatói kör esetén</w:t>
      </w:r>
      <w:r>
        <w:rPr>
          <w:rFonts w:cs="Arial"/>
        </w:rPr>
        <w:t xml:space="preserve"> jelentendő.</w:t>
      </w:r>
      <w:r w:rsidR="00A10817" w:rsidRPr="00A10817">
        <w:rPr>
          <w:rFonts w:asciiTheme="minorHAnsi" w:hAnsiTheme="minorHAnsi" w:cstheme="minorHAnsi"/>
        </w:rPr>
        <w:t xml:space="preserve"> </w:t>
      </w:r>
      <w:r w:rsidR="00A10817">
        <w:rPr>
          <w:rFonts w:asciiTheme="minorHAnsi" w:hAnsiTheme="minorHAnsi" w:cstheme="minorHAnsi"/>
        </w:rPr>
        <w:t xml:space="preserve">Amennyiben eddig a hónapon átnyúló sztornó tételek </w:t>
      </w:r>
      <w:r w:rsidR="00A10817" w:rsidRPr="004E4B27">
        <w:rPr>
          <w:rFonts w:asciiTheme="minorHAnsi" w:hAnsiTheme="minorHAnsi" w:cstheme="minorHAnsi"/>
        </w:rPr>
        <w:t xml:space="preserve">’I’ TECH_KOD-on </w:t>
      </w:r>
      <w:r w:rsidR="00A10817">
        <w:rPr>
          <w:rFonts w:asciiTheme="minorHAnsi" w:hAnsiTheme="minorHAnsi" w:cstheme="minorHAnsi"/>
        </w:rPr>
        <w:t>kerültek jelentésre</w:t>
      </w:r>
      <w:r w:rsidR="00A10817" w:rsidRPr="004E4B27">
        <w:rPr>
          <w:rFonts w:asciiTheme="minorHAnsi" w:hAnsiTheme="minorHAnsi" w:cstheme="minorHAnsi"/>
        </w:rPr>
        <w:t xml:space="preserve"> negatív előjellel, akkor a továbbiakban is negatív előjellel jelentendők ezek a tételek ’S’ TECH_KOD-on</w:t>
      </w:r>
      <w:r w:rsidR="00A10817">
        <w:rPr>
          <w:rFonts w:asciiTheme="minorHAnsi" w:hAnsiTheme="minorHAnsi" w:cstheme="minorHAnsi"/>
        </w:rPr>
        <w:t>.</w:t>
      </w:r>
    </w:p>
    <w:p w14:paraId="2CBD88ED" w14:textId="4BF33FA7" w:rsidR="00282633" w:rsidRDefault="00282633" w:rsidP="00C14714">
      <w:pPr>
        <w:tabs>
          <w:tab w:val="num" w:pos="720"/>
        </w:tabs>
        <w:rPr>
          <w:rFonts w:cs="Arial"/>
        </w:rPr>
      </w:pPr>
    </w:p>
    <w:p w14:paraId="559F01D0" w14:textId="77777777" w:rsidR="0012447D" w:rsidRPr="000C2023" w:rsidRDefault="0012447D"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73" w:name="_Toc106619754"/>
      <w:bookmarkStart w:id="174" w:name="_Toc149904400"/>
      <w:r w:rsidRPr="000C2023">
        <w:rPr>
          <w:b/>
          <w:szCs w:val="22"/>
        </w:rPr>
        <w:t>Késedelem</w:t>
      </w:r>
      <w:bookmarkEnd w:id="173"/>
      <w:r w:rsidR="00857F39">
        <w:rPr>
          <w:b/>
          <w:szCs w:val="22"/>
        </w:rPr>
        <w:t xml:space="preserve"> (KESD)</w:t>
      </w:r>
      <w:bookmarkEnd w:id="174"/>
    </w:p>
    <w:p w14:paraId="196B9F91" w14:textId="28C9B837" w:rsidR="00DA665C" w:rsidRPr="000C2023" w:rsidRDefault="00C84341" w:rsidP="00C14714">
      <w:pPr>
        <w:tabs>
          <w:tab w:val="num" w:pos="720"/>
        </w:tabs>
        <w:rPr>
          <w:rFonts w:cs="Arial"/>
        </w:rPr>
      </w:pPr>
      <w:r w:rsidRPr="000C2023">
        <w:rPr>
          <w:rFonts w:cs="Arial"/>
          <w:bCs/>
        </w:rPr>
        <w:t xml:space="preserve">A KESD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KHR-ben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lastRenderedPageBreak/>
        <w:t>A KHR-ben is nyilvántartott szerződések esetében az adott késedelemnél jelezni kell, ha a KHR-ben is megjelent a késedelem esemény</w:t>
      </w:r>
      <w:r w:rsidR="00BD7EB8" w:rsidRPr="000C2023">
        <w:rPr>
          <w:rFonts w:cs="Arial"/>
        </w:rPr>
        <w:t xml:space="preserve"> (a KHR törvény szerinti késedelem definíció eltér a HITREG-ben jelentendőtől)</w:t>
      </w:r>
      <w:r w:rsidRPr="000C2023">
        <w:rPr>
          <w:rFonts w:cs="Arial"/>
        </w:rPr>
        <w:t xml:space="preserve">. </w:t>
      </w:r>
      <w:r w:rsidR="000B401E" w:rsidRPr="000B401E">
        <w:rPr>
          <w:rFonts w:cs="Arial"/>
        </w:rPr>
        <w:t>Amennyiben a KHR szabálykönyvben foglalt 10 éves elévülési idő miatt a késedelem törlésre kerül a KHR-ből, a továbbiakban a „</w:t>
      </w:r>
      <w:r w:rsidR="000B401E" w:rsidRPr="000B401E">
        <w:rPr>
          <w:rFonts w:cs="Arial"/>
          <w:b/>
          <w:bCs/>
        </w:rPr>
        <w:t>A késedelem kezdete a KHR-ben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3BD0039C"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r w:rsidR="005F5E44" w:rsidRPr="000C2023">
        <w:rPr>
          <w:rFonts w:cs="Arial"/>
        </w:rPr>
        <w:t xml:space="preserve">KESD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amikor megszűnik a késedelem, a KESD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„Késedelem kezdete a KHR-ben”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’MASREN’ kód alka</w:t>
      </w:r>
      <w:r w:rsidR="009E0B1D" w:rsidRPr="000C2023">
        <w:rPr>
          <w:rFonts w:cs="Arial"/>
        </w:rPr>
        <w:t>l</w:t>
      </w:r>
      <w:r w:rsidR="004B418B" w:rsidRPr="000C2023">
        <w:rPr>
          <w:rFonts w:cs="Arial"/>
        </w:rPr>
        <w:t>mazandó.</w:t>
      </w:r>
      <w:r w:rsidR="0057168A">
        <w:rPr>
          <w:rFonts w:cs="Arial"/>
        </w:rPr>
        <w:t xml:space="preserve"> </w:t>
      </w:r>
      <w:r w:rsidR="0057168A">
        <w:rPr>
          <w:rFonts w:asciiTheme="minorHAnsi" w:hAnsiTheme="minorHAnsi" w:cstheme="minorHAnsi"/>
        </w:rPr>
        <w:t xml:space="preserve">A </w:t>
      </w:r>
      <w:r w:rsidR="0057168A" w:rsidRPr="006C72EB">
        <w:rPr>
          <w:rFonts w:asciiTheme="minorHAnsi" w:hAnsiTheme="minorHAnsi" w:cs="Arial"/>
        </w:rPr>
        <w:t>„Késedelmes napok száma – törlesztéssel korrigált”</w:t>
      </w:r>
      <w:r w:rsidR="0057168A">
        <w:rPr>
          <w:rFonts w:asciiTheme="minorHAnsi" w:hAnsiTheme="minorHAnsi" w:cs="Arial"/>
        </w:rPr>
        <w:t xml:space="preserve"> mezőben a késedelem megszűnésének hónapjában 0 összeg jelentendő.</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5"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KESD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5"/>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mezőben (annál későbbi időpont csak akkor jelenthető, ha újraszerződés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KESD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76" w:name="_Toc106619755"/>
      <w:bookmarkStart w:id="177" w:name="_Toc149904401"/>
      <w:r w:rsidRPr="000C2023">
        <w:rPr>
          <w:b/>
          <w:szCs w:val="22"/>
        </w:rPr>
        <w:t>Hitelkiváltás</w:t>
      </w:r>
      <w:bookmarkEnd w:id="176"/>
      <w:r w:rsidR="00857F39">
        <w:rPr>
          <w:b/>
          <w:szCs w:val="22"/>
        </w:rPr>
        <w:t xml:space="preserve"> (HKIV)</w:t>
      </w:r>
      <w:bookmarkEnd w:id="177"/>
    </w:p>
    <w:p w14:paraId="50CA633E" w14:textId="74C41633" w:rsidR="0028729A" w:rsidRPr="000C2023" w:rsidRDefault="0028729A" w:rsidP="00C14714">
      <w:pPr>
        <w:rPr>
          <w:rFonts w:cs="Arial"/>
        </w:rPr>
      </w:pPr>
      <w:bookmarkStart w:id="178"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lastRenderedPageBreak/>
        <w:t xml:space="preserve">amennyiben a keletkezés módja az INSTR táblában hitelkiváltás (függetlenül attól, hogy saját vagy idegen hitel kiváltása), akkor a HKIV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Kiváltott szerződés/instrumentum KHR azonosító”-</w:t>
      </w:r>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BIC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Amennyiben többes kapcsolat áll fenn a kiváltó és a kiváltott hitelek között, az is jelentendő, adott kiváltó hitelhez a HKIV táblán keresztül több kiváltott hitelt kapcsolva</w:t>
      </w:r>
      <w:r w:rsidR="0076769C" w:rsidRPr="000C2023">
        <w:rPr>
          <w:rFonts w:cs="Arial"/>
        </w:rPr>
        <w:t xml:space="preserve"> (INSTR szinten INSTK nem jelenthető a HKIV táblában)</w:t>
      </w:r>
      <w:r w:rsidR="0028729A" w:rsidRPr="000C2023">
        <w:rPr>
          <w:rFonts w:cs="Arial"/>
        </w:rPr>
        <w:t>.</w:t>
      </w:r>
      <w:r w:rsidR="00E676BD" w:rsidRPr="000C2023">
        <w:rPr>
          <w:rFonts w:cs="Arial"/>
        </w:rPr>
        <w:t xml:space="preserve"> A</w:t>
      </w:r>
      <w:r w:rsidR="00E676BD" w:rsidRPr="000C2023">
        <w:t>nnyi sort kell jelenteni, ahány féle kapcsolat lehet (kiváltó-kiváltott hitel permutációk száma), pl. ha 2 hitellel kerül 3 hitel kiváltásra, akkor 6 sort kell megadni a HKIV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kapcsolódóan a HKIV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akkor az jelentendő a HKIV táblában a hitelkiváltással analóg módon.</w:t>
      </w:r>
      <w:r w:rsidR="00B70AE7" w:rsidRPr="000C2023">
        <w:rPr>
          <w:rFonts w:cs="Arial"/>
        </w:rPr>
        <w:t xml:space="preserve"> Az örökös által felvett hitelnél a keletkezés módja az INSTR táblában </w:t>
      </w:r>
      <w:r w:rsidR="0046557B" w:rsidRPr="000C2023">
        <w:rPr>
          <w:rFonts w:cs="Arial"/>
        </w:rPr>
        <w:t>’</w:t>
      </w:r>
      <w:r w:rsidR="00613602" w:rsidRPr="000C2023">
        <w:rPr>
          <w:rFonts w:cs="Arial"/>
        </w:rPr>
        <w:t>HKIV_ELH</w:t>
      </w:r>
      <w:r w:rsidR="0046557B" w:rsidRPr="000C2023">
        <w:rPr>
          <w:rFonts w:cs="Arial"/>
        </w:rPr>
        <w:t>’</w:t>
      </w:r>
      <w:r w:rsidR="00B70AE7" w:rsidRPr="000C2023">
        <w:rPr>
          <w:rFonts w:cs="Arial"/>
        </w:rPr>
        <w:t xml:space="preserve">, a megszűnt hitelnél az INSTM táblában a megszűnés módja egyéb megszűnés </w:t>
      </w:r>
      <w:r w:rsidR="0046557B" w:rsidRPr="000C2023">
        <w:rPr>
          <w:rFonts w:cs="Arial"/>
        </w:rPr>
        <w:t xml:space="preserve">(’EGYEBM’)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8"/>
    <w:p w14:paraId="3978BDB7" w14:textId="6432F060" w:rsidR="00C84341" w:rsidRPr="000C2023" w:rsidRDefault="00E764C6" w:rsidP="00C14714">
      <w:pPr>
        <w:rPr>
          <w:rFonts w:cs="Arial"/>
        </w:rPr>
      </w:pPr>
      <w:r w:rsidRPr="000C2023">
        <w:rPr>
          <w:rFonts w:cs="Arial"/>
        </w:rPr>
        <w:t xml:space="preserve">Az INSTK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HKIV táblában, ennek megfelelően a HKIV táblában szereplő INSTK_AZON mező tilos mező (nem köthető hitelkiváltás esemény INSTK instrumentumhoz). Amennyiben </w:t>
      </w:r>
      <w:r w:rsidR="00034AB7" w:rsidRPr="000C2023">
        <w:rPr>
          <w:rFonts w:cs="Arial"/>
        </w:rPr>
        <w:t xml:space="preserve">INSTK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n az INSTM táblában ’EGYEBM’ kóddal. Ha az INSTK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INSTM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’EGYEBM’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179" w:name="_Toc106619756"/>
      <w:bookmarkStart w:id="180"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9"/>
      <w:bookmarkEnd w:id="180"/>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181" w:name="_Toc106619757"/>
      <w:bookmarkStart w:id="182" w:name="_Toc149904403"/>
      <w:r w:rsidRPr="000C2023">
        <w:rPr>
          <w:b/>
          <w:szCs w:val="22"/>
        </w:rPr>
        <w:t>Faktoring ügyletek</w:t>
      </w:r>
      <w:bookmarkEnd w:id="181"/>
      <w:bookmarkEnd w:id="182"/>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183"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(FF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lastRenderedPageBreak/>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INSTK táblában, az INSTR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INSTK táblában, az INSTR táblában a megfigyelési egység </w:t>
            </w:r>
            <w:r w:rsidRPr="000C2023">
              <w:rPr>
                <w:rFonts w:cs="Arial"/>
                <w:i/>
              </w:rPr>
              <w:t>a faktoring ügyféllel szemben</w:t>
            </w:r>
            <w:r w:rsidRPr="000C2023">
              <w:rPr>
                <w:rFonts w:cs="Arial"/>
              </w:rPr>
              <w:t xml:space="preserve"> </w:t>
            </w:r>
            <w:bookmarkStart w:id="184" w:name="_Hlk69994365"/>
            <w:r w:rsidRPr="000C2023">
              <w:rPr>
                <w:rFonts w:cs="Arial"/>
              </w:rPr>
              <w:t>azonos devizanemben és eredeti lejárattal fennálló számlacsomag követelés</w:t>
            </w:r>
            <w:bookmarkEnd w:id="184"/>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faktorált követelés nem fedezet, azonban a kapcsolódó fedezetek (pl. garancia, biztosítási kötvény,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r w:rsidRPr="000C2023">
              <w:rPr>
                <w:rFonts w:cs="Arial"/>
              </w:rPr>
              <w:t xml:space="preserve">INSTK táblában jelentendő </w:t>
            </w:r>
          </w:p>
        </w:tc>
        <w:tc>
          <w:tcPr>
            <w:tcW w:w="6342" w:type="dxa"/>
            <w:gridSpan w:val="2"/>
          </w:tcPr>
          <w:p w14:paraId="16BAFE5A" w14:textId="2DE5DBB0"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faktorálására nyitott hitelkeret adatait </w:t>
            </w:r>
            <w:r w:rsidR="00F63B86" w:rsidRPr="000C2023">
              <w:rPr>
                <w:rFonts w:cs="Arial"/>
              </w:rPr>
              <w:t xml:space="preserve">lehet </w:t>
            </w:r>
            <w:r w:rsidRPr="000C2023">
              <w:rPr>
                <w:rFonts w:cs="Arial"/>
              </w:rPr>
              <w:t>itt megadni</w:t>
            </w:r>
            <w:r w:rsidR="00326AD2" w:rsidRPr="000C2023">
              <w:rPr>
                <w:rFonts w:cs="Arial"/>
              </w:rPr>
              <w:t xml:space="preserve"> –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KHR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INSTK táblában nyílik a keret és ott emiatt a KHR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 illetve hatályosulási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5"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’OSSZ_BEOLV’</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6" w:name="_Hlk139440418"/>
            <w:r>
              <w:rPr>
                <w:rFonts w:asciiTheme="minorHAnsi" w:hAnsiTheme="minorHAnsi" w:cstheme="minorHAnsi"/>
              </w:rPr>
              <w:t xml:space="preserve">a faktoring szerződés megkötésének időpontja </w:t>
            </w:r>
            <w:bookmarkEnd w:id="186"/>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lastRenderedPageBreak/>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HAS alatt megegyezik az instrumentum összegével, IFRS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5"/>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TORL táblában nem technikai törlesztésként, más esetekben szintén a TORL táblában technikai törlesztésként flagelve kell szerepeltetni.</w:t>
      </w:r>
    </w:p>
    <w:p w14:paraId="4A8E50E8" w14:textId="039C943E" w:rsidR="00057A84" w:rsidRPr="000C2023" w:rsidRDefault="00057A84" w:rsidP="00C14714">
      <w:pPr>
        <w:rPr>
          <w:rFonts w:cs="Arial"/>
        </w:rPr>
      </w:pPr>
      <w:r w:rsidRPr="000C2023">
        <w:rPr>
          <w:rFonts w:cs="Arial"/>
        </w:rPr>
        <w:t>A forfeit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r w:rsidRPr="000C2023">
        <w:rPr>
          <w:b/>
          <w:szCs w:val="22"/>
        </w:rPr>
        <w:t>Work-out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r w:rsidR="00F63B86" w:rsidRPr="000C2023">
        <w:t>KK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telko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lastRenderedPageBreak/>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work-out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HAS alatt megegyezik az instrumentum összegével, IFRS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187" w:name="_Toc106619758"/>
      <w:bookmarkStart w:id="188" w:name="_Toc149904404"/>
      <w:r w:rsidRPr="000C2023">
        <w:rPr>
          <w:b/>
          <w:szCs w:val="22"/>
        </w:rPr>
        <w:t>S</w:t>
      </w:r>
      <w:r w:rsidR="006B1FBE" w:rsidRPr="000C2023">
        <w:rPr>
          <w:rStyle w:val="Cmsor3Char"/>
          <w:b/>
          <w:szCs w:val="22"/>
        </w:rPr>
        <w:t>zerződés átruházás</w:t>
      </w:r>
      <w:bookmarkEnd w:id="187"/>
      <w:bookmarkEnd w:id="188"/>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r w:rsidRPr="000C2023">
              <w:rPr>
                <w:rFonts w:cs="Arial"/>
              </w:rPr>
              <w:t>INSTK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lastRenderedPageBreak/>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HAS alatt megegyezik az instrumentum összegével, IFRS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INSTM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189" w:name="_Toc106619759"/>
      <w:bookmarkStart w:id="190" w:name="_Toc149904405"/>
      <w:r w:rsidRPr="000C2023">
        <w:rPr>
          <w:b/>
          <w:szCs w:val="22"/>
        </w:rPr>
        <w:t>Váltóleszámítolás</w:t>
      </w:r>
      <w:bookmarkEnd w:id="189"/>
      <w:bookmarkEnd w:id="190"/>
    </w:p>
    <w:p w14:paraId="5EBC7B18" w14:textId="7288CCC3" w:rsidR="005066BE" w:rsidRPr="000C2023" w:rsidRDefault="005066BE" w:rsidP="00C14714">
      <w:pPr>
        <w:pStyle w:val="Listaszerbekezds"/>
        <w:numPr>
          <w:ilvl w:val="0"/>
          <w:numId w:val="0"/>
        </w:numPr>
      </w:pPr>
      <w:r w:rsidRPr="000C2023">
        <w:t>A folyó faktoringgal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191" w:name="_Toc106619760"/>
      <w:bookmarkStart w:id="192" w:name="_Toc149904406"/>
      <w:r w:rsidRPr="000C2023">
        <w:rPr>
          <w:b/>
          <w:szCs w:val="22"/>
        </w:rPr>
        <w:t>Lízing</w:t>
      </w:r>
      <w:bookmarkEnd w:id="191"/>
      <w:bookmarkEnd w:id="192"/>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r w:rsidRPr="000C2023">
        <w:t>INSTK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r w:rsidRPr="000C2023">
        <w:t>INSTR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3059"/>
        <w:gridCol w:w="4199"/>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lastRenderedPageBreak/>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(LAKAS_LIZ/ </w:t>
            </w:r>
            <w:r w:rsidR="000672C3" w:rsidRPr="000C2023">
              <w:t>SZEM_</w:t>
            </w:r>
            <w:r w:rsidR="002F1D71" w:rsidRPr="000C2023">
              <w:t>KIS</w:t>
            </w:r>
            <w:r w:rsidR="000672C3" w:rsidRPr="000C2023">
              <w:t>_LIZ</w:t>
            </w:r>
            <w:r w:rsidR="004B144F" w:rsidRPr="000C2023">
              <w:t>/</w:t>
            </w:r>
            <w:r w:rsidR="00E25C22" w:rsidRPr="000C2023">
              <w:t>ING_LIZ/</w:t>
            </w:r>
            <w:r w:rsidR="004B144F" w:rsidRPr="000C2023">
              <w:t>EGYEB_LIZ)</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(ING_LIZ/ </w:t>
            </w:r>
            <w:r w:rsidR="000672C3" w:rsidRPr="000C2023">
              <w:t>SZEM_</w:t>
            </w:r>
            <w:r w:rsidR="002F1D71" w:rsidRPr="000C2023">
              <w:t>KIS</w:t>
            </w:r>
            <w:r w:rsidR="000672C3" w:rsidRPr="000C2023">
              <w:t>_LIZ/FLOTTA_LIZ/TGPK_LIZ/ MZG_GEP_LIZ/EPITOGEP_LIZ/IT_LIZ/</w:t>
            </w:r>
            <w:r w:rsidR="004B144F" w:rsidRPr="000C2023">
              <w:t>/EGYEB_LIZ)</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/stb</w:t>
            </w:r>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r w:rsidRPr="000C2023">
        <w:t xml:space="preserve">FEDE, FEDA, INST-FED táblák: minden, a lízinghez tartozó fedezet jelentendő, a lízing tárgya is és az egyéb fedezetek is (pl. kezesség). Az INST-FED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(’EGYEB_DOLOGI’)</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HITREG-ből (hiszen olyan instrumentumra kerül átvezetésre a követelés, ami nem tartozik a HITREG megfigyelési körébe) attól függetlenül, hogy a KHR-ben még az eredeti adóssal szemben fennálló lízingkövetelésként szerepel.</w:t>
      </w:r>
    </w:p>
    <w:bookmarkEnd w:id="183"/>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193" w:name="_Toc106619761"/>
      <w:bookmarkStart w:id="194" w:name="_Toc149904407"/>
      <w:r w:rsidRPr="000C2023">
        <w:rPr>
          <w:b/>
          <w:szCs w:val="22"/>
        </w:rPr>
        <w:t>Gyűjtőszámla</w:t>
      </w:r>
      <w:r w:rsidR="001060CB" w:rsidRPr="000C2023">
        <w:rPr>
          <w:b/>
          <w:szCs w:val="22"/>
        </w:rPr>
        <w:t>hitelek</w:t>
      </w:r>
      <w:bookmarkEnd w:id="193"/>
      <w:bookmarkEnd w:id="194"/>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r w:rsidRPr="000C2023">
        <w:t>GYUJTO</w:t>
      </w:r>
      <w:r w:rsidR="00DC48E0" w:rsidRPr="000C2023">
        <w:t>’</w:t>
      </w:r>
      <w:r w:rsidRPr="000C2023">
        <w:t xml:space="preserve"> - vagy szabadfelhasználású jelzáloghitelhez – </w:t>
      </w:r>
      <w:r w:rsidR="00DC48E0" w:rsidRPr="000C2023">
        <w:t>’</w:t>
      </w:r>
      <w:r w:rsidRPr="000C2023">
        <w:t>SZABFEL_GYUJTO</w:t>
      </w:r>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195" w:name="_Toc106619762"/>
      <w:bookmarkStart w:id="196" w:name="_Toc149904408"/>
      <w:r w:rsidRPr="000C2023">
        <w:rPr>
          <w:b/>
          <w:szCs w:val="22"/>
        </w:rPr>
        <w:t xml:space="preserve">Installment lehetőséget tartalmazó </w:t>
      </w:r>
      <w:r w:rsidR="00FA31BC" w:rsidRPr="000C2023">
        <w:rPr>
          <w:b/>
          <w:szCs w:val="22"/>
        </w:rPr>
        <w:t>kártya- és folyószámlahitelek</w:t>
      </w:r>
      <w:bookmarkEnd w:id="195"/>
      <w:bookmarkEnd w:id="196"/>
    </w:p>
    <w:p w14:paraId="09D6C80C" w14:textId="584A927F" w:rsidR="001060CB" w:rsidRPr="000C2023" w:rsidRDefault="001060CB" w:rsidP="00C14714">
      <w:r w:rsidRPr="000C2023">
        <w:t xml:space="preserve">A gyűjtőszámlák kezelésének analógiájára jelenteni kell az installmentes részt </w:t>
      </w:r>
      <w:r w:rsidR="00DC48E0" w:rsidRPr="000C2023">
        <w:t>’</w:t>
      </w:r>
      <w:r w:rsidRPr="000C2023">
        <w:t>KART_HIT</w:t>
      </w:r>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197" w:name="_Toc106619763"/>
      <w:bookmarkStart w:id="198" w:name="_Toc149904409"/>
      <w:r w:rsidRPr="000C2023">
        <w:rPr>
          <w:b/>
          <w:szCs w:val="22"/>
        </w:rPr>
        <w:t>Eljárás elhunyt ügyfelek esetén</w:t>
      </w:r>
      <w:bookmarkEnd w:id="197"/>
      <w:bookmarkEnd w:id="198"/>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UGYFL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r w:rsidR="00F24F7E" w:rsidRPr="000C2023">
        <w:rPr>
          <w:rFonts w:cs="Arial"/>
        </w:rPr>
        <w:t>TERM_H</w:t>
      </w:r>
      <w:r w:rsidR="00ED2F76" w:rsidRPr="000C2023">
        <w:rPr>
          <w:rFonts w:cs="Arial"/>
        </w:rPr>
        <w:t>’</w:t>
      </w:r>
      <w:r w:rsidR="00F24F7E" w:rsidRPr="000C2023">
        <w:rPr>
          <w:rFonts w:cs="Arial"/>
        </w:rPr>
        <w:t xml:space="preserve"> szerepeltetendő). Egyidejűleg az INST_UGYF tábla </w:t>
      </w:r>
      <w:r w:rsidR="00F24F7E" w:rsidRPr="000C2023">
        <w:rPr>
          <w:rFonts w:cs="Arial"/>
          <w:b/>
        </w:rPr>
        <w:t>„Ügyfélváltozás oka”</w:t>
      </w:r>
      <w:r w:rsidR="00F24F7E" w:rsidRPr="000C2023">
        <w:rPr>
          <w:rFonts w:cs="Arial"/>
        </w:rPr>
        <w:t xml:space="preserve"> mezőjében jelezni kell az elhalálozás tényét az „ELH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UGYFL táblába és az INST_UGYF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HKIV táblában jelenteni kell az ott leírtak szerint. </w:t>
      </w:r>
      <w:r w:rsidR="00592A68" w:rsidRPr="000C2023">
        <w:rPr>
          <w:rFonts w:cs="Arial"/>
        </w:rPr>
        <w:t xml:space="preserve">Az örökös által felvett hitelnél a keletkezés módja az INSTR táblában </w:t>
      </w:r>
      <w:r w:rsidR="00403BDD" w:rsidRPr="000C2023">
        <w:rPr>
          <w:rFonts w:cs="Arial"/>
        </w:rPr>
        <w:t>’</w:t>
      </w:r>
      <w:r w:rsidR="00613602" w:rsidRPr="000C2023">
        <w:rPr>
          <w:rFonts w:cs="Arial"/>
        </w:rPr>
        <w:t>HKIV_ELH</w:t>
      </w:r>
      <w:r w:rsidR="00403BDD" w:rsidRPr="000C2023">
        <w:rPr>
          <w:rFonts w:cs="Arial"/>
        </w:rPr>
        <w:t>’</w:t>
      </w:r>
      <w:r w:rsidR="00592A68" w:rsidRPr="000C2023">
        <w:rPr>
          <w:rFonts w:cs="Arial"/>
        </w:rPr>
        <w:t>, a megszűnt hitelnél az INSTM táblában a megszűnés módja egyéb megszűnés</w:t>
      </w:r>
      <w:r w:rsidR="00687C78" w:rsidRPr="000C2023">
        <w:rPr>
          <w:rFonts w:cs="Arial"/>
        </w:rPr>
        <w:t xml:space="preserve"> (’EGYEBM’)</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Amennyiben elhalálozás miatt a Nemzeti Vagyonkezelő Zrt. lép be ügyfélként, csak abban az esetben kell felvenni ügyfélnek és megváltoztatni az INST_UGYF táblában az adóst, ha az aggregált táblákban is megtörténik az átsorolás lakosság szektorról államháztartás szektorra. Amennyiben nem, akkor az elhalálozott ügyfél jelentendő a továbbiakban is ’TERM_H’ ügyféljelleggel.</w:t>
      </w:r>
      <w:r w:rsidR="006A4031" w:rsidRPr="000C2023">
        <w:rPr>
          <w:rFonts w:cs="Arial"/>
        </w:rPr>
        <w:t xml:space="preserve"> Amennyiben megváltozik az adós személye és kikerül ezáltal a lakossági szektorból, akkor a lakossági jellegű instrumentum típusok is módosítandók (pl. ’LAKAS_HIT’ -&gt; ’ING_HIT’).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199" w:name="_Toc106619764"/>
      <w:bookmarkStart w:id="200" w:name="_Toc149904410"/>
      <w:r w:rsidRPr="000C2023">
        <w:rPr>
          <w:b/>
          <w:szCs w:val="22"/>
        </w:rPr>
        <w:t>Rulírozó hitelek</w:t>
      </w:r>
      <w:r w:rsidR="003C6A1E">
        <w:rPr>
          <w:b/>
          <w:szCs w:val="22"/>
        </w:rPr>
        <w:t xml:space="preserve"> és hitelkártya követelések</w:t>
      </w:r>
      <w:bookmarkEnd w:id="199"/>
      <w:bookmarkEnd w:id="200"/>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A rulírozó hiteleket meg kell bontani aszerint, hogy azok statisztikailag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újratöltődő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TORL kódú táblában jelenteni kell a megtérülés jellegű törlesztéseket ezen instrumentumok vonatkozásában is, illetve a késedelem jelentendő a KESD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(’HITKAR_KOV’)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(’EGYEB_FHIT’) között, míg nem lakossági partnerekkel szemben az Egyéb hitelek (’EGYEB_HIT’)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201" w:name="_Toc106619765"/>
      <w:bookmarkStart w:id="202" w:name="_Toc149904411"/>
      <w:r w:rsidRPr="000C2023">
        <w:rPr>
          <w:b/>
          <w:szCs w:val="22"/>
        </w:rPr>
        <w:t>Tilos mezők az adatmodellben</w:t>
      </w:r>
      <w:bookmarkEnd w:id="201"/>
      <w:bookmarkEnd w:id="202"/>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03" w:name="_Toc106619766"/>
      <w:bookmarkStart w:id="204" w:name="_Toc149904412"/>
      <w:r w:rsidRPr="000C2023">
        <w:rPr>
          <w:b/>
        </w:rPr>
        <w:t>Magáncsőd jelentésének módja</w:t>
      </w:r>
      <w:bookmarkEnd w:id="203"/>
      <w:bookmarkEnd w:id="204"/>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05" w:name="_Toc149904413"/>
      <w:r w:rsidRPr="00312C37">
        <w:rPr>
          <w:b/>
        </w:rPr>
        <w:t>Cash-pool konstrukciók jelentésének módja</w:t>
      </w:r>
      <w:bookmarkEnd w:id="205"/>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lastRenderedPageBreak/>
        <w:t xml:space="preserve">2023. márciusi vonatkozási időtől kezdődően új mezők kerültek beépítésre az adatmodellbe a cash-pool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r w:rsidR="00ED658C" w:rsidRPr="008A2B94">
        <w:rPr>
          <w:rFonts w:asciiTheme="minorHAnsi" w:hAnsiTheme="minorHAnsi" w:cstheme="minorHAnsi"/>
        </w:rPr>
        <w:t xml:space="preserve">INSTK és az </w:t>
      </w:r>
      <w:r w:rsidRPr="008A2B94">
        <w:rPr>
          <w:rFonts w:asciiTheme="minorHAnsi" w:hAnsiTheme="minorHAnsi" w:cstheme="minorHAnsi"/>
        </w:rPr>
        <w:t xml:space="preserve">INSTR táblákban jelölendő az, hogy „Az instrumentum cash-pool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cash-pool konstrukció a megfelelő típusba („Cash-pool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r w:rsidRPr="008A2B94">
        <w:rPr>
          <w:rFonts w:asciiTheme="minorHAnsi" w:eastAsia="Times New Roman" w:hAnsiTheme="minorHAnsi" w:cstheme="minorHAnsi"/>
          <w:i/>
          <w:lang w:eastAsia="en-US"/>
        </w:rPr>
        <w:t>Single account cash-pooling:</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csak a leader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group teljes egyenlege mindig a leader számláján kerül kimutatásra. Ekkor csak a leader jelentendő partnerként és az a számla instrumentumként a folyószámlahitelekre vonatkozó általános szabályok szerint, amely a leaderhez tartozik és a teljes group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r w:rsidRPr="008A2B94">
        <w:rPr>
          <w:rFonts w:asciiTheme="minorHAnsi" w:hAnsiTheme="minorHAnsi" w:cstheme="minorHAnsi"/>
          <w:i/>
        </w:rPr>
        <w:t>Physical cash-pooling:</w:t>
      </w:r>
      <w:r w:rsidRPr="008A2B94">
        <w:rPr>
          <w:rFonts w:asciiTheme="minorHAnsi" w:hAnsiTheme="minorHAnsi" w:cstheme="minorHAnsi"/>
        </w:rPr>
        <w:t xml:space="preserve"> mind a leader,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leader, mind a résztvevők lejelentésre kell kerüljenek az UGYFBV/KV táblá(k)ban, Egy cash-pool szerződést egy instrumentumként kell kezelni, ahol a keret jelentésre kell kerüljön az INSTK táblában, az INST_UGYF táblában a kerethez kell kötni a leadert, az INST_FED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Az INSTR táblában akkor kell megnyitni az instrumentumot, amikor a résztvevők vagy a leader lehívást indít, minden résztvevőnek és a leadernek lehet saját instrumentuma, ha multicurrency a lehetőség, akkor akár több is. Az egyes instrumentumokhoz az INST_UGYF táblán keresztül azt a résztvevőt kell kötni (vagy a leadert),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A le nem hívott keret az INSTK táblában jelenik meg, a le nem hívott keret a felügyeleti táblákkal konzisztensen  tartalmazza</w:t>
      </w:r>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INSTK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 xml:space="preserve">Azon cash-pool konstrukciók, amelyek esetén mind a leader, mind a tagok rendelkeznek bankszámlával, jogilag valós ügyfelei banknak, de a konstrukció nem felel meg a notional cash-pool definíciójának, szintén physical cash-poolként </w:t>
      </w:r>
      <w:r w:rsidR="00191961" w:rsidRPr="00B62A17">
        <w:rPr>
          <w:rFonts w:asciiTheme="minorHAnsi" w:hAnsiTheme="minorHAnsi" w:cstheme="minorHAnsi"/>
        </w:rPr>
        <w:t>jelentendők.</w:t>
      </w:r>
    </w:p>
    <w:p w14:paraId="2752F65C" w14:textId="7F1DAF40" w:rsidR="007009F1" w:rsidRPr="00312C37" w:rsidRDefault="007009F1" w:rsidP="0000696D">
      <w:pPr>
        <w:pStyle w:val="Listaszerbekezds"/>
        <w:numPr>
          <w:ilvl w:val="0"/>
          <w:numId w:val="67"/>
        </w:numPr>
        <w:spacing w:after="0"/>
        <w:ind w:left="851"/>
        <w:rPr>
          <w:rFonts w:asciiTheme="minorHAnsi" w:hAnsiTheme="minorHAnsi" w:cstheme="minorHAnsi"/>
        </w:rPr>
      </w:pPr>
      <w:r w:rsidRPr="00B62A17">
        <w:rPr>
          <w:rFonts w:asciiTheme="minorHAnsi" w:hAnsiTheme="minorHAnsi" w:cstheme="minorHAnsi"/>
          <w:i/>
          <w:iCs/>
        </w:rPr>
        <w:t>Notional amount cash-pooling:</w:t>
      </w:r>
      <w:r w:rsidRPr="008A2B94">
        <w:rPr>
          <w:rFonts w:asciiTheme="minorHAnsi" w:hAnsiTheme="minorHAnsi" w:cstheme="minorHAnsi"/>
        </w:rPr>
        <w:t xml:space="preserve"> </w:t>
      </w:r>
      <w:r w:rsidR="00191961" w:rsidRPr="00B62A17">
        <w:rPr>
          <w:rFonts w:asciiTheme="minorHAnsi" w:hAnsiTheme="minorHAnsi" w:cstheme="minorHAnsi"/>
        </w:rPr>
        <w:t>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betétei terhére folyószámlahitelt</w:t>
      </w:r>
      <w:r w:rsidR="00191961" w:rsidRPr="00EC2520">
        <w:rPr>
          <w:rFonts w:eastAsia="Times New Roman"/>
          <w:color w:val="000000" w:themeColor="text1"/>
        </w:rPr>
        <w:t xml:space="preserve"> vehetnek igénybe.</w:t>
      </w:r>
      <w:r w:rsidR="00191961" w:rsidRPr="00BD6A8C">
        <w:rPr>
          <w:rFonts w:asciiTheme="minorHAnsi" w:hAnsiTheme="minorHAnsi"/>
          <w:color w:val="000000" w:themeColor="text1"/>
        </w:rPr>
        <w:t xml:space="preserve"> Ez a típusú cash-pooling a physical cash-pooling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INST_UGYF táblában jelentendő az az információ, hogy az adott adós/adóstárs a cash-pool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06" w:name="_Toc149904414"/>
      <w:r>
        <w:rPr>
          <w:rFonts w:asciiTheme="minorHAnsi" w:hAnsiTheme="minorHAnsi" w:cstheme="minorHAnsi"/>
          <w:b/>
          <w:szCs w:val="20"/>
        </w:rPr>
        <w:t>Projekthitelek jelentési módja</w:t>
      </w:r>
      <w:bookmarkEnd w:id="206"/>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jellemzően ún. SPV-knek („special purpose vehicle”),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lastRenderedPageBreak/>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időpontja”, és az „elszámolás napja" (settlement date) általában eltérő, ugyanis a hitelkeret igénybevételéhez sokszor több folyósítási feltétel is kapcsolódik (pl. bizonyos szintű készültség elérése, kivitelezési szerződés aláírása, zéró riport, jelzálog bejegyzés… stb),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adott projekttel kapcsolatos teljes hitelkeret jelentendő az INSTK táblában, az INSTR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SPV vagy SPV-k speciális projektcég(ek)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(pl. ha teljes készfizető kezesség van a teljes projekthitel mögött, vagy ha „limited-recourse”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lastRenderedPageBreak/>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Támogatott - Egyéb támogatott hitelkonstrukciók / Nem támogatott és nem NHP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 ”Az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r w:rsidRPr="006C72EB">
        <w:rPr>
          <w:rFonts w:asciiTheme="minorHAnsi" w:eastAsia="Times New Roman" w:hAnsiTheme="minorHAnsi" w:cstheme="minorHAnsi"/>
        </w:rPr>
        <w:t>IGEN_EGYVKETTO: Igen, 1 vagy 2 CRR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r w:rsidRPr="006C72EB">
        <w:rPr>
          <w:rFonts w:asciiTheme="minorHAnsi" w:eastAsia="Times New Roman" w:hAnsiTheme="minorHAnsi" w:cstheme="minorHAnsi"/>
        </w:rPr>
        <w:t>IGEN_MINDHAROM: Igen, mindhárom CRR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IGEN_BELSO: Igen, egyik CRR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r w:rsidRPr="00312C37">
        <w:rPr>
          <w:rFonts w:asciiTheme="minorHAnsi" w:eastAsia="Times New Roman" w:hAnsiTheme="minorHAnsi" w:cstheme="minorHAnsi"/>
        </w:rPr>
        <w:t>IGEN_EGYVKETTO_NPR_B: Igen, 1 vagy 2 CRR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r w:rsidRPr="00CE726B">
        <w:rPr>
          <w:rFonts w:asciiTheme="minorHAnsi" w:eastAsia="Times New Roman" w:hAnsiTheme="minorHAnsi" w:cstheme="minorHAnsi"/>
        </w:rPr>
        <w:t>NEM_PROJEKTH: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SL ajánlásban is hivatkozott CRR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CRR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r w:rsidR="00810EDC">
        <w:rPr>
          <w:rFonts w:asciiTheme="minorHAnsi" w:hAnsiTheme="minorHAnsi" w:cstheme="minorHAnsi"/>
        </w:rPr>
        <w:t xml:space="preserve">LIZ vagy HNY tevékenységet folytató, </w:t>
      </w:r>
      <w:r w:rsidR="000C6D81">
        <w:rPr>
          <w:rFonts w:asciiTheme="minorHAnsi" w:hAnsiTheme="minorHAnsi" w:cs="Arial"/>
        </w:rPr>
        <w:t>PVOV</w:t>
      </w:r>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07" w:name="_Hlk132795285"/>
      <w:r w:rsidRPr="00C0603E">
        <w:rPr>
          <w:rFonts w:asciiTheme="minorHAnsi" w:hAnsiTheme="minorHAnsi" w:cstheme="minorHAnsi"/>
        </w:rPr>
        <w:t>Projekttel kapcsolatos egyéb hitelintézeti mérlegen kívüli kötelezettségvállalás nyilvántartási értéke</w:t>
      </w:r>
    </w:p>
    <w:bookmarkEnd w:id="207"/>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Sztenderd módszer esetén a CRR 2025. január 1-től történő változása azt eredményezi, hogy a jövedelemtermelő ingatlancélra folyósított hitelek az SL kitettségektől elkülönítetten kezelendők. A HITREG-ben azonban ezek a hitelek a továbbiakban is ’INGATLANF’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CRR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xml:space="preserve">” mezőben is azt a kódértéket kell alkalmazni, </w:t>
      </w:r>
      <w:r w:rsidRPr="008C7C4D">
        <w:rPr>
          <w:rFonts w:asciiTheme="minorHAnsi" w:hAnsiTheme="minorHAnsi" w:cstheme="minorHAnsi"/>
        </w:rPr>
        <w:lastRenderedPageBreak/>
        <w:t xml:space="preserve">amely egyezik a legnagyobb szerződéses összegű projekthitel adatával, azaz például, ha ’IGEN_MINDHAROM’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a mérlegen kívüli kötelezettségvállalások közül a projekthitelhez kapcsolódó garanciák, kezességvállalások, lejegyzett kötvények stb)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’EGYEB_C’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Azokat a nemteljesítővé, felmondottá, illetve work-out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r w:rsidR="00D13ED5">
        <w:rPr>
          <w:rFonts w:asciiTheme="minorHAnsi" w:hAnsiTheme="minorHAnsi" w:cstheme="minorHAnsi"/>
        </w:rPr>
        <w:t xml:space="preserve">LIZ vagy HNY tevékenységet folytató, </w:t>
      </w:r>
      <w:r w:rsidR="000C6D81">
        <w:rPr>
          <w:rFonts w:asciiTheme="minorHAnsi" w:hAnsiTheme="minorHAnsi" w:cs="Arial"/>
        </w:rPr>
        <w:t>PVOV</w:t>
      </w:r>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Amennyiben egy instrumentumnál</w:t>
      </w:r>
      <w:r w:rsidR="00303B39" w:rsidRPr="00312C37">
        <w:rPr>
          <w:rFonts w:asciiTheme="minorHAnsi" w:hAnsiTheme="minorHAnsi" w:cstheme="minorHAnsi"/>
        </w:rPr>
        <w:t xml:space="preserve"> </w:t>
      </w:r>
      <w:r w:rsidRPr="00303B39">
        <w:rPr>
          <w:rFonts w:asciiTheme="minorHAnsi" w:hAnsiTheme="minorHAnsi" w:cstheme="minorHAnsi"/>
        </w:rPr>
        <w:t>”Az instrumentum projekthitel-e?” mezőben ’NEM_PRO</w:t>
      </w:r>
      <w:r w:rsidR="00303B39" w:rsidRPr="00312C37">
        <w:rPr>
          <w:rFonts w:asciiTheme="minorHAnsi" w:hAnsiTheme="minorHAnsi" w:cstheme="minorHAnsi"/>
        </w:rPr>
        <w:t>J</w:t>
      </w:r>
      <w:r w:rsidRPr="00303B39">
        <w:rPr>
          <w:rFonts w:asciiTheme="minorHAnsi" w:hAnsiTheme="minorHAnsi" w:cstheme="minorHAnsi"/>
        </w:rPr>
        <w:t xml:space="preserve">EKTH’ </w:t>
      </w:r>
      <w:r w:rsidR="00775232">
        <w:rPr>
          <w:rFonts w:asciiTheme="minorHAnsi" w:hAnsiTheme="minorHAnsi" w:cstheme="minorHAnsi"/>
        </w:rPr>
        <w:t>vagy ’</w:t>
      </w:r>
      <w:r w:rsidR="00775232" w:rsidRPr="00775232">
        <w:rPr>
          <w:rFonts w:asciiTheme="minorHAnsi" w:hAnsiTheme="minorHAnsi" w:cstheme="minorHAnsi"/>
        </w:rPr>
        <w:t>IGEN_EGYVKETTO_NPR_B</w:t>
      </w:r>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Amennyiben egy projekthitelnek minősülő hitelszerződés keretében egyidejűleg több hitelcélt rögzítenek az adott projekthez kapcsolódóan (ingatlan, technológia,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Amennyiben a projektfinanszírozási hitel jelenleg még cash-flow-t nem termel, azaz még csak a CRR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 xml:space="preserve">Visszafizetés fő forrása az eszköz által termelt jövedelem?” mezőben „I” érték, ”Az instrumentum projekthitel-e?” mezőben ’IGEN_MINDHAROM’ kódérték jelentendő. </w:t>
      </w:r>
      <w:bookmarkStart w:id="208"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8"/>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 xml:space="preserve">a kapcsolódó fejlesztési célú projektfinanszírozás nélküli telekingatlan vásárlási hitelt ’TELEK_VAS’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 xml:space="preserve">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w:t>
      </w:r>
      <w:r w:rsidRPr="008C7C4D">
        <w:rPr>
          <w:rFonts w:asciiTheme="minorHAnsi" w:hAnsiTheme="minorHAnsi" w:cstheme="minorHAnsi"/>
        </w:rPr>
        <w:lastRenderedPageBreak/>
        <w:t xml:space="preserve">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’TELEK_VAS’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’RESZF’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’RESZF’ kódérték, amelyek korábban ’EGYEB_C’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’RESZF’ kódértékkel, melyek esetén a „Projekthitel célja” mezőben ’RESZF’ vagy más dedikált projektcél jelentendő, azaz ’EGYEB_C’ nem.</w:t>
      </w:r>
    </w:p>
    <w:p w14:paraId="64434ECE" w14:textId="2A540260" w:rsidR="009C1CEB" w:rsidRDefault="009C1CEB" w:rsidP="009C1CEB">
      <w:r>
        <w:t>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a)-b)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09" w:name="_Toc130912739"/>
      <w:bookmarkStart w:id="210" w:name="_Toc149904415"/>
      <w:r>
        <w:rPr>
          <w:b/>
          <w:bCs w:val="0"/>
        </w:rPr>
        <w:t>Babaváró hitelek jelentési módja</w:t>
      </w:r>
      <w:bookmarkEnd w:id="209"/>
      <w:bookmarkEnd w:id="210"/>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lastRenderedPageBreak/>
        <w:t xml:space="preserve">A „Tőketörlesztés gyakorisága” mezőben ’HAVI’ kódérték alkalmazandó, ezt nem kell megváltoztatni akkor sem, ha a tőkefizetés felfüggesztésre kerül a jogszabály által biztosított moratórium miatt („Moratórium típusa” mező értéke ’JOGI_EGYEB’).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’ANNUITAS’, mind az ’EGYEB’</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’RV’</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’AKK’</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 xml:space="preserve">attribútumok. Nem teljesítő hitelek esetén a kamatozás módja ’NK’-ra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FEDE táblában a „Fedezet típusa” mezőben ’KEZ_KOZPK’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 xml:space="preserve">Amennyiben felfüggesztésre kerül a tőkefizetés a jogszabály által adott feltételek fennállása esetén (pl. várandósság), a „Moratórium típusa” mezőben ’JOGI_EGYEB’, a „Moratórium tárgya” mezőben ’TOKE’ jelentendő. </w:t>
      </w:r>
    </w:p>
    <w:p w14:paraId="0922B41E" w14:textId="30D923B6" w:rsidR="0057168A" w:rsidRDefault="0057168A" w:rsidP="0057168A">
      <w:pPr>
        <w:rPr>
          <w:rFonts w:asciiTheme="minorHAnsi" w:hAnsiTheme="minorHAnsi" w:cstheme="minorHAnsi"/>
        </w:rPr>
      </w:pPr>
      <w:r>
        <w:rPr>
          <w:rFonts w:asciiTheme="minorHAnsi" w:hAnsiTheme="minorHAnsi" w:cstheme="minorHAnsi"/>
        </w:rPr>
        <w:t>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a ”Moratórium kezdete” mezőben jelentett adat nem, csak a „Moratórium vége” mezőben jelentett adat módosítandó.</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’ELENG_TAM’ törlesztési forrás kóddal kell jelenteni</w:t>
      </w:r>
      <w:r>
        <w:rPr>
          <w:rFonts w:asciiTheme="minorHAnsi" w:hAnsiTheme="minorHAnsi" w:cstheme="minorHAnsi"/>
        </w:rPr>
        <w:t xml:space="preserve"> a TORL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11" w:name="_Toc137118051"/>
      <w:bookmarkStart w:id="212" w:name="_Toc149904416"/>
      <w:r w:rsidRPr="0065520A">
        <w:rPr>
          <w:sz w:val="22"/>
          <w:szCs w:val="22"/>
        </w:rPr>
        <w:t>A Taxonómia – ügyfél táblára vonatkozó kitöltési előírások (TAX_UGYF)</w:t>
      </w:r>
      <w:bookmarkEnd w:id="211"/>
      <w:bookmarkEnd w:id="212"/>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r>
        <w:rPr>
          <w:rFonts w:asciiTheme="minorHAnsi" w:eastAsia="Times New Roman" w:hAnsiTheme="minorHAnsi" w:cstheme="minorHAnsi"/>
        </w:rPr>
        <w:t>TAX_</w:t>
      </w:r>
      <w:r w:rsidRPr="009A6362">
        <w:rPr>
          <w:rFonts w:asciiTheme="minorHAnsi" w:eastAsia="Times New Roman" w:hAnsiTheme="minorHAnsi" w:cstheme="minorHAnsi"/>
        </w:rPr>
        <w:t>UGYF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NFRD</w:t>
      </w:r>
      <w:r>
        <w:rPr>
          <w:rStyle w:val="Lbjegyzet-hivatkozs"/>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Reporting Directive)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NFRD alá eső partnereik árbevétel és CAPEX (Capital Expenditure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TAX_UGYF </w:t>
      </w:r>
      <w:r w:rsidRPr="00A77FE2">
        <w:rPr>
          <w:rFonts w:asciiTheme="minorHAnsi" w:eastAsia="Times New Roman" w:hAnsiTheme="minorHAnsi" w:cstheme="minorHAnsi"/>
        </w:rPr>
        <w:t>tábla abban az esetben töltendő, ha az UGYFBV/UFGYFKV táblákban a ’CSRD_KOD’ mező értéke ’I’</w:t>
      </w:r>
      <w:r w:rsidR="004311C5">
        <w:rPr>
          <w:rFonts w:asciiTheme="minorHAnsi" w:eastAsia="Times New Roman" w:hAnsiTheme="minorHAnsi" w:cstheme="minorHAnsi"/>
        </w:rPr>
        <w:t xml:space="preserve"> (mivel FF tevékenység esetén a ’CSRD_KOD’ mező minden esetben ’N’ értékkel szerepeltetendő, a TAX_UGYF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TAX_UGYF</w:t>
      </w:r>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A táblát – az adatmodell többi, taxonómiára vonatkozó mezőjével konzisztensen – összevont felügyelet alá tartozó, HNY, LIZ vagy KK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13" w:name="_Toc149904417"/>
      <w:r w:rsidRPr="000A44C0">
        <w:lastRenderedPageBreak/>
        <w:t>számú melléklet - k</w:t>
      </w:r>
      <w:r w:rsidRPr="00DD20B0">
        <w:t>izárólag az összevont felügyelet alá tartozó pénzügyi vállalkozások által jelentendő mezők listája</w:t>
      </w:r>
      <w:bookmarkEnd w:id="213"/>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969"/>
        <w:gridCol w:w="3030"/>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MERL_KIV_CT_OSSZEG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MERL_KIV_CT_DEV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PR_HITEL_KOD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ERTEKV_ERT_KOD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ERTEKV_TIP_KOD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PR_HITELCEL_KOD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TOKETORL_KOD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PR_HITEL_KOD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PR_KITETT_KOD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PR_RENDELK_KOD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PR_VISSZAFIZ_FORR_KOD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PR_HITELCEL_KOD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PR_NEV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PR_MEGVALOS_NAP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PR_MEGVALOSULT_KOD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PR_KAPCS_KITETT_ERTEK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PR_KAPCS_KITETT_DEV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PR_CASHFLOW_KOD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AKT_KITETT_ERTEK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AKT_KITETT_DEV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VARH_VESZT_KITETT_ERTEK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VARH_VESZT_KITETT_DEV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MERL_KIV_CT_OSSZEG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MERL_KIV_CT_DEV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FELH_KAMAT_OSSZEG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FELH_KAMAT_DEV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STAT_KAMAT_OSSZEG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STAT_KAMAT_DEV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SZERZ_KAMATLAB</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EVESITETT_KAMATLAB</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KAMATFIX_GYAK_ERTEK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KAMATLAB_MIN_SZAZLK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KAMATLAB_MAX_SZAZLK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KAMATVALT_MUT_NEV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ALLOM_KAMATLAB</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CSAK_KAM_TORL_KOD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CSAK_KAM_PER_VEG_NAP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KAMFELAR_VALT_KOD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DEFAULT_KOD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prudenciális követelményekről és a 648/2012/EU rendelet módosításáról szóló 2013. június 26-i 575/2013/EU rendelet (a </w:t>
            </w:r>
            <w:r w:rsidRPr="00C66A84">
              <w:rPr>
                <w:rFonts w:eastAsia="Times New Roman" w:cs="Calibri"/>
                <w:color w:val="000000"/>
              </w:rPr>
              <w:lastRenderedPageBreak/>
              <w:t>továbbiakban: CRR) szerinti nemteljesítő státusz (default státusz) Default st</w:t>
            </w:r>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DEFAULT_STAT_VALT_NAP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CRR szerinti nemteljesítő (default)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DEFAULT_OK_KOD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CRR szerinti nemteljesítés (default)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EFF_KLAB</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KERET_ERTEKV_ERT_KOD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KERET_ERTEKV_TIP_KOD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TAX_IGAZODAS_KOD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TAX_CEL_KOD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TAX_JELL_KOD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FHTV_KAMATOZAS_KOD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TAX_IGAZODAS_SZAZLK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INSTK_AZON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RATING_TOOL</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Minősítő modell (ügyfélminősítési tool)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KER_KONYV_KOD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Prudenciális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RISK_SZEGMENS</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risk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KOCK_SULY_SZAZLK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(RWA-hoz)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LGD_SZAZLK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(LGD)</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CCF_SZAZLK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(CCF)</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PD_SZAZLK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(PD)</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PILLI_TOKE_ERTEK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PILLII_TOKE_ERTEK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PI_MODSZER_KOD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PI_TOKEFUGGV_KOD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IRBM_ERTEK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PILLI_KITETT_ERTEK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VARH_VESZT_OSSZEG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HIT_VESZT_LGD_SZAZLK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(LGD)</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TENYL_CCF_SZAZLK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(CCF)</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HIT_VESZT_PD_SZAZLK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(PD)</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ISK_VEGZ_KOD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CSALADI_ALL_KOD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FEDE</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HET_E_NAP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FEDE</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OSSZ_ENERGETIKAI_JELL_E</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FEDE</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HET_E_KOD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FEDA</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HET_AKT_NAP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FEDA</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OSSZ_ENERGETIKAI_JELL_AKT</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FEDA</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HET_AKT_KOD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INST_FED</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MEGELOZ_SAJAT_TEHER_ERTEK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Megelőző saját terhek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INST_FED</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MEGELOZ_SAJAT_TEHER_DEV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Megelőző saját terhek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INST_FED</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EV_FIGY_VETT_FED_KOD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UF_CSOPVEZ_BV_AZON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UF_CSOPVEZ_KV_AZON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UF_CSOPVEZ_HT_KOD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INTCSOP_NAGYKOCK_KOD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KESD_INSTR_KOD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UF_CSOPVEZ_BV_AZON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UF_CSOPVEZ_KV_AZON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UF_CSOPVEZ_HT_KOD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INTCSOP_NAGYKOCK_KOD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KESD_INSTR_KOD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CSRD_KOD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UF_CSOPVEZ_BV_AZON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UF_CSOPVEZ_KV_AZON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UF_CSOPVEZ_HT_KOD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INTCSOP_NAGYKOCK_KOD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KESD_INSTR_KOD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CSOP_AZON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UF_CSOPVEZ_BV_AZON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UF_CSOPVEZ_KV_AZON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UF_CSOPVEZ_HT_KOD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INTCSOP_NAGYKOCK_KOD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KESD_INSTR_KOD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CSRD_KOD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UGYFM</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MIN_AKT_NAP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UGYFM</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UGYFELMIN_AKT</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MEGF_SZERV_AZON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BVALL_AZON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KVALL_AZON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AB_CCM_IGAZODO_SZAZLK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AB_CCA_IGAZODO_SZAZLK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AB_BIODIV_IGAZODO_SZAZLK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AB_KORFORG_IGAZODO_SZAZLK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körforgásos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AB_SZENNY_IGAZODO_SZAZLK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szennyezés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AB_TENGER_IGAZODO_SZAZLK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taxonómiához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AB_CCM_IGHATO_SZAZLK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AB_CCA_IGHATO_SZAZLK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AB_BIODIV_IGHATO_SZAZLK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AB_KORFORG_IGHATO_SZAZLK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körforgásos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AB_SZENNY_IGHATO_SZAZLK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szennyezés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AB_TENGER_IGHATO_SZAZLK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CAPX_CCM_IGAZODO_SZAZLK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CAPX_CCA_IGAZODO_SZAZLK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CAPX_BIODIV_IGAZODO_SZAZLK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CAPX_KORFORG_IGAZODO_SZAZLK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körforgásos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CAPX_SZENNY_IGAZODO_SZAZLK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szennyezés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CAPX_TENGER_IGAZODO_SZAZLK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  taxonómiához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CAPX_CCM_IGHATO_SZAZLK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CAPX_CCA_IGHATO_SZAZLK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CAPX_BIODIV_IGHATO_SZAZLK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CAPX_KORFORG_IGHATO_SZAZLK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körforgásos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CAPX_SZENNY_IGHATO_SZAZLK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szennyezés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CAPX_TENGER_IGHATO_SZAZLK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187850D6" w:rsidR="007F335A" w:rsidRPr="00AB5044" w:rsidRDefault="007F335A" w:rsidP="00C14714"/>
    <w:sectPr w:rsidR="007F335A" w:rsidRPr="00AB5044" w:rsidSect="00CD6E8D">
      <w:headerReference w:type="default" r:id="rId38"/>
      <w:footerReference w:type="default" r:id="rId3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4ED98" w14:textId="77777777" w:rsidR="00002448" w:rsidRDefault="00002448">
      <w:r>
        <w:separator/>
      </w:r>
    </w:p>
  </w:endnote>
  <w:endnote w:type="continuationSeparator" w:id="0">
    <w:p w14:paraId="674C8941" w14:textId="77777777" w:rsidR="00002448" w:rsidRDefault="00002448">
      <w:r>
        <w:continuationSeparator/>
      </w:r>
    </w:p>
  </w:endnote>
  <w:endnote w:type="continuationNotice" w:id="1">
    <w:p w14:paraId="22DF3E73" w14:textId="77777777" w:rsidR="00002448" w:rsidRDefault="00002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4B01B" w14:textId="77777777" w:rsidR="00002448" w:rsidRDefault="00002448">
      <w:r>
        <w:separator/>
      </w:r>
    </w:p>
  </w:footnote>
  <w:footnote w:type="continuationSeparator" w:id="0">
    <w:p w14:paraId="28D6DD63" w14:textId="77777777" w:rsidR="00002448" w:rsidRDefault="00002448">
      <w:r>
        <w:continuationSeparator/>
      </w:r>
    </w:p>
  </w:footnote>
  <w:footnote w:type="continuationNotice" w:id="1">
    <w:p w14:paraId="201481EE" w14:textId="77777777" w:rsidR="00002448" w:rsidRDefault="00002448">
      <w:pPr>
        <w:spacing w:after="0" w:line="240" w:lineRule="auto"/>
      </w:pPr>
    </w:p>
  </w:footnote>
  <w:footnote w:id="2">
    <w:p w14:paraId="730B903D" w14:textId="77777777" w:rsidR="0022192E" w:rsidRDefault="0022192E" w:rsidP="0022192E">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25pt;height:142.7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1"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4"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8"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3"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9"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1"/>
  </w:num>
  <w:num w:numId="8" w16cid:durableId="599458837">
    <w:abstractNumId w:val="36"/>
    <w:lvlOverride w:ilvl="0">
      <w:startOverride w:val="1"/>
    </w:lvlOverride>
  </w:num>
  <w:num w:numId="9" w16cid:durableId="787309778">
    <w:abstractNumId w:val="67"/>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1"/>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40"/>
  </w:num>
  <w:num w:numId="19" w16cid:durableId="1352563031">
    <w:abstractNumId w:val="44"/>
  </w:num>
  <w:num w:numId="20" w16cid:durableId="137963514">
    <w:abstractNumId w:val="46"/>
  </w:num>
  <w:num w:numId="21" w16cid:durableId="1681348625">
    <w:abstractNumId w:val="37"/>
  </w:num>
  <w:num w:numId="22" w16cid:durableId="550769103">
    <w:abstractNumId w:val="60"/>
  </w:num>
  <w:num w:numId="23" w16cid:durableId="92940432">
    <w:abstractNumId w:val="55"/>
  </w:num>
  <w:num w:numId="24" w16cid:durableId="2048796603">
    <w:abstractNumId w:val="17"/>
  </w:num>
  <w:num w:numId="25" w16cid:durableId="1306741546">
    <w:abstractNumId w:val="65"/>
  </w:num>
  <w:num w:numId="26" w16cid:durableId="1876503973">
    <w:abstractNumId w:val="47"/>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2"/>
  </w:num>
  <w:num w:numId="34" w16cid:durableId="1036734334">
    <w:abstractNumId w:val="21"/>
  </w:num>
  <w:num w:numId="35" w16cid:durableId="872882657">
    <w:abstractNumId w:val="62"/>
  </w:num>
  <w:num w:numId="36" w16cid:durableId="1787969993">
    <w:abstractNumId w:val="29"/>
  </w:num>
  <w:num w:numId="37" w16cid:durableId="13295973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70"/>
  </w:num>
  <w:num w:numId="42" w16cid:durableId="876699016">
    <w:abstractNumId w:val="20"/>
  </w:num>
  <w:num w:numId="43" w16cid:durableId="1887135569">
    <w:abstractNumId w:val="1"/>
  </w:num>
  <w:num w:numId="44" w16cid:durableId="174248489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8"/>
  </w:num>
  <w:num w:numId="46" w16cid:durableId="481851764">
    <w:abstractNumId w:val="39"/>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6"/>
  </w:num>
  <w:num w:numId="49" w16cid:durableId="1327897363">
    <w:abstractNumId w:val="24"/>
  </w:num>
  <w:num w:numId="50" w16cid:durableId="1817601702">
    <w:abstractNumId w:val="66"/>
  </w:num>
  <w:num w:numId="51" w16cid:durableId="1164204238">
    <w:abstractNumId w:val="45"/>
  </w:num>
  <w:num w:numId="52" w16cid:durableId="1864900968">
    <w:abstractNumId w:val="50"/>
  </w:num>
  <w:num w:numId="53" w16cid:durableId="739521186">
    <w:abstractNumId w:val="63"/>
  </w:num>
  <w:num w:numId="54" w16cid:durableId="395327">
    <w:abstractNumId w:val="49"/>
  </w:num>
  <w:num w:numId="55" w16cid:durableId="364067465">
    <w:abstractNumId w:val="69"/>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4"/>
  </w:num>
  <w:num w:numId="62" w16cid:durableId="1318461835">
    <w:abstractNumId w:val="48"/>
  </w:num>
  <w:num w:numId="63" w16cid:durableId="1395883987">
    <w:abstractNumId w:val="51"/>
  </w:num>
  <w:num w:numId="64" w16cid:durableId="1477524198">
    <w:abstractNumId w:val="28"/>
  </w:num>
  <w:num w:numId="65" w16cid:durableId="1629434256">
    <w:abstractNumId w:val="18"/>
  </w:num>
  <w:num w:numId="66" w16cid:durableId="839856321">
    <w:abstractNumId w:val="43"/>
  </w:num>
  <w:num w:numId="67" w16cid:durableId="191722799">
    <w:abstractNumId w:val="57"/>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4"/>
  </w:num>
  <w:num w:numId="73" w16cid:durableId="1517960405">
    <w:abstractNumId w:val="59"/>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8"/>
  </w:num>
  <w:num w:numId="83" w16cid:durableId="962808364">
    <w:abstractNumId w:val="3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493"/>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2BBF"/>
    <w:rsid w:val="000430FD"/>
    <w:rsid w:val="00043DDF"/>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AAE"/>
    <w:rsid w:val="000A2B77"/>
    <w:rsid w:val="000A3A63"/>
    <w:rsid w:val="000A3DDC"/>
    <w:rsid w:val="000A3FC9"/>
    <w:rsid w:val="000A44C0"/>
    <w:rsid w:val="000A6DE0"/>
    <w:rsid w:val="000A708D"/>
    <w:rsid w:val="000A71F3"/>
    <w:rsid w:val="000B1816"/>
    <w:rsid w:val="000B3676"/>
    <w:rsid w:val="000B36E6"/>
    <w:rsid w:val="000B3A4E"/>
    <w:rsid w:val="000B401E"/>
    <w:rsid w:val="000B41EA"/>
    <w:rsid w:val="000B4D9F"/>
    <w:rsid w:val="000B6D26"/>
    <w:rsid w:val="000B7A75"/>
    <w:rsid w:val="000C02C2"/>
    <w:rsid w:val="000C0934"/>
    <w:rsid w:val="000C2023"/>
    <w:rsid w:val="000C2369"/>
    <w:rsid w:val="000C2918"/>
    <w:rsid w:val="000C3019"/>
    <w:rsid w:val="000C3544"/>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0A5C"/>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47D"/>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3049"/>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0CF"/>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12"/>
    <w:rsid w:val="00214230"/>
    <w:rsid w:val="0021484C"/>
    <w:rsid w:val="00214D9E"/>
    <w:rsid w:val="00214EC0"/>
    <w:rsid w:val="002156BD"/>
    <w:rsid w:val="00215AF7"/>
    <w:rsid w:val="00215E00"/>
    <w:rsid w:val="00217114"/>
    <w:rsid w:val="00217B4A"/>
    <w:rsid w:val="0022056B"/>
    <w:rsid w:val="00220EDF"/>
    <w:rsid w:val="002210F5"/>
    <w:rsid w:val="0022192E"/>
    <w:rsid w:val="00223A6D"/>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56A9F"/>
    <w:rsid w:val="002602F5"/>
    <w:rsid w:val="002611AE"/>
    <w:rsid w:val="0026180A"/>
    <w:rsid w:val="00261E3C"/>
    <w:rsid w:val="00261EFB"/>
    <w:rsid w:val="00263AF4"/>
    <w:rsid w:val="00263BDF"/>
    <w:rsid w:val="00263DA8"/>
    <w:rsid w:val="00264100"/>
    <w:rsid w:val="0026442A"/>
    <w:rsid w:val="00264D28"/>
    <w:rsid w:val="00265058"/>
    <w:rsid w:val="00266603"/>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48EC"/>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77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6AC"/>
    <w:rsid w:val="0043276D"/>
    <w:rsid w:val="004329C4"/>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1F39"/>
    <w:rsid w:val="004F2226"/>
    <w:rsid w:val="004F22D5"/>
    <w:rsid w:val="004F3C59"/>
    <w:rsid w:val="004F3ED2"/>
    <w:rsid w:val="004F42D5"/>
    <w:rsid w:val="004F4755"/>
    <w:rsid w:val="004F4D77"/>
    <w:rsid w:val="004F5551"/>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47E28"/>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68A"/>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B7F5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906"/>
    <w:rsid w:val="006D4C3F"/>
    <w:rsid w:val="006D59EC"/>
    <w:rsid w:val="006E071A"/>
    <w:rsid w:val="006E0F91"/>
    <w:rsid w:val="006E1109"/>
    <w:rsid w:val="006E2A46"/>
    <w:rsid w:val="006E45F8"/>
    <w:rsid w:val="006E48B2"/>
    <w:rsid w:val="006E551F"/>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17FED"/>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2378"/>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372F"/>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032D"/>
    <w:rsid w:val="0082107E"/>
    <w:rsid w:val="00821124"/>
    <w:rsid w:val="00821130"/>
    <w:rsid w:val="008213AC"/>
    <w:rsid w:val="00821805"/>
    <w:rsid w:val="00821A88"/>
    <w:rsid w:val="00822209"/>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291E"/>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2C1"/>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1FA5"/>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8A6"/>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1974"/>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8F0"/>
    <w:rsid w:val="00990950"/>
    <w:rsid w:val="00990B18"/>
    <w:rsid w:val="00990C83"/>
    <w:rsid w:val="0099300C"/>
    <w:rsid w:val="009930FC"/>
    <w:rsid w:val="009939E5"/>
    <w:rsid w:val="00994450"/>
    <w:rsid w:val="009953B8"/>
    <w:rsid w:val="009962C2"/>
    <w:rsid w:val="0099630F"/>
    <w:rsid w:val="009A0427"/>
    <w:rsid w:val="009A0ACC"/>
    <w:rsid w:val="009A1100"/>
    <w:rsid w:val="009A17E4"/>
    <w:rsid w:val="009A1B53"/>
    <w:rsid w:val="009A1C04"/>
    <w:rsid w:val="009A1D28"/>
    <w:rsid w:val="009A2486"/>
    <w:rsid w:val="009A2995"/>
    <w:rsid w:val="009A2F82"/>
    <w:rsid w:val="009A3634"/>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0817"/>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4EA2"/>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1E4"/>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2E2C"/>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5D42"/>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69"/>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2D14"/>
    <w:rsid w:val="00C53B6F"/>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2E2"/>
    <w:rsid w:val="00C7752B"/>
    <w:rsid w:val="00C80835"/>
    <w:rsid w:val="00C8120E"/>
    <w:rsid w:val="00C81CA3"/>
    <w:rsid w:val="00C81ECB"/>
    <w:rsid w:val="00C83C60"/>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B7915"/>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851"/>
    <w:rsid w:val="00DF4F58"/>
    <w:rsid w:val="00DF5306"/>
    <w:rsid w:val="00DF5441"/>
    <w:rsid w:val="00DF6764"/>
    <w:rsid w:val="00DF6B9B"/>
    <w:rsid w:val="00DF6CF2"/>
    <w:rsid w:val="00DF6F71"/>
    <w:rsid w:val="00E00AB4"/>
    <w:rsid w:val="00E00C4C"/>
    <w:rsid w:val="00E015AE"/>
    <w:rsid w:val="00E01DD2"/>
    <w:rsid w:val="00E02205"/>
    <w:rsid w:val="00E02D4C"/>
    <w:rsid w:val="00E03511"/>
    <w:rsid w:val="00E04294"/>
    <w:rsid w:val="00E0501F"/>
    <w:rsid w:val="00E05D0F"/>
    <w:rsid w:val="00E05DA4"/>
    <w:rsid w:val="00E06A6A"/>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411"/>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4801"/>
    <w:rsid w:val="00EA513E"/>
    <w:rsid w:val="00EA523B"/>
    <w:rsid w:val="00EA6882"/>
    <w:rsid w:val="00EA6FA4"/>
    <w:rsid w:val="00EA7644"/>
    <w:rsid w:val="00EB11D4"/>
    <w:rsid w:val="00EB163C"/>
    <w:rsid w:val="00EB197F"/>
    <w:rsid w:val="00EB20B5"/>
    <w:rsid w:val="00EB2886"/>
    <w:rsid w:val="00EB398E"/>
    <w:rsid w:val="00EB3ADD"/>
    <w:rsid w:val="00EB41FC"/>
    <w:rsid w:val="00EB4270"/>
    <w:rsid w:val="00EB5380"/>
    <w:rsid w:val="00EB5495"/>
    <w:rsid w:val="00EB5C98"/>
    <w:rsid w:val="00EB62F3"/>
    <w:rsid w:val="00EB69A3"/>
    <w:rsid w:val="00EB6F69"/>
    <w:rsid w:val="00EB7465"/>
    <w:rsid w:val="00EB74B9"/>
    <w:rsid w:val="00EC105B"/>
    <w:rsid w:val="00EC1DA9"/>
    <w:rsid w:val="00EC3DF4"/>
    <w:rsid w:val="00EC4096"/>
    <w:rsid w:val="00EC429C"/>
    <w:rsid w:val="00EC679D"/>
    <w:rsid w:val="00EC6A51"/>
    <w:rsid w:val="00EC7AB4"/>
    <w:rsid w:val="00EC7E6E"/>
    <w:rsid w:val="00ED0199"/>
    <w:rsid w:val="00ED05AC"/>
    <w:rsid w:val="00ED0B31"/>
    <w:rsid w:val="00ED0C59"/>
    <w:rsid w:val="00ED10E2"/>
    <w:rsid w:val="00ED1A41"/>
    <w:rsid w:val="00ED2A98"/>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6DFA"/>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5A3"/>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6523"/>
    <w:rsid w:val="00FE6735"/>
    <w:rsid w:val="00FE7166"/>
    <w:rsid w:val="00FE72F4"/>
    <w:rsid w:val="00FE764B"/>
    <w:rsid w:val="00FE7A55"/>
    <w:rsid w:val="00FF0A29"/>
    <w:rsid w:val="00FF1213"/>
    <w:rsid w:val="00FF23C5"/>
    <w:rsid w:val="00FF2E2E"/>
    <w:rsid w:val="00FF438C"/>
    <w:rsid w:val="00FF4C35"/>
    <w:rsid w:val="00FF5EEE"/>
    <w:rsid w:val="00FF634A"/>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F1F39"/>
    <w:pPr>
      <w:spacing w:after="150" w:line="276" w:lineRule="auto"/>
      <w:jc w:val="both"/>
    </w:pPr>
  </w:style>
  <w:style w:type="paragraph" w:styleId="Cmsor1">
    <w:name w:val="heading 1"/>
    <w:basedOn w:val="Norml"/>
    <w:next w:val="Norml"/>
    <w:link w:val="Cmsor1Char"/>
    <w:qFormat/>
    <w:rsid w:val="004F1F39"/>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4F1F39"/>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4F1F39"/>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4F1F39"/>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4F1F39"/>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4F1F39"/>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4F1F3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F1F3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F1F3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F1F3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F1F39"/>
  </w:style>
  <w:style w:type="table" w:customStyle="1" w:styleId="tblzat-mtrix">
    <w:name w:val="táblázat - mátrix"/>
    <w:basedOn w:val="Normltblzat"/>
    <w:uiPriority w:val="2"/>
    <w:qFormat/>
    <w:rsid w:val="004F1F39"/>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F1F3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4F1F39"/>
    <w:pPr>
      <w:numPr>
        <w:numId w:val="8"/>
      </w:numPr>
      <w:contextualSpacing/>
    </w:pPr>
  </w:style>
  <w:style w:type="character" w:styleId="Hiperhivatkozs">
    <w:name w:val="Hyperlink"/>
    <w:basedOn w:val="Vgjegyzet-hivatkozs"/>
    <w:uiPriority w:val="99"/>
    <w:rsid w:val="004F1F39"/>
    <w:rPr>
      <w:rFonts w:ascii="Calibri" w:hAnsi="Calibri"/>
      <w:color w:val="0000FF"/>
      <w:sz w:val="20"/>
      <w:u w:val="single"/>
      <w:vertAlign w:val="superscript"/>
    </w:rPr>
  </w:style>
  <w:style w:type="table" w:customStyle="1" w:styleId="tblzat-oldallces">
    <w:name w:val="táblázat - oldalléces"/>
    <w:basedOn w:val="Normltblzat"/>
    <w:uiPriority w:val="3"/>
    <w:qFormat/>
    <w:rsid w:val="004F1F3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F1F39"/>
    <w:rPr>
      <w:vertAlign w:val="superscript"/>
    </w:rPr>
  </w:style>
  <w:style w:type="paragraph" w:styleId="Buborkszveg">
    <w:name w:val="Balloon Text"/>
    <w:basedOn w:val="Norml"/>
    <w:link w:val="BuborkszvegChar"/>
    <w:uiPriority w:val="99"/>
    <w:semiHidden/>
    <w:unhideWhenUsed/>
    <w:rsid w:val="004F1F39"/>
    <w:rPr>
      <w:rFonts w:ascii="Tahoma" w:hAnsi="Tahoma" w:cs="Tahoma"/>
      <w:sz w:val="16"/>
      <w:szCs w:val="16"/>
    </w:rPr>
  </w:style>
  <w:style w:type="paragraph" w:customStyle="1" w:styleId="Magyarzszveg">
    <w:name w:val="Magyarázó szöveg"/>
    <w:basedOn w:val="Norml"/>
    <w:next w:val="Norml"/>
    <w:uiPriority w:val="7"/>
    <w:rsid w:val="004F1F39"/>
    <w:rPr>
      <w:color w:val="F6A800" w:themeColor="accent5"/>
      <w:sz w:val="18"/>
    </w:rPr>
  </w:style>
  <w:style w:type="character" w:customStyle="1" w:styleId="BuborkszvegChar">
    <w:name w:val="Buborékszöveg Char"/>
    <w:basedOn w:val="Bekezdsalapbettpusa"/>
    <w:link w:val="Buborkszveg"/>
    <w:uiPriority w:val="99"/>
    <w:semiHidden/>
    <w:rsid w:val="004F1F39"/>
    <w:rPr>
      <w:rFonts w:ascii="Tahoma" w:hAnsi="Tahoma" w:cs="Tahoma"/>
      <w:sz w:val="16"/>
      <w:szCs w:val="16"/>
    </w:rPr>
  </w:style>
  <w:style w:type="paragraph" w:styleId="lfej">
    <w:name w:val="header"/>
    <w:basedOn w:val="Norml"/>
    <w:link w:val="lfejChar"/>
    <w:uiPriority w:val="99"/>
    <w:unhideWhenUsed/>
    <w:rsid w:val="004F1F39"/>
    <w:pPr>
      <w:tabs>
        <w:tab w:val="center" w:pos="4536"/>
        <w:tab w:val="right" w:pos="9072"/>
      </w:tabs>
    </w:pPr>
  </w:style>
  <w:style w:type="character" w:customStyle="1" w:styleId="lfejChar">
    <w:name w:val="Élőfej Char"/>
    <w:basedOn w:val="Bekezdsalapbettpusa"/>
    <w:link w:val="lfej"/>
    <w:uiPriority w:val="99"/>
    <w:rsid w:val="004F1F39"/>
  </w:style>
  <w:style w:type="paragraph" w:styleId="llb">
    <w:name w:val="footer"/>
    <w:basedOn w:val="Norml"/>
    <w:link w:val="llbChar"/>
    <w:uiPriority w:val="99"/>
    <w:unhideWhenUsed/>
    <w:rsid w:val="004F1F39"/>
    <w:pPr>
      <w:tabs>
        <w:tab w:val="center" w:pos="4536"/>
        <w:tab w:val="right" w:pos="9072"/>
      </w:tabs>
    </w:pPr>
  </w:style>
  <w:style w:type="character" w:customStyle="1" w:styleId="llbChar">
    <w:name w:val="Élőláb Char"/>
    <w:basedOn w:val="Bekezdsalapbettpusa"/>
    <w:link w:val="llb"/>
    <w:uiPriority w:val="99"/>
    <w:rsid w:val="004F1F39"/>
  </w:style>
  <w:style w:type="paragraph" w:customStyle="1" w:styleId="Szmozs">
    <w:name w:val="Számozás"/>
    <w:basedOn w:val="Norml"/>
    <w:uiPriority w:val="4"/>
    <w:qFormat/>
    <w:rsid w:val="004F1F39"/>
    <w:pPr>
      <w:numPr>
        <w:numId w:val="4"/>
      </w:numPr>
      <w:spacing w:before="120"/>
      <w:contextualSpacing/>
    </w:pPr>
  </w:style>
  <w:style w:type="table" w:styleId="Rcsostblzat">
    <w:name w:val="Table Grid"/>
    <w:aliases w:val="Szegély nélküli"/>
    <w:basedOn w:val="Normltblzat"/>
    <w:uiPriority w:val="59"/>
    <w:rsid w:val="004F1F39"/>
    <w:pPr>
      <w:contextualSpacing/>
    </w:pPr>
    <w:tblPr/>
    <w:tcPr>
      <w:vAlign w:val="center"/>
    </w:tcPr>
  </w:style>
  <w:style w:type="character" w:customStyle="1" w:styleId="Cmsor4Char">
    <w:name w:val="Címsor 4 Char"/>
    <w:basedOn w:val="Bekezdsalapbettpusa"/>
    <w:link w:val="Cmsor4"/>
    <w:rsid w:val="004F1F39"/>
    <w:rPr>
      <w:iCs/>
      <w:color w:val="0C2148" w:themeColor="text2"/>
      <w:szCs w:val="30"/>
    </w:rPr>
  </w:style>
  <w:style w:type="character" w:customStyle="1" w:styleId="Cmsor5Char">
    <w:name w:val="Címsor 5 Char"/>
    <w:basedOn w:val="Bekezdsalapbettpusa"/>
    <w:link w:val="Cmsor5"/>
    <w:rsid w:val="004F1F39"/>
    <w:rPr>
      <w:color w:val="0C2148" w:themeColor="text2"/>
      <w:szCs w:val="26"/>
    </w:rPr>
  </w:style>
  <w:style w:type="character" w:customStyle="1" w:styleId="Cmsor6Char">
    <w:name w:val="Címsor 6 Char"/>
    <w:basedOn w:val="Bekezdsalapbettpusa"/>
    <w:link w:val="Cmsor6"/>
    <w:rsid w:val="004F1F39"/>
    <w:rPr>
      <w:color w:val="0C2148" w:themeColor="text2"/>
    </w:rPr>
  </w:style>
  <w:style w:type="character" w:customStyle="1" w:styleId="Cmsor1Char">
    <w:name w:val="Címsor 1 Char"/>
    <w:basedOn w:val="Bekezdsalapbettpusa"/>
    <w:link w:val="Cmsor1"/>
    <w:rsid w:val="004F1F39"/>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4F1F39"/>
    <w:rPr>
      <w:b/>
      <w:color w:val="0C2148" w:themeColor="text2"/>
      <w:sz w:val="24"/>
      <w:szCs w:val="38"/>
    </w:rPr>
  </w:style>
  <w:style w:type="character" w:customStyle="1" w:styleId="Cmsor3Char">
    <w:name w:val="Címsor 3 Char"/>
    <w:basedOn w:val="Bekezdsalapbettpusa"/>
    <w:link w:val="Cmsor3"/>
    <w:rsid w:val="004F1F39"/>
    <w:rPr>
      <w:bCs/>
      <w:color w:val="0C2148" w:themeColor="text2"/>
      <w:szCs w:val="34"/>
    </w:rPr>
  </w:style>
  <w:style w:type="paragraph" w:styleId="Cm">
    <w:name w:val="Title"/>
    <w:basedOn w:val="Norml"/>
    <w:next w:val="Norml"/>
    <w:link w:val="CmChar"/>
    <w:uiPriority w:val="3"/>
    <w:qFormat/>
    <w:rsid w:val="004F1F39"/>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4F1F39"/>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4F1F39"/>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4F1F39"/>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4F1F39"/>
    <w:rPr>
      <w:rFonts w:eastAsiaTheme="majorEastAsia" w:cstheme="majorBidi"/>
      <w:i/>
      <w:iCs/>
      <w:color w:val="404040" w:themeColor="text1" w:themeTint="BF"/>
    </w:rPr>
  </w:style>
  <w:style w:type="numbering" w:customStyle="1" w:styleId="Style1">
    <w:name w:val="Style1"/>
    <w:uiPriority w:val="99"/>
    <w:rsid w:val="004F1F39"/>
    <w:pPr>
      <w:numPr>
        <w:numId w:val="1"/>
      </w:numPr>
    </w:pPr>
  </w:style>
  <w:style w:type="paragraph" w:styleId="TJ7">
    <w:name w:val="toc 7"/>
    <w:basedOn w:val="Norml"/>
    <w:next w:val="Norml"/>
    <w:autoRedefine/>
    <w:uiPriority w:val="99"/>
    <w:semiHidden/>
    <w:locked/>
    <w:rsid w:val="004F1F39"/>
    <w:pPr>
      <w:spacing w:after="100"/>
      <w:ind w:left="1200"/>
    </w:pPr>
    <w:rPr>
      <w:color w:val="385623" w:themeColor="accent6" w:themeShade="80"/>
    </w:rPr>
  </w:style>
  <w:style w:type="paragraph" w:styleId="TJ8">
    <w:name w:val="toc 8"/>
    <w:basedOn w:val="Norml"/>
    <w:next w:val="Norml"/>
    <w:autoRedefine/>
    <w:uiPriority w:val="99"/>
    <w:semiHidden/>
    <w:locked/>
    <w:rsid w:val="004F1F39"/>
    <w:pPr>
      <w:spacing w:after="100"/>
      <w:ind w:left="1400"/>
    </w:pPr>
    <w:rPr>
      <w:color w:val="385623" w:themeColor="accent6" w:themeShade="80"/>
    </w:rPr>
  </w:style>
  <w:style w:type="paragraph" w:styleId="TJ9">
    <w:name w:val="toc 9"/>
    <w:basedOn w:val="Norml"/>
    <w:next w:val="Norml"/>
    <w:autoRedefine/>
    <w:uiPriority w:val="99"/>
    <w:semiHidden/>
    <w:locked/>
    <w:rsid w:val="004F1F39"/>
    <w:pPr>
      <w:spacing w:after="100"/>
      <w:ind w:left="1600"/>
    </w:pPr>
    <w:rPr>
      <w:color w:val="385623" w:themeColor="accent6" w:themeShade="80"/>
    </w:rPr>
  </w:style>
  <w:style w:type="table" w:customStyle="1" w:styleId="Calendar2">
    <w:name w:val="Calendar 2"/>
    <w:basedOn w:val="Normltblzat"/>
    <w:uiPriority w:val="99"/>
    <w:qFormat/>
    <w:rsid w:val="004F1F39"/>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F1F39"/>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4F1F39"/>
    <w:rPr>
      <w:rFonts w:eastAsiaTheme="minorEastAsia"/>
      <w:color w:val="0C2148" w:themeColor="text2"/>
      <w:sz w:val="16"/>
    </w:rPr>
  </w:style>
  <w:style w:type="character" w:styleId="Finomkiemels">
    <w:name w:val="Subtle Emphasis"/>
    <w:basedOn w:val="Bekezdsalapbettpusa"/>
    <w:uiPriority w:val="19"/>
    <w:qFormat/>
    <w:rsid w:val="004F1F3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F1F39"/>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4F1F3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F1F39"/>
    <w:rPr>
      <w:color w:val="385623" w:themeColor="accent6" w:themeShade="80"/>
    </w:rPr>
  </w:style>
  <w:style w:type="character" w:customStyle="1" w:styleId="VgjegyzetszvegeChar">
    <w:name w:val="Végjegyzet szövege Char"/>
    <w:basedOn w:val="Bekezdsalapbettpusa"/>
    <w:link w:val="Vgjegyzetszvege"/>
    <w:uiPriority w:val="99"/>
    <w:semiHidden/>
    <w:rsid w:val="004F1F39"/>
    <w:rPr>
      <w:color w:val="385623" w:themeColor="accent6" w:themeShade="80"/>
    </w:rPr>
  </w:style>
  <w:style w:type="table" w:customStyle="1" w:styleId="Vilgosrnykols1jellszn1">
    <w:name w:val="Világos árnyékolás – 1. jelölőszín1"/>
    <w:basedOn w:val="Normltblzat"/>
    <w:uiPriority w:val="60"/>
    <w:rsid w:val="004F1F39"/>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4F1F39"/>
    <w:pPr>
      <w:numPr>
        <w:numId w:val="5"/>
      </w:numPr>
    </w:pPr>
  </w:style>
  <w:style w:type="paragraph" w:customStyle="1" w:styleId="Tblaszvegstlus">
    <w:name w:val="Tábla szöveg stílus"/>
    <w:basedOn w:val="Norml"/>
    <w:link w:val="TblaszvegstlusChar"/>
    <w:uiPriority w:val="8"/>
    <w:qFormat/>
    <w:rsid w:val="004F1F39"/>
  </w:style>
  <w:style w:type="character" w:customStyle="1" w:styleId="ListaszerbekezdsChar">
    <w:name w:val="Listaszerű bekezdés Char"/>
    <w:aliases w:val="Lista_1 Char,lista_2 Char"/>
    <w:basedOn w:val="Bekezdsalapbettpusa"/>
    <w:link w:val="Listaszerbekezds"/>
    <w:uiPriority w:val="4"/>
    <w:rsid w:val="004F1F39"/>
  </w:style>
  <w:style w:type="character" w:customStyle="1" w:styleId="Listaszerbekezds2Char">
    <w:name w:val="Listaszerű bekezdés 2 Char"/>
    <w:basedOn w:val="ListaszerbekezdsChar"/>
    <w:link w:val="Listaszerbekezds2"/>
    <w:uiPriority w:val="4"/>
    <w:rsid w:val="004F1F39"/>
  </w:style>
  <w:style w:type="character" w:customStyle="1" w:styleId="TblaszvegstlusChar">
    <w:name w:val="Tábla szöveg stílus Char"/>
    <w:basedOn w:val="Bekezdsalapbettpusa"/>
    <w:link w:val="Tblaszvegstlus"/>
    <w:uiPriority w:val="8"/>
    <w:rsid w:val="004F1F39"/>
  </w:style>
  <w:style w:type="character" w:styleId="Finomhivatkozs">
    <w:name w:val="Subtle Reference"/>
    <w:basedOn w:val="Bekezdsalapbettpusa"/>
    <w:uiPriority w:val="31"/>
    <w:rsid w:val="004F1F39"/>
    <w:rPr>
      <w:sz w:val="24"/>
      <w:szCs w:val="24"/>
      <w:u w:val="single"/>
    </w:rPr>
  </w:style>
  <w:style w:type="character" w:styleId="Ershivatkozs">
    <w:name w:val="Intense Reference"/>
    <w:basedOn w:val="Bekezdsalapbettpusa"/>
    <w:uiPriority w:val="32"/>
    <w:rsid w:val="004F1F39"/>
    <w:rPr>
      <w:b/>
      <w:sz w:val="24"/>
      <w:u w:val="single"/>
    </w:rPr>
  </w:style>
  <w:style w:type="paragraph" w:customStyle="1" w:styleId="Listaszerbekezds2szint">
    <w:name w:val="Listaszerű bekezdés 2. szint"/>
    <w:basedOn w:val="Listaszerbekezds"/>
    <w:link w:val="Listaszerbekezds2szintChar"/>
    <w:uiPriority w:val="4"/>
    <w:qFormat/>
    <w:rsid w:val="004F1F39"/>
    <w:pPr>
      <w:numPr>
        <w:numId w:val="7"/>
      </w:numPr>
    </w:pPr>
  </w:style>
  <w:style w:type="paragraph" w:customStyle="1" w:styleId="Listaszerbekezds3szint">
    <w:name w:val="Listaszerű bekezdés 3. szint"/>
    <w:basedOn w:val="Listaszerbekezds"/>
    <w:link w:val="Listaszerbekezds3szintChar"/>
    <w:uiPriority w:val="4"/>
    <w:qFormat/>
    <w:rsid w:val="004F1F39"/>
    <w:pPr>
      <w:numPr>
        <w:ilvl w:val="2"/>
        <w:numId w:val="9"/>
      </w:numPr>
    </w:pPr>
  </w:style>
  <w:style w:type="character" w:customStyle="1" w:styleId="Listaszerbekezds2szintChar">
    <w:name w:val="Listaszerű bekezdés 2. szint Char"/>
    <w:basedOn w:val="ListaszerbekezdsChar"/>
    <w:link w:val="Listaszerbekezds2szint"/>
    <w:uiPriority w:val="4"/>
    <w:rsid w:val="004F1F39"/>
  </w:style>
  <w:style w:type="character" w:customStyle="1" w:styleId="Listaszerbekezds3szintChar">
    <w:name w:val="Listaszerű bekezdés 3. szint Char"/>
    <w:basedOn w:val="ListaszerbekezdsChar"/>
    <w:link w:val="Listaszerbekezds3szint"/>
    <w:uiPriority w:val="4"/>
    <w:rsid w:val="004F1F39"/>
  </w:style>
  <w:style w:type="paragraph" w:styleId="Alcm">
    <w:name w:val="Subtitle"/>
    <w:basedOn w:val="Norml"/>
    <w:next w:val="Norml"/>
    <w:link w:val="AlcmChar"/>
    <w:uiPriority w:val="11"/>
    <w:rsid w:val="004F1F3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F1F39"/>
    <w:rPr>
      <w:rFonts w:eastAsiaTheme="majorEastAsia" w:cstheme="majorBidi"/>
    </w:rPr>
  </w:style>
  <w:style w:type="paragraph" w:customStyle="1" w:styleId="Listabetvel">
    <w:name w:val="Lista betűvel"/>
    <w:basedOn w:val="Listaszerbekezds"/>
    <w:link w:val="ListabetvelChar"/>
    <w:uiPriority w:val="4"/>
    <w:qFormat/>
    <w:rsid w:val="004F1F39"/>
    <w:pPr>
      <w:numPr>
        <w:numId w:val="6"/>
      </w:numPr>
    </w:pPr>
  </w:style>
  <w:style w:type="character" w:customStyle="1" w:styleId="ListabetvelChar">
    <w:name w:val="Lista betűvel Char"/>
    <w:basedOn w:val="ListaszerbekezdsChar"/>
    <w:link w:val="Listabetvel"/>
    <w:uiPriority w:val="4"/>
    <w:rsid w:val="004F1F39"/>
  </w:style>
  <w:style w:type="paragraph" w:customStyle="1" w:styleId="Erskiemels1">
    <w:name w:val="Erős kiemelés1"/>
    <w:basedOn w:val="Norml"/>
    <w:link w:val="ErskiemelsChar"/>
    <w:uiPriority w:val="5"/>
    <w:qFormat/>
    <w:rsid w:val="004F1F39"/>
    <w:rPr>
      <w:b/>
      <w:i/>
    </w:rPr>
  </w:style>
  <w:style w:type="character" w:customStyle="1" w:styleId="ErskiemelsChar">
    <w:name w:val="Erős kiemelés Char"/>
    <w:basedOn w:val="Bekezdsalapbettpusa"/>
    <w:link w:val="Erskiemels1"/>
    <w:uiPriority w:val="5"/>
    <w:rsid w:val="004F1F39"/>
    <w:rPr>
      <w:b/>
      <w:i/>
    </w:rPr>
  </w:style>
  <w:style w:type="paragraph" w:customStyle="1" w:styleId="Bold">
    <w:name w:val="Bold"/>
    <w:basedOn w:val="Norml"/>
    <w:link w:val="BoldChar"/>
    <w:uiPriority w:val="6"/>
    <w:qFormat/>
    <w:rsid w:val="004F1F39"/>
    <w:rPr>
      <w:b/>
    </w:rPr>
  </w:style>
  <w:style w:type="character" w:customStyle="1" w:styleId="BoldChar">
    <w:name w:val="Bold Char"/>
    <w:basedOn w:val="Bekezdsalapbettpusa"/>
    <w:link w:val="Bold"/>
    <w:uiPriority w:val="6"/>
    <w:rsid w:val="004F1F39"/>
    <w:rPr>
      <w:b/>
    </w:rPr>
  </w:style>
  <w:style w:type="character" w:styleId="Mrltotthiperhivatkozs">
    <w:name w:val="FollowedHyperlink"/>
    <w:basedOn w:val="Bekezdsalapbettpusa"/>
    <w:uiPriority w:val="99"/>
    <w:semiHidden/>
    <w:unhideWhenUsed/>
    <w:rsid w:val="004F1F39"/>
    <w:rPr>
      <w:color w:val="954F72" w:themeColor="followedHyperlink"/>
      <w:u w:val="single"/>
    </w:rPr>
  </w:style>
  <w:style w:type="paragraph" w:styleId="Tartalomjegyzkcmsora">
    <w:name w:val="TOC Heading"/>
    <w:basedOn w:val="Cmsor1"/>
    <w:next w:val="Norml"/>
    <w:uiPriority w:val="39"/>
    <w:unhideWhenUsed/>
    <w:qFormat/>
    <w:rsid w:val="004F1F3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F1F39"/>
    <w:pPr>
      <w:spacing w:after="100"/>
      <w:ind w:left="220"/>
      <w:jc w:val="left"/>
    </w:pPr>
    <w:rPr>
      <w:rFonts w:eastAsiaTheme="minorEastAsia"/>
    </w:rPr>
  </w:style>
  <w:style w:type="paragraph" w:styleId="TJ1">
    <w:name w:val="toc 1"/>
    <w:basedOn w:val="Norml"/>
    <w:next w:val="Norml"/>
    <w:autoRedefine/>
    <w:uiPriority w:val="39"/>
    <w:unhideWhenUsed/>
    <w:qFormat/>
    <w:locked/>
    <w:rsid w:val="004F1F39"/>
    <w:pPr>
      <w:spacing w:after="100"/>
      <w:jc w:val="left"/>
    </w:pPr>
    <w:rPr>
      <w:rFonts w:eastAsiaTheme="minorEastAsia"/>
    </w:rPr>
  </w:style>
  <w:style w:type="paragraph" w:styleId="TJ3">
    <w:name w:val="toc 3"/>
    <w:basedOn w:val="Norml"/>
    <w:next w:val="Norml"/>
    <w:uiPriority w:val="39"/>
    <w:unhideWhenUsed/>
    <w:qFormat/>
    <w:locked/>
    <w:rsid w:val="004F1F39"/>
    <w:pPr>
      <w:spacing w:after="100"/>
      <w:ind w:left="400"/>
    </w:pPr>
  </w:style>
  <w:style w:type="paragraph" w:customStyle="1" w:styleId="StyleTOC2Left015">
    <w:name w:val="Style TOC 2 + Left:  0.15&quot;"/>
    <w:basedOn w:val="TJ2"/>
    <w:rsid w:val="004F1F39"/>
    <w:pPr>
      <w:ind w:left="216"/>
    </w:pPr>
    <w:rPr>
      <w:rFonts w:eastAsia="Times New Roman" w:cs="Times New Roman"/>
    </w:rPr>
  </w:style>
  <w:style w:type="paragraph" w:customStyle="1" w:styleId="StyleTOC3Left031">
    <w:name w:val="Style TOC 3 + Left:  0.31&quot;"/>
    <w:basedOn w:val="TJ3"/>
    <w:rsid w:val="004F1F39"/>
    <w:pPr>
      <w:ind w:left="446"/>
    </w:pPr>
    <w:rPr>
      <w:rFonts w:eastAsia="Times New Roman" w:cs="Times New Roman"/>
    </w:rPr>
  </w:style>
  <w:style w:type="numbering" w:customStyle="1" w:styleId="Hierarchikuslista">
    <w:name w:val="Hierarchikus lista"/>
    <w:uiPriority w:val="99"/>
    <w:rsid w:val="004F1F39"/>
    <w:pPr>
      <w:numPr>
        <w:numId w:val="2"/>
      </w:numPr>
    </w:pPr>
  </w:style>
  <w:style w:type="paragraph" w:customStyle="1" w:styleId="HierarchikusLista0">
    <w:name w:val="Hierarchikus Lista"/>
    <w:basedOn w:val="Listaszerbekezds"/>
    <w:link w:val="HierarchikusListaChar"/>
    <w:qFormat/>
    <w:rsid w:val="004F1F39"/>
    <w:pPr>
      <w:numPr>
        <w:numId w:val="0"/>
      </w:numPr>
    </w:pPr>
  </w:style>
  <w:style w:type="character" w:customStyle="1" w:styleId="HierarchikusListaChar">
    <w:name w:val="Hierarchikus Lista Char"/>
    <w:basedOn w:val="ListaszerbekezdsChar"/>
    <w:link w:val="HierarchikusLista0"/>
    <w:rsid w:val="004F1F39"/>
  </w:style>
  <w:style w:type="character" w:styleId="Kiemels2">
    <w:name w:val="Strong"/>
    <w:basedOn w:val="Bekezdsalapbettpusa"/>
    <w:uiPriority w:val="22"/>
    <w:rsid w:val="004F1F39"/>
    <w:rPr>
      <w:b/>
      <w:bCs/>
    </w:rPr>
  </w:style>
  <w:style w:type="character" w:styleId="Kiemels">
    <w:name w:val="Emphasis"/>
    <w:basedOn w:val="Bekezdsalapbettpusa"/>
    <w:uiPriority w:val="6"/>
    <w:qFormat/>
    <w:rsid w:val="004F1F39"/>
    <w:rPr>
      <w:i/>
      <w:iCs/>
    </w:rPr>
  </w:style>
  <w:style w:type="paragraph" w:styleId="Nincstrkz">
    <w:name w:val="No Spacing"/>
    <w:basedOn w:val="Norml"/>
    <w:uiPriority w:val="1"/>
    <w:rsid w:val="004F1F39"/>
    <w:rPr>
      <w:szCs w:val="32"/>
    </w:rPr>
  </w:style>
  <w:style w:type="paragraph" w:styleId="Idzet">
    <w:name w:val="Quote"/>
    <w:basedOn w:val="Norml"/>
    <w:next w:val="Norml"/>
    <w:link w:val="IdzetChar"/>
    <w:uiPriority w:val="29"/>
    <w:rsid w:val="004F1F39"/>
    <w:rPr>
      <w:i/>
    </w:rPr>
  </w:style>
  <w:style w:type="character" w:customStyle="1" w:styleId="IdzetChar">
    <w:name w:val="Idézet Char"/>
    <w:basedOn w:val="Bekezdsalapbettpusa"/>
    <w:link w:val="Idzet"/>
    <w:uiPriority w:val="29"/>
    <w:rsid w:val="004F1F39"/>
    <w:rPr>
      <w:i/>
    </w:rPr>
  </w:style>
  <w:style w:type="paragraph" w:styleId="Kiemeltidzet">
    <w:name w:val="Intense Quote"/>
    <w:basedOn w:val="Norml"/>
    <w:next w:val="Norml"/>
    <w:link w:val="KiemeltidzetChar"/>
    <w:uiPriority w:val="30"/>
    <w:rsid w:val="004F1F39"/>
    <w:pPr>
      <w:ind w:left="720" w:right="720"/>
    </w:pPr>
    <w:rPr>
      <w:b/>
      <w:i/>
    </w:rPr>
  </w:style>
  <w:style w:type="character" w:customStyle="1" w:styleId="KiemeltidzetChar">
    <w:name w:val="Kiemelt idézet Char"/>
    <w:basedOn w:val="Bekezdsalapbettpusa"/>
    <w:link w:val="Kiemeltidzet"/>
    <w:uiPriority w:val="30"/>
    <w:rsid w:val="004F1F39"/>
    <w:rPr>
      <w:b/>
      <w:i/>
    </w:rPr>
  </w:style>
  <w:style w:type="character" w:styleId="Erskiemels">
    <w:name w:val="Intense Emphasis"/>
    <w:basedOn w:val="Bekezdsalapbettpusa"/>
    <w:uiPriority w:val="21"/>
    <w:rsid w:val="004F1F39"/>
    <w:rPr>
      <w:b/>
      <w:i/>
      <w:sz w:val="24"/>
      <w:szCs w:val="24"/>
      <w:u w:val="single"/>
    </w:rPr>
  </w:style>
  <w:style w:type="character" w:styleId="Knyvcme">
    <w:name w:val="Book Title"/>
    <w:basedOn w:val="Bekezdsalapbettpusa"/>
    <w:uiPriority w:val="33"/>
    <w:rsid w:val="004F1F39"/>
    <w:rPr>
      <w:rFonts w:ascii="Calibri" w:eastAsiaTheme="majorEastAsia" w:hAnsi="Calibri"/>
      <w:b/>
      <w:i/>
      <w:sz w:val="24"/>
      <w:szCs w:val="24"/>
    </w:rPr>
  </w:style>
  <w:style w:type="paragraph" w:customStyle="1" w:styleId="Szvegdobozstlus">
    <w:name w:val="Szövegdoboz stílus"/>
    <w:basedOn w:val="HierarchikusLista0"/>
    <w:qFormat/>
    <w:rsid w:val="004F1F39"/>
    <w:rPr>
      <w:b/>
      <w:i/>
      <w:color w:val="009EE0"/>
    </w:rPr>
  </w:style>
  <w:style w:type="table" w:customStyle="1" w:styleId="Rcsos">
    <w:name w:val="Rácsos"/>
    <w:basedOn w:val="Normltblzat"/>
    <w:uiPriority w:val="99"/>
    <w:rsid w:val="004F1F39"/>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F1F3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F1F39"/>
    <w:pPr>
      <w:keepNext/>
      <w:spacing w:after="40"/>
      <w:jc w:val="center"/>
    </w:pPr>
    <w:rPr>
      <w:b/>
      <w:bCs/>
      <w:color w:val="808080"/>
      <w:szCs w:val="18"/>
    </w:rPr>
  </w:style>
  <w:style w:type="paragraph" w:customStyle="1" w:styleId="ENCaption2Col">
    <w:name w:val="EN_Caption_2Col"/>
    <w:basedOn w:val="Norml"/>
    <w:next w:val="Norml"/>
    <w:uiPriority w:val="1"/>
    <w:qFormat/>
    <w:rsid w:val="004F1F39"/>
    <w:pPr>
      <w:keepNext/>
      <w:spacing w:after="40"/>
      <w:jc w:val="left"/>
    </w:pPr>
    <w:rPr>
      <w:b/>
      <w:bCs/>
      <w:color w:val="808080"/>
      <w:szCs w:val="18"/>
    </w:rPr>
  </w:style>
  <w:style w:type="paragraph" w:customStyle="1" w:styleId="ENCaptionBox">
    <w:name w:val="EN_Caption_Box"/>
    <w:basedOn w:val="Norml"/>
    <w:next w:val="Norml"/>
    <w:uiPriority w:val="1"/>
    <w:qFormat/>
    <w:rsid w:val="004F1F3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F1F3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F1F39"/>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4F1F39"/>
    <w:rPr>
      <w:rFonts w:eastAsiaTheme="minorEastAsia"/>
      <w:color w:val="808080"/>
      <w:sz w:val="18"/>
    </w:rPr>
  </w:style>
  <w:style w:type="paragraph" w:customStyle="1" w:styleId="ENNormal">
    <w:name w:val="EN_Normal"/>
    <w:basedOn w:val="Norml"/>
    <w:uiPriority w:val="1"/>
    <w:qFormat/>
    <w:rsid w:val="004F1F39"/>
  </w:style>
  <w:style w:type="paragraph" w:customStyle="1" w:styleId="ENNormalBox">
    <w:name w:val="EN_Normal_Box"/>
    <w:basedOn w:val="Norml"/>
    <w:uiPriority w:val="1"/>
    <w:qFormat/>
    <w:rsid w:val="004F1F3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4F1F39"/>
    <w:pPr>
      <w:keepLines/>
      <w:jc w:val="center"/>
    </w:pPr>
    <w:rPr>
      <w:color w:val="808080"/>
      <w:sz w:val="18"/>
    </w:rPr>
  </w:style>
  <w:style w:type="paragraph" w:customStyle="1" w:styleId="ENNote2Col">
    <w:name w:val="EN_Note_2Col"/>
    <w:basedOn w:val="Norml"/>
    <w:next w:val="ENNormal"/>
    <w:uiPriority w:val="1"/>
    <w:qFormat/>
    <w:rsid w:val="004F1F39"/>
    <w:pPr>
      <w:keepLines/>
    </w:pPr>
    <w:rPr>
      <w:color w:val="808080"/>
      <w:sz w:val="18"/>
    </w:rPr>
  </w:style>
  <w:style w:type="paragraph" w:customStyle="1" w:styleId="ENNoteBox">
    <w:name w:val="EN_Note_Box"/>
    <w:basedOn w:val="Norml"/>
    <w:next w:val="ENNormalBox"/>
    <w:uiPriority w:val="1"/>
    <w:qFormat/>
    <w:rsid w:val="004F1F3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F1F39"/>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4F1F39"/>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4F1F3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F1F39"/>
    <w:pPr>
      <w:keepNext/>
      <w:spacing w:after="40"/>
      <w:jc w:val="center"/>
    </w:pPr>
    <w:rPr>
      <w:sz w:val="20"/>
    </w:rPr>
  </w:style>
  <w:style w:type="paragraph" w:customStyle="1" w:styleId="HUCaption2Col">
    <w:name w:val="HU_Caption_2Col"/>
    <w:basedOn w:val="Kpalrs"/>
    <w:next w:val="Norml"/>
    <w:uiPriority w:val="1"/>
    <w:qFormat/>
    <w:rsid w:val="004F1F39"/>
    <w:pPr>
      <w:keepNext/>
      <w:spacing w:after="40"/>
    </w:pPr>
    <w:rPr>
      <w:sz w:val="20"/>
    </w:rPr>
  </w:style>
  <w:style w:type="paragraph" w:customStyle="1" w:styleId="HUCaptionBox">
    <w:name w:val="HU_Caption_Box"/>
    <w:basedOn w:val="Kpalrs"/>
    <w:next w:val="Norml"/>
    <w:uiPriority w:val="1"/>
    <w:qFormat/>
    <w:rsid w:val="004F1F3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F1F3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F1F39"/>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F1F39"/>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4F1F39"/>
    <w:rPr>
      <w:caps/>
      <w:color w:val="0C2148" w:themeColor="text2"/>
    </w:rPr>
  </w:style>
  <w:style w:type="paragraph" w:customStyle="1" w:styleId="HUFootnote">
    <w:name w:val="HU_Footnote"/>
    <w:basedOn w:val="Lbjegyzetszveg"/>
    <w:uiPriority w:val="1"/>
    <w:qFormat/>
    <w:rsid w:val="004F1F39"/>
    <w:rPr>
      <w:color w:val="808080"/>
      <w:sz w:val="18"/>
    </w:rPr>
  </w:style>
  <w:style w:type="paragraph" w:customStyle="1" w:styleId="HUNormalBox">
    <w:name w:val="HU_Normal_Box"/>
    <w:basedOn w:val="Norml"/>
    <w:uiPriority w:val="1"/>
    <w:qFormat/>
    <w:rsid w:val="004F1F3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4F1F39"/>
    <w:pPr>
      <w:keepLines/>
      <w:jc w:val="center"/>
    </w:pPr>
    <w:rPr>
      <w:color w:val="808080"/>
      <w:sz w:val="18"/>
    </w:rPr>
  </w:style>
  <w:style w:type="paragraph" w:customStyle="1" w:styleId="HUNote2Col">
    <w:name w:val="HU_Note_2Col"/>
    <w:basedOn w:val="Norml"/>
    <w:next w:val="Norml"/>
    <w:uiPriority w:val="1"/>
    <w:qFormat/>
    <w:rsid w:val="004F1F39"/>
    <w:pPr>
      <w:keepLines/>
    </w:pPr>
    <w:rPr>
      <w:color w:val="808080"/>
      <w:sz w:val="18"/>
    </w:rPr>
  </w:style>
  <w:style w:type="paragraph" w:customStyle="1" w:styleId="HUNoteBox">
    <w:name w:val="HU_Note_Box"/>
    <w:basedOn w:val="Norml"/>
    <w:next w:val="HUNormalBox"/>
    <w:link w:val="HUNoteBoxChar"/>
    <w:uiPriority w:val="1"/>
    <w:qFormat/>
    <w:rsid w:val="004F1F3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F1F39"/>
    <w:rPr>
      <w:color w:val="808080"/>
      <w:sz w:val="18"/>
      <w:shd w:val="clear" w:color="auto" w:fill="C6EEFF"/>
    </w:rPr>
  </w:style>
  <w:style w:type="paragraph" w:customStyle="1" w:styleId="HUSectionTitle">
    <w:name w:val="HU_Section_Title"/>
    <w:basedOn w:val="Cmsor2"/>
    <w:next w:val="Norml"/>
    <w:link w:val="HUSectionTitleChar"/>
    <w:uiPriority w:val="1"/>
    <w:rsid w:val="004F1F39"/>
    <w:pPr>
      <w:keepNext/>
    </w:pPr>
  </w:style>
  <w:style w:type="character" w:customStyle="1" w:styleId="HUSectionTitleChar">
    <w:name w:val="HU_Section_Title Char"/>
    <w:basedOn w:val="Cmsor2Char"/>
    <w:link w:val="HUSectionTitle"/>
    <w:uiPriority w:val="1"/>
    <w:rsid w:val="004F1F39"/>
    <w:rPr>
      <w:b/>
      <w:color w:val="0C2148" w:themeColor="text2"/>
      <w:sz w:val="24"/>
      <w:szCs w:val="38"/>
    </w:rPr>
  </w:style>
  <w:style w:type="paragraph" w:customStyle="1" w:styleId="HUSubsectionTitle">
    <w:name w:val="HU_Subsection_Title"/>
    <w:basedOn w:val="Cmsor3"/>
    <w:next w:val="Norml"/>
    <w:link w:val="HUSubsectionTitleChar"/>
    <w:uiPriority w:val="1"/>
    <w:rsid w:val="004F1F39"/>
    <w:pPr>
      <w:keepNext/>
      <w:ind w:left="595" w:hanging="595"/>
    </w:pPr>
  </w:style>
  <w:style w:type="character" w:customStyle="1" w:styleId="HUSubsectionTitleChar">
    <w:name w:val="HU_Subsection_Title Char"/>
    <w:basedOn w:val="Cmsor3Char"/>
    <w:link w:val="HUSubsectionTitle"/>
    <w:uiPriority w:val="1"/>
    <w:rsid w:val="004F1F39"/>
    <w:rPr>
      <w:bCs/>
      <w:color w:val="0C2148" w:themeColor="text2"/>
      <w:szCs w:val="34"/>
    </w:rPr>
  </w:style>
  <w:style w:type="paragraph" w:customStyle="1" w:styleId="Heading1Kiadvny">
    <w:name w:val="Heading 1 Kiadvány"/>
    <w:basedOn w:val="Cmsor1"/>
    <w:qFormat/>
    <w:rsid w:val="004F1F39"/>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 w:type="paragraph" w:customStyle="1" w:styleId="Erskiemels52">
    <w:name w:val="Erős kiemelés52"/>
    <w:basedOn w:val="Norml"/>
    <w:uiPriority w:val="5"/>
    <w:qFormat/>
    <w:rsid w:val="009E349F"/>
    <w:rPr>
      <w:b/>
      <w:i/>
    </w:rPr>
  </w:style>
  <w:style w:type="paragraph" w:styleId="NormlWeb">
    <w:name w:val="Normal (Web)"/>
    <w:basedOn w:val="Norm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53">
    <w:name w:val="Erős kiemelés53"/>
    <w:basedOn w:val="Norml"/>
    <w:uiPriority w:val="5"/>
    <w:qFormat/>
    <w:rsid w:val="004329C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07616630">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860858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image" Target="cid:image001.png@01D6F0BA.02BD44F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image" Target="media/image19.emf"/><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media/image13.png"/><Relationship Id="rId36" Type="http://schemas.openxmlformats.org/officeDocument/2006/relationships/hyperlink" Target="https://www.ecb.europa.eu/stats/money/aggregates/anacredit/shared/pdf/List_of_national_identifiers.xlsx" TargetMode="Externa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emf"/><Relationship Id="rId30" Type="http://schemas.openxmlformats.org/officeDocument/2006/relationships/hyperlink" Target="https://entan.e-epites.hu/?potlap" TargetMode="External"/><Relationship Id="rId35" Type="http://schemas.openxmlformats.org/officeDocument/2006/relationships/image" Target="media/image18.emf"/></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3.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4.xml><?xml version="1.0" encoding="utf-8"?>
<ds:datastoreItem xmlns:ds="http://schemas.openxmlformats.org/officeDocument/2006/customXml" ds:itemID="{0E8AF13E-BA19-4576-8198-3010865376A5}">
  <ds:schemaRefs>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1cd9ea43-07ae-49b3-b02b-3fd15dba889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32033</Words>
  <Characters>221028</Characters>
  <Application>Microsoft Office Word</Application>
  <DocSecurity>0</DocSecurity>
  <Lines>1841</Lines>
  <Paragraphs>505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252556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2023-04-18T05:55:00Z</cp:lastPrinted>
  <dcterms:created xsi:type="dcterms:W3CDTF">2025-11-14T11:02:00Z</dcterms:created>
  <dcterms:modified xsi:type="dcterms:W3CDTF">2025-11-14T11:02:00Z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