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84C" w:rsidRPr="003B7DA2" w:rsidRDefault="0092684C">
      <w:pPr>
        <w:jc w:val="both"/>
        <w:rPr>
          <w:u w:val="single"/>
        </w:rPr>
      </w:pPr>
      <w:bookmarkStart w:id="0" w:name="_GoBack"/>
      <w:bookmarkEnd w:id="0"/>
    </w:p>
    <w:p w:rsidR="0092684C" w:rsidRPr="003B7DA2" w:rsidRDefault="0092684C">
      <w:pPr>
        <w:pStyle w:val="Heading3"/>
        <w:jc w:val="center"/>
        <w:rPr>
          <w:rFonts w:ascii="Calibri" w:hAnsi="Calibri"/>
          <w:sz w:val="22"/>
          <w:szCs w:val="22"/>
        </w:rPr>
      </w:pPr>
      <w:bookmarkStart w:id="1" w:name="_Toc120612687"/>
      <w:bookmarkStart w:id="2" w:name="_Toc122850666"/>
      <w:bookmarkStart w:id="3" w:name="_Toc125788685"/>
      <w:r w:rsidRPr="003B7DA2">
        <w:rPr>
          <w:rFonts w:ascii="Calibri" w:hAnsi="Calibri"/>
          <w:sz w:val="22"/>
          <w:szCs w:val="22"/>
        </w:rPr>
        <w:t>Az egyes pénzügyi derivatív instrumentumokkal kapcsolatos sajátosságok</w:t>
      </w:r>
      <w:bookmarkEnd w:id="1"/>
      <w:bookmarkEnd w:id="2"/>
      <w:bookmarkEnd w:id="3"/>
      <w:r w:rsidRPr="003B7DA2">
        <w:rPr>
          <w:rFonts w:ascii="Calibri" w:hAnsi="Calibri"/>
          <w:sz w:val="22"/>
          <w:szCs w:val="22"/>
        </w:rPr>
        <w:t>, példák az R0</w:t>
      </w:r>
      <w:r w:rsidR="00583402" w:rsidRPr="003B7DA2">
        <w:rPr>
          <w:rFonts w:ascii="Calibri" w:hAnsi="Calibri"/>
          <w:sz w:val="22"/>
          <w:szCs w:val="22"/>
        </w:rPr>
        <w:t>5</w:t>
      </w:r>
      <w:r w:rsidRPr="003B7DA2">
        <w:rPr>
          <w:rFonts w:ascii="Calibri" w:hAnsi="Calibri"/>
          <w:sz w:val="22"/>
          <w:szCs w:val="22"/>
        </w:rPr>
        <w:t>/R14 adatszolgáltatás DER táblái összeállításához</w:t>
      </w:r>
    </w:p>
    <w:p w:rsidR="0092684C" w:rsidRPr="003B7DA2" w:rsidRDefault="0092684C">
      <w:pPr>
        <w:pStyle w:val="BodyText"/>
        <w:rPr>
          <w:rFonts w:ascii="Calibri" w:hAnsi="Calibri"/>
          <w:b/>
          <w:bCs/>
          <w:sz w:val="22"/>
          <w:szCs w:val="22"/>
          <w:u w:val="single"/>
        </w:rPr>
      </w:pPr>
      <w:bookmarkStart w:id="4" w:name="_Toc120612688"/>
      <w:bookmarkStart w:id="5" w:name="_Toc122850667"/>
    </w:p>
    <w:p w:rsidR="0092684C" w:rsidRPr="003B7DA2" w:rsidRDefault="0092684C">
      <w:pPr>
        <w:pStyle w:val="BodyText"/>
        <w:rPr>
          <w:rFonts w:ascii="Calibri" w:hAnsi="Calibri"/>
          <w:b/>
          <w:bCs/>
          <w:sz w:val="22"/>
          <w:szCs w:val="22"/>
          <w:u w:val="single"/>
        </w:rPr>
      </w:pPr>
    </w:p>
    <w:p w:rsidR="0092684C" w:rsidRPr="003B7DA2" w:rsidRDefault="0092684C">
      <w:pPr>
        <w:pStyle w:val="BodyText"/>
        <w:rPr>
          <w:rFonts w:ascii="Calibri" w:hAnsi="Calibri"/>
          <w:b/>
          <w:bCs/>
          <w:sz w:val="22"/>
          <w:szCs w:val="22"/>
          <w:u w:val="single"/>
        </w:rPr>
      </w:pPr>
    </w:p>
    <w:p w:rsidR="0092684C" w:rsidRPr="003B7DA2" w:rsidRDefault="0092684C">
      <w:pPr>
        <w:pStyle w:val="BodyText"/>
        <w:rPr>
          <w:rFonts w:ascii="Calibri" w:hAnsi="Calibri"/>
          <w:b/>
          <w:bCs/>
          <w:sz w:val="22"/>
          <w:szCs w:val="22"/>
        </w:rPr>
      </w:pPr>
      <w:r w:rsidRPr="003B7DA2">
        <w:rPr>
          <w:rFonts w:ascii="Calibri" w:hAnsi="Calibri"/>
          <w:b/>
          <w:bCs/>
          <w:sz w:val="22"/>
          <w:szCs w:val="22"/>
        </w:rPr>
        <w:t>1. Határidős ügyletek:</w:t>
      </w:r>
    </w:p>
    <w:p w:rsidR="0092684C" w:rsidRPr="003B7DA2" w:rsidRDefault="0092684C">
      <w:pPr>
        <w:pStyle w:val="BodyText"/>
        <w:rPr>
          <w:rFonts w:ascii="Calibri" w:hAnsi="Calibri"/>
          <w:b/>
          <w:bCs/>
          <w:sz w:val="22"/>
          <w:szCs w:val="22"/>
          <w:u w:val="single"/>
        </w:rPr>
      </w:pPr>
    </w:p>
    <w:p w:rsidR="0092684C" w:rsidRPr="003B7DA2" w:rsidRDefault="0092684C">
      <w:pPr>
        <w:pStyle w:val="BodyText"/>
        <w:rPr>
          <w:rFonts w:ascii="Calibri" w:hAnsi="Calibri"/>
          <w:bCs/>
          <w:sz w:val="22"/>
          <w:szCs w:val="22"/>
        </w:rPr>
      </w:pPr>
      <w:r w:rsidRPr="003B7DA2">
        <w:rPr>
          <w:rFonts w:ascii="Calibri" w:hAnsi="Calibri"/>
          <w:bCs/>
          <w:sz w:val="22"/>
          <w:szCs w:val="22"/>
        </w:rPr>
        <w:t xml:space="preserve">Határidős ügyletek, amelyeknek a pénzügyi derivatív megállapodásban rögzített teljesítési időpontja meghaladja az azonnali ügyletekét (a magyar számviteli előírások szerint a tőzsdén kívüli ügyletekre definiált 8, devizaügyletekre vonatkozóan 2 értéknapot, illetve a tőzsdei ügyletek esetében azon időpontot, amelyekre azonnali ügyletek jegyezhetők).   </w:t>
      </w:r>
    </w:p>
    <w:p w:rsidR="0092684C" w:rsidRPr="003B7DA2" w:rsidRDefault="0092684C">
      <w:pPr>
        <w:pStyle w:val="BlockText"/>
        <w:ind w:left="0" w:right="116"/>
        <w:rPr>
          <w:rFonts w:ascii="Calibri" w:hAnsi="Calibri"/>
          <w:sz w:val="22"/>
          <w:szCs w:val="22"/>
        </w:rPr>
      </w:pPr>
    </w:p>
    <w:p w:rsidR="0092684C" w:rsidRPr="003B7DA2" w:rsidRDefault="0092684C">
      <w:pPr>
        <w:pStyle w:val="BlockText"/>
        <w:ind w:left="0" w:right="116"/>
        <w:rPr>
          <w:rFonts w:ascii="Calibri" w:hAnsi="Calibri"/>
          <w:sz w:val="22"/>
          <w:szCs w:val="22"/>
        </w:rPr>
      </w:pPr>
      <w:r w:rsidRPr="003B7DA2">
        <w:rPr>
          <w:rFonts w:ascii="Calibri" w:hAnsi="Calibri"/>
          <w:sz w:val="22"/>
          <w:szCs w:val="22"/>
        </w:rPr>
        <w:t xml:space="preserve">Az ügyletkötés költségei szintén eligazítást adnak, mivel azonnali ügyletről akkor lehet beszélni, ha az ügylet az üzletkötést követő legkorábbi időpontban teljesítésbe megy, azaz adott értéknapra az üzletkötés napjánál későbbi időpontban már nem – vagy csak plusz költségek ellenében – lehet üzletet kötni. A legkorábbi teljesítés értéknapja ügylettípusonként más és más, továbbá az értéknapot a hétvégék és bankszünnapok is befolyásolják. </w:t>
      </w:r>
    </w:p>
    <w:p w:rsidR="0092684C" w:rsidRPr="003B7DA2" w:rsidRDefault="0092684C">
      <w:pPr>
        <w:pStyle w:val="BlockText"/>
        <w:ind w:left="0" w:right="116"/>
        <w:rPr>
          <w:rFonts w:ascii="Calibri" w:hAnsi="Calibri"/>
          <w:sz w:val="22"/>
          <w:szCs w:val="22"/>
        </w:rPr>
      </w:pPr>
    </w:p>
    <w:p w:rsidR="0092684C" w:rsidRPr="003B7DA2" w:rsidRDefault="0092684C">
      <w:pPr>
        <w:pStyle w:val="BodyText"/>
        <w:rPr>
          <w:rFonts w:ascii="Calibri" w:hAnsi="Calibri"/>
          <w:sz w:val="22"/>
          <w:szCs w:val="22"/>
        </w:rPr>
      </w:pPr>
      <w:r w:rsidRPr="003B7DA2">
        <w:rPr>
          <w:rFonts w:ascii="Calibri" w:hAnsi="Calibri"/>
          <w:sz w:val="22"/>
          <w:szCs w:val="22"/>
        </w:rPr>
        <w:t xml:space="preserve">A táblák kitöltésénél figyelemmel kell lenni arra, hogy azokban azonnali ügyletek nem szerepeltethetők, viszont a pénzügyi </w:t>
      </w:r>
      <w:proofErr w:type="spellStart"/>
      <w:r w:rsidRPr="003B7DA2">
        <w:rPr>
          <w:rFonts w:ascii="Calibri" w:hAnsi="Calibri"/>
          <w:sz w:val="22"/>
          <w:szCs w:val="22"/>
        </w:rPr>
        <w:t>derivatívákat</w:t>
      </w:r>
      <w:proofErr w:type="spellEnd"/>
      <w:r w:rsidRPr="003B7DA2">
        <w:rPr>
          <w:rFonts w:ascii="Calibri" w:hAnsi="Calibri"/>
          <w:sz w:val="22"/>
          <w:szCs w:val="22"/>
        </w:rPr>
        <w:t xml:space="preserve"> jelenteni kell: pl. egy azonnali értékpapír vétel, amelynek teljesítési napja lehet az üzletkötést követő 5. munkanap, nem szerepeltethető a táblákban, viszont az ezen ügylethez kapcsolódó, ugyancsak 5. teljesítési napra, mint értéknapra nem rezidens partnerrel kötött devizakonverzió már határidős üzletkötés, így azt az adatszolgáltatónak a DER táblákban jelentenie kell.  </w:t>
      </w:r>
    </w:p>
    <w:p w:rsidR="001677E7" w:rsidRPr="003B7DA2" w:rsidRDefault="001677E7">
      <w:pPr>
        <w:pStyle w:val="BodyText"/>
        <w:rPr>
          <w:rFonts w:ascii="Calibri" w:hAnsi="Calibri"/>
          <w:b/>
          <w:bCs/>
          <w:sz w:val="22"/>
          <w:szCs w:val="22"/>
          <w:u w:val="single"/>
        </w:rPr>
      </w:pPr>
    </w:p>
    <w:p w:rsidR="001677E7" w:rsidRPr="003B7DA2" w:rsidRDefault="001677E7" w:rsidP="001677E7">
      <w:pPr>
        <w:pStyle w:val="BlockText"/>
        <w:ind w:left="0" w:right="116"/>
        <w:rPr>
          <w:rFonts w:ascii="Calibri" w:hAnsi="Calibri"/>
          <w:b/>
          <w:sz w:val="22"/>
          <w:szCs w:val="22"/>
        </w:rPr>
      </w:pPr>
      <w:r w:rsidRPr="003B7DA2">
        <w:rPr>
          <w:rFonts w:ascii="Calibri" w:hAnsi="Calibri"/>
          <w:b/>
          <w:sz w:val="22"/>
          <w:szCs w:val="22"/>
        </w:rPr>
        <w:t>1. példa</w:t>
      </w:r>
    </w:p>
    <w:p w:rsidR="001677E7" w:rsidRPr="003B7DA2" w:rsidRDefault="001677E7" w:rsidP="001677E7">
      <w:pPr>
        <w:pStyle w:val="BlockText"/>
        <w:ind w:left="0" w:right="116"/>
        <w:rPr>
          <w:rFonts w:ascii="Calibri" w:hAnsi="Calibri"/>
          <w:sz w:val="22"/>
          <w:szCs w:val="22"/>
        </w:rPr>
      </w:pPr>
      <w:r w:rsidRPr="003B7DA2">
        <w:rPr>
          <w:rFonts w:ascii="Calibri" w:hAnsi="Calibri"/>
          <w:sz w:val="22"/>
          <w:szCs w:val="22"/>
        </w:rPr>
        <w:t xml:space="preserve">Egy értékpapír vásárlása, a szerződés szerint 8. napi teljesítésre, vagyis az értékpapír leszállítása és az ellenérték kifizetése is ekkor történik meg. Szerepeltetni kell-e ezt az ügyletet a pénzügyi </w:t>
      </w:r>
      <w:proofErr w:type="spellStart"/>
      <w:r w:rsidRPr="003B7DA2">
        <w:rPr>
          <w:rFonts w:ascii="Calibri" w:hAnsi="Calibri"/>
          <w:sz w:val="22"/>
          <w:szCs w:val="22"/>
        </w:rPr>
        <w:t>derivatívák</w:t>
      </w:r>
      <w:proofErr w:type="spellEnd"/>
      <w:r w:rsidRPr="003B7DA2">
        <w:rPr>
          <w:rFonts w:ascii="Calibri" w:hAnsi="Calibri"/>
          <w:sz w:val="22"/>
          <w:szCs w:val="22"/>
        </w:rPr>
        <w:t xml:space="preserve"> között? </w:t>
      </w:r>
    </w:p>
    <w:p w:rsidR="001677E7" w:rsidRPr="003B7DA2" w:rsidRDefault="001677E7" w:rsidP="001677E7">
      <w:pPr>
        <w:pStyle w:val="BlockText"/>
        <w:ind w:left="0" w:right="116"/>
        <w:rPr>
          <w:rFonts w:ascii="Calibri" w:hAnsi="Calibri"/>
          <w:sz w:val="22"/>
          <w:szCs w:val="22"/>
        </w:rPr>
      </w:pPr>
      <w:r w:rsidRPr="003B7DA2">
        <w:rPr>
          <w:rFonts w:ascii="Calibri" w:hAnsi="Calibri"/>
          <w:sz w:val="22"/>
          <w:szCs w:val="22"/>
        </w:rPr>
        <w:t>Nem, mivel ez azonnali értékpapír vásárlási ügylet.</w:t>
      </w:r>
    </w:p>
    <w:p w:rsidR="001677E7" w:rsidRPr="003B7DA2" w:rsidRDefault="001677E7" w:rsidP="001677E7">
      <w:pPr>
        <w:pStyle w:val="BlockText"/>
        <w:ind w:left="0" w:right="116"/>
        <w:rPr>
          <w:rFonts w:ascii="Calibri" w:hAnsi="Calibri"/>
          <w:sz w:val="22"/>
          <w:szCs w:val="22"/>
        </w:rPr>
      </w:pPr>
    </w:p>
    <w:p w:rsidR="001677E7" w:rsidRPr="003B7DA2" w:rsidRDefault="001677E7" w:rsidP="001677E7">
      <w:pPr>
        <w:pStyle w:val="BlockText"/>
        <w:ind w:left="0" w:right="116"/>
        <w:rPr>
          <w:rFonts w:ascii="Calibri" w:hAnsi="Calibri"/>
          <w:b/>
          <w:sz w:val="22"/>
          <w:szCs w:val="22"/>
        </w:rPr>
      </w:pPr>
      <w:r w:rsidRPr="003B7DA2">
        <w:rPr>
          <w:rFonts w:ascii="Calibri" w:hAnsi="Calibri"/>
          <w:b/>
          <w:sz w:val="22"/>
          <w:szCs w:val="22"/>
        </w:rPr>
        <w:t>2. példa</w:t>
      </w:r>
    </w:p>
    <w:p w:rsidR="001677E7" w:rsidRPr="003B7DA2" w:rsidRDefault="001677E7" w:rsidP="001677E7">
      <w:pPr>
        <w:pStyle w:val="BlockText"/>
        <w:ind w:left="0" w:right="116"/>
        <w:rPr>
          <w:rFonts w:ascii="Calibri" w:hAnsi="Calibri"/>
          <w:sz w:val="22"/>
          <w:szCs w:val="22"/>
        </w:rPr>
      </w:pPr>
      <w:r w:rsidRPr="003B7DA2">
        <w:rPr>
          <w:rFonts w:ascii="Calibri" w:hAnsi="Calibri"/>
          <w:sz w:val="22"/>
          <w:szCs w:val="22"/>
        </w:rPr>
        <w:t xml:space="preserve">Egy értékpapír vásárlása, a szerződés szerint 8. napi teljesítésre. Az adatszolgáltató az értékpapírt nem rezidens partnerétől ekkor fogja megkapni, s ekkor kell (ezzel az értéknappal) az ellenértéket, 8 millió EUR összeget a partner számláján jóvá íratnia. Annak érdekében, hogy a 8 nap alatt bekövetkező árfolyam ingadozásokat kizárja, az adatszolgáltató a vállalatcsoportján belüli, londoni székhelyű </w:t>
      </w:r>
      <w:proofErr w:type="spellStart"/>
      <w:r w:rsidRPr="003B7DA2">
        <w:rPr>
          <w:rFonts w:ascii="Calibri" w:hAnsi="Calibri"/>
          <w:sz w:val="22"/>
          <w:szCs w:val="22"/>
        </w:rPr>
        <w:t>Treasury</w:t>
      </w:r>
      <w:proofErr w:type="spellEnd"/>
      <w:r w:rsidRPr="003B7DA2">
        <w:rPr>
          <w:rFonts w:ascii="Calibri" w:hAnsi="Calibri"/>
          <w:sz w:val="22"/>
          <w:szCs w:val="22"/>
        </w:rPr>
        <w:t xml:space="preserve"> központját megbízza azzal, hogy a most meghatározott árfolyamon (250 HUF/EUR) hajtsa végre a 8. értéknappal az átutalást.  Mely ügyletet kell jelentenie a DER táblákban? </w:t>
      </w:r>
    </w:p>
    <w:p w:rsidR="001677E7" w:rsidRPr="003B7DA2" w:rsidRDefault="001677E7" w:rsidP="001677E7">
      <w:pPr>
        <w:pStyle w:val="BlockText"/>
        <w:ind w:left="0" w:right="116"/>
        <w:rPr>
          <w:rFonts w:ascii="Calibri" w:hAnsi="Calibri"/>
          <w:sz w:val="22"/>
          <w:szCs w:val="22"/>
        </w:rPr>
      </w:pPr>
    </w:p>
    <w:p w:rsidR="001677E7" w:rsidRPr="003B7DA2" w:rsidRDefault="001677E7" w:rsidP="001677E7">
      <w:pPr>
        <w:pStyle w:val="BlockText"/>
        <w:ind w:left="0" w:right="116"/>
        <w:rPr>
          <w:rFonts w:ascii="Calibri" w:hAnsi="Calibri"/>
          <w:sz w:val="22"/>
          <w:szCs w:val="22"/>
        </w:rPr>
      </w:pPr>
      <w:r w:rsidRPr="003B7DA2">
        <w:rPr>
          <w:rFonts w:ascii="Calibri" w:hAnsi="Calibri"/>
          <w:sz w:val="22"/>
          <w:szCs w:val="22"/>
        </w:rPr>
        <w:t xml:space="preserve">Az értékpapír vásárlása azonnali ügylet, nem </w:t>
      </w:r>
      <w:proofErr w:type="spellStart"/>
      <w:r w:rsidRPr="003B7DA2">
        <w:rPr>
          <w:rFonts w:ascii="Calibri" w:hAnsi="Calibri"/>
          <w:sz w:val="22"/>
          <w:szCs w:val="22"/>
        </w:rPr>
        <w:t>derivatíva</w:t>
      </w:r>
      <w:proofErr w:type="spellEnd"/>
      <w:r w:rsidRPr="003B7DA2">
        <w:rPr>
          <w:rFonts w:ascii="Calibri" w:hAnsi="Calibri"/>
          <w:sz w:val="22"/>
          <w:szCs w:val="22"/>
        </w:rPr>
        <w:t xml:space="preserve">, azt a DER táblákban nem kell jelentenie. Azonban a most meghatározott árfolyamon 8. értéknappal végrehajtandó konverzió tartalmát tekintve egy határidős deviza átváltás, </w:t>
      </w:r>
      <w:proofErr w:type="spellStart"/>
      <w:r w:rsidRPr="003B7DA2">
        <w:rPr>
          <w:rFonts w:ascii="Calibri" w:hAnsi="Calibri"/>
          <w:sz w:val="22"/>
          <w:szCs w:val="22"/>
        </w:rPr>
        <w:t>forward</w:t>
      </w:r>
      <w:proofErr w:type="spellEnd"/>
      <w:r w:rsidRPr="003B7DA2">
        <w:rPr>
          <w:rFonts w:ascii="Calibri" w:hAnsi="Calibri"/>
          <w:sz w:val="22"/>
          <w:szCs w:val="22"/>
        </w:rPr>
        <w:t xml:space="preserve"> ügylet, azt jelentenie kell. (A jelentés módja megegyezik a </w:t>
      </w:r>
      <w:proofErr w:type="spellStart"/>
      <w:r w:rsidRPr="003B7DA2">
        <w:rPr>
          <w:rFonts w:ascii="Calibri" w:hAnsi="Calibri"/>
          <w:sz w:val="22"/>
          <w:szCs w:val="22"/>
        </w:rPr>
        <w:t>forward</w:t>
      </w:r>
      <w:proofErr w:type="spellEnd"/>
      <w:r w:rsidRPr="003B7DA2">
        <w:rPr>
          <w:rFonts w:ascii="Calibri" w:hAnsi="Calibri"/>
          <w:sz w:val="22"/>
          <w:szCs w:val="22"/>
        </w:rPr>
        <w:t xml:space="preserve"> ügyletekre adott példával) </w:t>
      </w:r>
    </w:p>
    <w:p w:rsidR="001677E7" w:rsidRPr="003B7DA2" w:rsidRDefault="001677E7" w:rsidP="001677E7">
      <w:pPr>
        <w:pStyle w:val="BlockText"/>
        <w:ind w:left="0" w:right="116"/>
        <w:rPr>
          <w:rFonts w:ascii="Calibri" w:hAnsi="Calibri"/>
          <w:sz w:val="22"/>
          <w:szCs w:val="22"/>
        </w:rPr>
      </w:pPr>
    </w:p>
    <w:p w:rsidR="0092684C" w:rsidRPr="003B7DA2" w:rsidRDefault="0092684C">
      <w:pPr>
        <w:pStyle w:val="BodyText"/>
        <w:rPr>
          <w:rFonts w:ascii="Calibri" w:hAnsi="Calibri"/>
          <w:b/>
          <w:bCs/>
          <w:sz w:val="22"/>
          <w:szCs w:val="22"/>
          <w:u w:val="single"/>
        </w:rPr>
      </w:pPr>
    </w:p>
    <w:p w:rsidR="0092684C" w:rsidRPr="003B7DA2" w:rsidRDefault="0092684C">
      <w:pPr>
        <w:pStyle w:val="BodyText"/>
        <w:rPr>
          <w:rFonts w:ascii="Calibri" w:hAnsi="Calibri"/>
          <w:b/>
          <w:bCs/>
          <w:sz w:val="22"/>
          <w:szCs w:val="22"/>
        </w:rPr>
      </w:pPr>
      <w:r w:rsidRPr="003B7DA2">
        <w:rPr>
          <w:rFonts w:ascii="Calibri" w:hAnsi="Calibri"/>
          <w:b/>
          <w:bCs/>
          <w:sz w:val="22"/>
          <w:szCs w:val="22"/>
        </w:rPr>
        <w:t xml:space="preserve">a. Külföldi tőzsdén kötött </w:t>
      </w:r>
      <w:proofErr w:type="spellStart"/>
      <w:r w:rsidRPr="003B7DA2">
        <w:rPr>
          <w:rFonts w:ascii="Calibri" w:hAnsi="Calibri"/>
          <w:b/>
          <w:bCs/>
          <w:sz w:val="22"/>
          <w:szCs w:val="22"/>
        </w:rPr>
        <w:t>futures</w:t>
      </w:r>
      <w:proofErr w:type="spellEnd"/>
      <w:r w:rsidRPr="003B7DA2">
        <w:rPr>
          <w:rFonts w:ascii="Calibri" w:hAnsi="Calibri"/>
          <w:b/>
          <w:bCs/>
          <w:sz w:val="22"/>
          <w:szCs w:val="22"/>
        </w:rPr>
        <w:t xml:space="preserve"> ügyletek</w:t>
      </w:r>
      <w:bookmarkEnd w:id="4"/>
      <w:bookmarkEnd w:id="5"/>
      <w:r w:rsidRPr="003B7DA2">
        <w:rPr>
          <w:rFonts w:ascii="Calibri" w:hAnsi="Calibri"/>
          <w:b/>
          <w:bCs/>
          <w:sz w:val="22"/>
          <w:szCs w:val="22"/>
        </w:rPr>
        <w:t xml:space="preserve">  </w:t>
      </w:r>
    </w:p>
    <w:p w:rsidR="0092684C" w:rsidRPr="003B7DA2" w:rsidRDefault="0092684C">
      <w:pPr>
        <w:ind w:left="720"/>
        <w:jc w:val="both"/>
        <w:rPr>
          <w:rFonts w:ascii="Calibri" w:hAnsi="Calibri"/>
          <w:snapToGrid w:val="0"/>
          <w:sz w:val="22"/>
          <w:szCs w:val="22"/>
          <w:lang w:eastAsia="en-US"/>
        </w:rPr>
      </w:pPr>
    </w:p>
    <w:p w:rsidR="0092684C" w:rsidRPr="003B7DA2" w:rsidRDefault="0092684C">
      <w:pPr>
        <w:ind w:left="720"/>
        <w:jc w:val="both"/>
        <w:rPr>
          <w:rFonts w:ascii="Calibri" w:hAnsi="Calibri"/>
          <w:snapToGrid w:val="0"/>
          <w:sz w:val="22"/>
          <w:szCs w:val="22"/>
          <w:lang w:eastAsia="en-US"/>
        </w:rPr>
      </w:pPr>
    </w:p>
    <w:p w:rsidR="0092684C" w:rsidRPr="003B7DA2" w:rsidRDefault="0092684C">
      <w:pPr>
        <w:ind w:left="720"/>
        <w:jc w:val="both"/>
        <w:rPr>
          <w:rFonts w:ascii="Calibri" w:hAnsi="Calibri"/>
          <w:b/>
          <w:snapToGrid w:val="0"/>
          <w:sz w:val="22"/>
          <w:szCs w:val="22"/>
          <w:lang w:eastAsia="en-US"/>
        </w:rPr>
      </w:pPr>
      <w:r w:rsidRPr="003B7DA2">
        <w:rPr>
          <w:rFonts w:ascii="Calibri" w:hAnsi="Calibri"/>
          <w:b/>
          <w:snapToGrid w:val="0"/>
          <w:sz w:val="22"/>
          <w:szCs w:val="22"/>
          <w:lang w:eastAsia="en-US"/>
        </w:rPr>
        <w:t>Időszak eleji nyitó és időszak végi záró pozíció:</w:t>
      </w:r>
    </w:p>
    <w:p w:rsidR="0092684C" w:rsidRPr="003B7DA2" w:rsidRDefault="0092684C">
      <w:pPr>
        <w:ind w:left="720"/>
        <w:jc w:val="both"/>
        <w:rPr>
          <w:rFonts w:ascii="Calibri" w:hAnsi="Calibri"/>
          <w:snapToGrid w:val="0"/>
          <w:sz w:val="22"/>
          <w:szCs w:val="22"/>
          <w:lang w:eastAsia="en-US"/>
        </w:rPr>
      </w:pPr>
    </w:p>
    <w:p w:rsidR="0092684C" w:rsidRPr="003B7DA2" w:rsidRDefault="0092684C">
      <w:pPr>
        <w:ind w:left="720"/>
        <w:jc w:val="both"/>
        <w:rPr>
          <w:rFonts w:ascii="Calibri" w:hAnsi="Calibri"/>
          <w:snapToGrid w:val="0"/>
          <w:sz w:val="22"/>
          <w:szCs w:val="22"/>
          <w:lang w:eastAsia="en-US"/>
        </w:rPr>
      </w:pPr>
      <w:r w:rsidRPr="003B7DA2">
        <w:rPr>
          <w:rFonts w:ascii="Calibri" w:hAnsi="Calibri"/>
          <w:snapToGrid w:val="0"/>
          <w:sz w:val="22"/>
          <w:szCs w:val="22"/>
          <w:lang w:eastAsia="en-US"/>
        </w:rPr>
        <w:t xml:space="preserve">A tőzsdei határidős ügyletek (olyan szabványosított megállapodások, kontraktusok, amelyeket a tőzsdén adni, venni lehet, amelyek szerint bizonyos devizaösszegeket jövőbeli időpontban, meghatározott árfolyamon más devizára lehet átváltani) árát a tőzsdén jegyzik, és ez az ár a kereslet-kínálat, illetve a kamatok, árfolyamok változásának függvényében állandóan változik. A tőzsdei elszámolóház a tőzsdén fellépő cégek (akik lehetnek közvetítő brókerek és hitelintézetek) részére ún. margin számlákat vezet, amely számlákon fedezetet kell biztosítani a megvásárolt kontraktusok árváltozásából eredő esetleges veszteségek fedezésére, a megvásárolt pozíciók %-ában kifejezett minimum összegben. A felek egymást nem ismerik, formailag partnerük maga a tőzsde, a tőzsdével kötik az ügyletet, és vele szemben követelnek, ha éppen nyereséges az aznapi árfolyamok szerint az ügylet, vagy tartoznak a tőzsde felé, ha az ügylet aznap éppen veszteséges. A kontraktus értékváltozásából adódó napi (ténylegesen a nap végi) nyereség, illetve veszteség összegét (a tőzsdei záró árak alapján) az elszámolóház kiszámítja, és naponta kifizeti az ügyfélnek, vagy beszedi az ügyféltől, e margin számlák segítségével. (Ez az ún. </w:t>
      </w:r>
      <w:proofErr w:type="spellStart"/>
      <w:r w:rsidRPr="003B7DA2">
        <w:rPr>
          <w:rFonts w:ascii="Calibri" w:hAnsi="Calibri"/>
          <w:snapToGrid w:val="0"/>
          <w:sz w:val="22"/>
          <w:szCs w:val="22"/>
          <w:lang w:eastAsia="en-US"/>
        </w:rPr>
        <w:t>future</w:t>
      </w:r>
      <w:proofErr w:type="spellEnd"/>
      <w:r w:rsidRPr="003B7DA2">
        <w:rPr>
          <w:rFonts w:ascii="Calibri" w:hAnsi="Calibri"/>
          <w:snapToGrid w:val="0"/>
          <w:sz w:val="22"/>
          <w:szCs w:val="22"/>
          <w:lang w:eastAsia="en-US"/>
        </w:rPr>
        <w:t xml:space="preserve"> </w:t>
      </w:r>
      <w:proofErr w:type="spellStart"/>
      <w:r w:rsidRPr="003B7DA2">
        <w:rPr>
          <w:rFonts w:ascii="Calibri" w:hAnsi="Calibri"/>
          <w:snapToGrid w:val="0"/>
          <w:sz w:val="22"/>
          <w:szCs w:val="22"/>
          <w:lang w:eastAsia="en-US"/>
        </w:rPr>
        <w:t>style</w:t>
      </w:r>
      <w:proofErr w:type="spellEnd"/>
      <w:r w:rsidRPr="003B7DA2">
        <w:rPr>
          <w:rFonts w:ascii="Calibri" w:hAnsi="Calibri"/>
          <w:snapToGrid w:val="0"/>
          <w:sz w:val="22"/>
          <w:szCs w:val="22"/>
          <w:lang w:eastAsia="en-US"/>
        </w:rPr>
        <w:t xml:space="preserve"> margining.) Mivel a résztvevők minden nap megkapják a követelés ellenértékét, illetve megfizetik tartozásukat, ezután másnapig nincs követelés, tartozás pozíciójuk, a kontraktus értéke minden nap végén nullával zár. Pozíciós adatot ezen ügyletek esetében tehát a pénzügyi </w:t>
      </w:r>
      <w:proofErr w:type="spellStart"/>
      <w:r w:rsidRPr="003B7DA2">
        <w:rPr>
          <w:rFonts w:ascii="Calibri" w:hAnsi="Calibri"/>
          <w:snapToGrid w:val="0"/>
          <w:sz w:val="22"/>
          <w:szCs w:val="22"/>
          <w:lang w:eastAsia="en-US"/>
        </w:rPr>
        <w:t>derivatíva</w:t>
      </w:r>
      <w:proofErr w:type="spellEnd"/>
      <w:r w:rsidRPr="003B7DA2">
        <w:rPr>
          <w:rFonts w:ascii="Calibri" w:hAnsi="Calibri"/>
          <w:snapToGrid w:val="0"/>
          <w:sz w:val="22"/>
          <w:szCs w:val="22"/>
          <w:lang w:eastAsia="en-US"/>
        </w:rPr>
        <w:t xml:space="preserve"> táblákban nem kell jelenteni. </w:t>
      </w:r>
    </w:p>
    <w:p w:rsidR="0092684C" w:rsidRPr="003B7DA2" w:rsidRDefault="0092684C">
      <w:pPr>
        <w:ind w:left="720"/>
        <w:jc w:val="both"/>
        <w:rPr>
          <w:rFonts w:ascii="Calibri" w:hAnsi="Calibri"/>
          <w:snapToGrid w:val="0"/>
          <w:sz w:val="22"/>
          <w:szCs w:val="22"/>
          <w:lang w:eastAsia="en-US"/>
        </w:rPr>
      </w:pPr>
    </w:p>
    <w:p w:rsidR="0092684C" w:rsidRPr="003B7DA2" w:rsidRDefault="0092684C">
      <w:pPr>
        <w:ind w:left="720"/>
        <w:jc w:val="both"/>
        <w:rPr>
          <w:rFonts w:ascii="Calibri" w:hAnsi="Calibri"/>
          <w:b/>
          <w:snapToGrid w:val="0"/>
          <w:sz w:val="22"/>
          <w:szCs w:val="22"/>
          <w:lang w:eastAsia="en-US"/>
        </w:rPr>
      </w:pPr>
      <w:r w:rsidRPr="003B7DA2">
        <w:rPr>
          <w:rFonts w:ascii="Calibri" w:hAnsi="Calibri"/>
          <w:b/>
          <w:snapToGrid w:val="0"/>
          <w:sz w:val="22"/>
          <w:szCs w:val="22"/>
          <w:lang w:eastAsia="en-US"/>
        </w:rPr>
        <w:t>Tranzakciók:</w:t>
      </w:r>
    </w:p>
    <w:p w:rsidR="0092684C" w:rsidRPr="003B7DA2" w:rsidRDefault="0092684C">
      <w:pPr>
        <w:ind w:left="720"/>
        <w:jc w:val="both"/>
        <w:rPr>
          <w:rFonts w:ascii="Calibri" w:hAnsi="Calibri"/>
          <w:snapToGrid w:val="0"/>
          <w:sz w:val="22"/>
          <w:szCs w:val="22"/>
          <w:lang w:eastAsia="en-US"/>
        </w:rPr>
      </w:pPr>
    </w:p>
    <w:p w:rsidR="0092684C" w:rsidRPr="003B7DA2" w:rsidRDefault="0092684C">
      <w:pPr>
        <w:ind w:left="720"/>
        <w:jc w:val="both"/>
        <w:rPr>
          <w:rFonts w:ascii="Calibri" w:hAnsi="Calibri"/>
          <w:snapToGrid w:val="0"/>
          <w:sz w:val="22"/>
          <w:szCs w:val="22"/>
          <w:lang w:eastAsia="en-US"/>
        </w:rPr>
      </w:pPr>
      <w:r w:rsidRPr="003B7DA2">
        <w:rPr>
          <w:rFonts w:ascii="Calibri" w:hAnsi="Calibri"/>
          <w:snapToGrid w:val="0"/>
          <w:sz w:val="22"/>
          <w:szCs w:val="22"/>
          <w:lang w:eastAsia="en-US"/>
        </w:rPr>
        <w:t xml:space="preserve">Az elszámolóháznál vezetett margin számlán terhelt vagy jóváírt ún. változó margin összegek jelentik a </w:t>
      </w:r>
      <w:proofErr w:type="spellStart"/>
      <w:r w:rsidRPr="003B7DA2">
        <w:rPr>
          <w:rFonts w:ascii="Calibri" w:hAnsi="Calibri"/>
          <w:snapToGrid w:val="0"/>
          <w:sz w:val="22"/>
          <w:szCs w:val="22"/>
          <w:lang w:eastAsia="en-US"/>
        </w:rPr>
        <w:t>futures</w:t>
      </w:r>
      <w:proofErr w:type="spellEnd"/>
      <w:r w:rsidRPr="003B7DA2">
        <w:rPr>
          <w:rFonts w:ascii="Calibri" w:hAnsi="Calibri"/>
          <w:snapToGrid w:val="0"/>
          <w:sz w:val="22"/>
          <w:szCs w:val="22"/>
          <w:lang w:eastAsia="en-US"/>
        </w:rPr>
        <w:t xml:space="preserve"> ügyletek esetében a tranzakciókat. Az elszámolóház számításai szerinti tartozások összegét kellett adott napokon kifizetni, így a kifizetések összegét kell összeadni, majd forintra átszámítva a FT kódú, a tőzsde országa szerinti sorban a „T” táblában tranzakcióként a kiadás oszlopban feltüntetni.</w:t>
      </w:r>
      <w:bookmarkStart w:id="6" w:name="_Toc120612689"/>
      <w:bookmarkStart w:id="7" w:name="_Toc122850668"/>
      <w:r w:rsidRPr="003B7DA2">
        <w:rPr>
          <w:rFonts w:ascii="Calibri" w:hAnsi="Calibri"/>
          <w:snapToGrid w:val="0"/>
          <w:sz w:val="22"/>
          <w:szCs w:val="22"/>
          <w:lang w:eastAsia="en-US"/>
        </w:rPr>
        <w:t xml:space="preserve"> Ezzel szemben a fentiek szerint bevételezett összegeket, amelyek a követeléseket jelentették adott napon az elszámolóház számításai szerint, összegezve a FT kódú, a tőzsde országa szerinti sorban kell a „K” jelű tábla tranzakció</w:t>
      </w:r>
      <w:r w:rsidR="00FA2922" w:rsidRPr="003B7DA2">
        <w:rPr>
          <w:rFonts w:ascii="Calibri" w:hAnsi="Calibri"/>
          <w:snapToGrid w:val="0"/>
          <w:sz w:val="22"/>
          <w:szCs w:val="22"/>
          <w:lang w:eastAsia="en-US"/>
        </w:rPr>
        <w:t>i</w:t>
      </w:r>
      <w:r w:rsidRPr="003B7DA2">
        <w:rPr>
          <w:rFonts w:ascii="Calibri" w:hAnsi="Calibri"/>
          <w:snapToGrid w:val="0"/>
          <w:sz w:val="22"/>
          <w:szCs w:val="22"/>
          <w:lang w:eastAsia="en-US"/>
        </w:rPr>
        <w:t xml:space="preserve">ként a bevétel oszlopban feltüntetni.  </w:t>
      </w:r>
    </w:p>
    <w:p w:rsidR="0092684C" w:rsidRPr="003B7DA2" w:rsidRDefault="0092684C">
      <w:pPr>
        <w:ind w:left="720"/>
        <w:jc w:val="both"/>
        <w:rPr>
          <w:rFonts w:ascii="Calibri" w:hAnsi="Calibri"/>
          <w:snapToGrid w:val="0"/>
          <w:sz w:val="22"/>
          <w:szCs w:val="22"/>
          <w:lang w:eastAsia="en-US"/>
        </w:rPr>
      </w:pPr>
    </w:p>
    <w:p w:rsidR="0092684C" w:rsidRPr="003B7DA2" w:rsidRDefault="0092684C">
      <w:pPr>
        <w:ind w:left="720"/>
        <w:jc w:val="both"/>
        <w:rPr>
          <w:rFonts w:ascii="Calibri" w:hAnsi="Calibri"/>
          <w:snapToGrid w:val="0"/>
          <w:sz w:val="22"/>
          <w:szCs w:val="22"/>
          <w:lang w:eastAsia="en-US"/>
        </w:rPr>
      </w:pPr>
      <w:r w:rsidRPr="003B7DA2">
        <w:rPr>
          <w:rFonts w:ascii="Calibri" w:hAnsi="Calibri"/>
          <w:snapToGrid w:val="0"/>
          <w:sz w:val="22"/>
          <w:szCs w:val="22"/>
          <w:lang w:eastAsia="en-US"/>
        </w:rPr>
        <w:t xml:space="preserve">(A margin számlán biztosítékként elhelyezett összegeket, amelyek terhére a fizetések történnek, és amelyek javára a befolyásokat elszámolják, az ügyletek lezárása után visszakapja a befizető, ezek mindenkori állományát nem a pénzügyi </w:t>
      </w:r>
      <w:proofErr w:type="spellStart"/>
      <w:r w:rsidRPr="003B7DA2">
        <w:rPr>
          <w:rFonts w:ascii="Calibri" w:hAnsi="Calibri"/>
          <w:snapToGrid w:val="0"/>
          <w:sz w:val="22"/>
          <w:szCs w:val="22"/>
          <w:lang w:eastAsia="en-US"/>
        </w:rPr>
        <w:t>derivatíva</w:t>
      </w:r>
      <w:proofErr w:type="spellEnd"/>
      <w:r w:rsidRPr="003B7DA2">
        <w:rPr>
          <w:rFonts w:ascii="Calibri" w:hAnsi="Calibri"/>
          <w:snapToGrid w:val="0"/>
          <w:sz w:val="22"/>
          <w:szCs w:val="22"/>
          <w:lang w:eastAsia="en-US"/>
        </w:rPr>
        <w:t xml:space="preserve"> táblákban, hanem az egyéb befektetések tábláiban kell jelenteni követelésként. Ezek elvileg nem mehetnek mínuszba, </w:t>
      </w:r>
      <w:proofErr w:type="gramStart"/>
      <w:r w:rsidRPr="003B7DA2">
        <w:rPr>
          <w:rFonts w:ascii="Calibri" w:hAnsi="Calibri"/>
          <w:snapToGrid w:val="0"/>
          <w:sz w:val="22"/>
          <w:szCs w:val="22"/>
          <w:lang w:eastAsia="en-US"/>
        </w:rPr>
        <w:t>mivel</w:t>
      </w:r>
      <w:proofErr w:type="gramEnd"/>
      <w:r w:rsidRPr="003B7DA2">
        <w:rPr>
          <w:rFonts w:ascii="Calibri" w:hAnsi="Calibri"/>
          <w:snapToGrid w:val="0"/>
          <w:sz w:val="22"/>
          <w:szCs w:val="22"/>
          <w:lang w:eastAsia="en-US"/>
        </w:rPr>
        <w:t xml:space="preserve"> ha a biztosíték nem elegendő, az elszámolóház lezárja az ügyletet és elszámol a számla tulajdonosával.)</w:t>
      </w:r>
    </w:p>
    <w:p w:rsidR="0092684C" w:rsidRPr="003B7DA2" w:rsidRDefault="0092684C">
      <w:pPr>
        <w:pStyle w:val="BodyText"/>
        <w:rPr>
          <w:rFonts w:ascii="Calibri" w:hAnsi="Calibri"/>
          <w:b/>
          <w:bCs/>
          <w:sz w:val="22"/>
          <w:szCs w:val="22"/>
          <w:u w:val="single"/>
        </w:rPr>
      </w:pPr>
    </w:p>
    <w:p w:rsidR="0092684C" w:rsidRPr="003B7DA2" w:rsidRDefault="0092684C">
      <w:pPr>
        <w:pStyle w:val="BodyText"/>
        <w:rPr>
          <w:rFonts w:ascii="Calibri" w:hAnsi="Calibri"/>
          <w:b/>
          <w:bCs/>
          <w:sz w:val="22"/>
          <w:szCs w:val="22"/>
          <w:u w:val="single"/>
        </w:rPr>
      </w:pPr>
    </w:p>
    <w:p w:rsidR="0092684C" w:rsidRPr="003B7DA2" w:rsidRDefault="0092684C">
      <w:pPr>
        <w:pStyle w:val="BodyText"/>
        <w:rPr>
          <w:rFonts w:ascii="Calibri" w:hAnsi="Calibri"/>
          <w:b/>
          <w:bCs/>
          <w:sz w:val="22"/>
          <w:szCs w:val="22"/>
          <w:u w:val="single"/>
        </w:rPr>
      </w:pPr>
    </w:p>
    <w:p w:rsidR="0092684C" w:rsidRPr="003B7DA2" w:rsidRDefault="0092684C">
      <w:pPr>
        <w:pStyle w:val="BodyText"/>
        <w:rPr>
          <w:rFonts w:ascii="Calibri" w:hAnsi="Calibri"/>
          <w:b/>
          <w:bCs/>
          <w:sz w:val="22"/>
          <w:szCs w:val="22"/>
          <w:u w:val="single"/>
        </w:rPr>
      </w:pPr>
      <w:r w:rsidRPr="003B7DA2">
        <w:rPr>
          <w:rFonts w:ascii="Calibri" w:hAnsi="Calibri"/>
          <w:b/>
          <w:bCs/>
          <w:sz w:val="22"/>
          <w:szCs w:val="22"/>
          <w:u w:val="single"/>
        </w:rPr>
        <w:t>Példa:</w:t>
      </w:r>
    </w:p>
    <w:p w:rsidR="0092684C" w:rsidRPr="003B7DA2" w:rsidRDefault="0092684C">
      <w:pPr>
        <w:pStyle w:val="BodyText"/>
        <w:rPr>
          <w:rFonts w:ascii="Calibri" w:hAnsi="Calibri"/>
          <w:bCs/>
          <w:sz w:val="22"/>
          <w:szCs w:val="22"/>
        </w:rPr>
      </w:pPr>
      <w:r w:rsidRPr="003B7DA2">
        <w:rPr>
          <w:rFonts w:ascii="Calibri" w:hAnsi="Calibri"/>
          <w:bCs/>
          <w:sz w:val="22"/>
          <w:szCs w:val="22"/>
        </w:rPr>
        <w:t xml:space="preserve">Itt egy db. </w:t>
      </w:r>
      <w:proofErr w:type="spellStart"/>
      <w:r w:rsidRPr="003B7DA2">
        <w:rPr>
          <w:rFonts w:ascii="Calibri" w:hAnsi="Calibri"/>
          <w:bCs/>
          <w:sz w:val="22"/>
          <w:szCs w:val="22"/>
        </w:rPr>
        <w:t>futures</w:t>
      </w:r>
      <w:proofErr w:type="spellEnd"/>
      <w:r w:rsidRPr="003B7DA2">
        <w:rPr>
          <w:rFonts w:ascii="Calibri" w:hAnsi="Calibri"/>
          <w:bCs/>
          <w:sz w:val="22"/>
          <w:szCs w:val="22"/>
        </w:rPr>
        <w:t xml:space="preserve"> ügylet jelentéséről írunk, több ügylet esetében értelemszerűen kell az adatokat összesíteni, országonként. </w:t>
      </w:r>
    </w:p>
    <w:p w:rsidR="00B17209" w:rsidRPr="003B7DA2" w:rsidRDefault="00B17209" w:rsidP="00B17209">
      <w:pPr>
        <w:pStyle w:val="BodyText"/>
        <w:rPr>
          <w:rFonts w:ascii="Calibri" w:hAnsi="Calibri"/>
          <w:bCs/>
          <w:sz w:val="22"/>
          <w:szCs w:val="22"/>
        </w:rPr>
      </w:pPr>
      <w:r w:rsidRPr="003B7DA2">
        <w:rPr>
          <w:rFonts w:ascii="Calibri" w:hAnsi="Calibri"/>
          <w:bCs/>
          <w:sz w:val="22"/>
          <w:szCs w:val="22"/>
        </w:rPr>
        <w:lastRenderedPageBreak/>
        <w:t xml:space="preserve">Az adatszolgáltató a német tőzsdén január 10-én egy kontraktus csomagot jegyez: 10 ezer EUR-t fog venni 250-es Ft árfolyamon, vagyis 2.500 ezer forintért, április 10-én. </w:t>
      </w:r>
    </w:p>
    <w:p w:rsidR="00B17209" w:rsidRPr="003B7DA2" w:rsidRDefault="00B17209" w:rsidP="00B17209">
      <w:pPr>
        <w:pStyle w:val="BodyText"/>
        <w:rPr>
          <w:rFonts w:ascii="Calibri" w:hAnsi="Calibri"/>
          <w:bCs/>
          <w:sz w:val="22"/>
          <w:szCs w:val="22"/>
        </w:rPr>
      </w:pPr>
      <w:r w:rsidRPr="003B7DA2">
        <w:rPr>
          <w:rFonts w:ascii="Calibri" w:hAnsi="Calibri"/>
          <w:bCs/>
          <w:sz w:val="22"/>
          <w:szCs w:val="22"/>
        </w:rPr>
        <w:t xml:space="preserve">A német elszámolóház az adatszolgáltató margin számláján naponta rendezi az ügylet értékének változásából eredő érték különbözeteket. Január folyamán a jóváírt összegek 20 ezer forintot, a terhelések összesen 80 ezer forintot tettek ki. </w:t>
      </w:r>
    </w:p>
    <w:p w:rsidR="00B17209" w:rsidRPr="003B7DA2" w:rsidRDefault="00B17209" w:rsidP="00B17209">
      <w:pPr>
        <w:pStyle w:val="BodyText"/>
        <w:rPr>
          <w:rFonts w:ascii="Calibri" w:hAnsi="Calibri"/>
          <w:bCs/>
          <w:sz w:val="22"/>
          <w:szCs w:val="22"/>
        </w:rPr>
      </w:pPr>
      <w:r w:rsidRPr="003B7DA2">
        <w:rPr>
          <w:rFonts w:ascii="Calibri" w:hAnsi="Calibri"/>
          <w:bCs/>
          <w:sz w:val="22"/>
          <w:szCs w:val="22"/>
        </w:rPr>
        <w:t>Januári jelentés (erre az egy kötésre…)</w:t>
      </w:r>
    </w:p>
    <w:p w:rsidR="00B17209" w:rsidRPr="003B7DA2" w:rsidRDefault="00B17209" w:rsidP="00B17209">
      <w:pPr>
        <w:pStyle w:val="BodyText"/>
        <w:rPr>
          <w:rFonts w:ascii="Calibri" w:hAnsi="Calibri"/>
          <w:bCs/>
          <w:sz w:val="22"/>
          <w:szCs w:val="22"/>
        </w:rPr>
      </w:pPr>
      <w:r w:rsidRPr="003B7DA2">
        <w:rPr>
          <w:rFonts w:ascii="Calibri" w:hAnsi="Calibri"/>
          <w:bCs/>
          <w:sz w:val="22"/>
          <w:szCs w:val="22"/>
        </w:rPr>
        <w:t xml:space="preserve">A pozíciós adat mindig 0, mivel naponta megtörténik a követelések, tartozások rendezése, a bevételezett összegek a követelést csökkentő tranzakcióként a DERK táblában, a terhelések viszont a tartozást csökkentő tranzakcióként a DERT táblában jelentendők, s ezen összeggel egyezik meg az átértékelés összege is. Az átértékelés összege pozitív, mivel a követelést, illetve a tartozást csökkentő tranzakciót egyenlíti ki 0-ra, ami a záró pozíció értéke… (Más szóval: akár követelés, akár tartozás keletkezett, az egy átértékelődés eredménye, vagyis pozitív átértékelődés történt az adott táblában, s ezt az így keletkezett követelést, vagy tartozást csökkentette le, szüntette meg a tranzakció, vagyis az elszámolóház jóváírása, vagy terhelése.) </w:t>
      </w:r>
    </w:p>
    <w:p w:rsidR="00B17209" w:rsidRPr="003B7DA2" w:rsidRDefault="00B17209" w:rsidP="00B17209">
      <w:pPr>
        <w:pStyle w:val="BodyText"/>
        <w:rPr>
          <w:rFonts w:ascii="Calibri" w:hAnsi="Calibri"/>
          <w:bCs/>
          <w:sz w:val="22"/>
          <w:szCs w:val="22"/>
        </w:rPr>
      </w:pPr>
    </w:p>
    <w:p w:rsidR="00B17209" w:rsidRPr="003B7DA2" w:rsidRDefault="00B17209" w:rsidP="00B17209">
      <w:pPr>
        <w:pStyle w:val="BodyText"/>
        <w:rPr>
          <w:rFonts w:ascii="Calibri" w:hAnsi="Calibri"/>
          <w:b/>
          <w:bCs/>
          <w:sz w:val="22"/>
          <w:szCs w:val="22"/>
          <w:u w:val="single"/>
        </w:rPr>
      </w:pPr>
      <w:r w:rsidRPr="003B7DA2">
        <w:rPr>
          <w:rFonts w:ascii="Calibri" w:hAnsi="Calibri"/>
          <w:b/>
          <w:bCs/>
          <w:sz w:val="22"/>
          <w:szCs w:val="22"/>
          <w:u w:val="single"/>
        </w:rPr>
        <w:t>DERK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1281"/>
        <w:gridCol w:w="918"/>
        <w:gridCol w:w="927"/>
        <w:gridCol w:w="1131"/>
        <w:gridCol w:w="1242"/>
        <w:gridCol w:w="1156"/>
        <w:gridCol w:w="901"/>
      </w:tblGrid>
      <w:tr w:rsidR="00B17209" w:rsidRPr="003B7DA2" w:rsidTr="00D45209">
        <w:tc>
          <w:tcPr>
            <w:tcW w:w="913"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918"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1925" w:type="dxa"/>
            <w:gridSpan w:val="2"/>
          </w:tcPr>
          <w:p w:rsidR="00B17209" w:rsidRPr="003B7DA2" w:rsidRDefault="00B17209"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127" w:type="dxa"/>
            <w:vMerge w:val="restart"/>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Átértékelés</w:t>
            </w:r>
          </w:p>
        </w:tc>
        <w:tc>
          <w:tcPr>
            <w:tcW w:w="1033" w:type="dxa"/>
            <w:vMerge w:val="restart"/>
            <w:vAlign w:val="center"/>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Egyéb változások</w:t>
            </w:r>
          </w:p>
        </w:tc>
        <w:tc>
          <w:tcPr>
            <w:tcW w:w="901" w:type="dxa"/>
            <w:vMerge w:val="restart"/>
            <w:vAlign w:val="center"/>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B17209" w:rsidRPr="003B7DA2" w:rsidTr="00D45209">
        <w:tc>
          <w:tcPr>
            <w:tcW w:w="913" w:type="dxa"/>
            <w:vMerge/>
          </w:tcPr>
          <w:p w:rsidR="00B17209" w:rsidRPr="003B7DA2" w:rsidRDefault="00B17209" w:rsidP="00B17209">
            <w:pPr>
              <w:pStyle w:val="BodyText"/>
              <w:rPr>
                <w:rFonts w:ascii="Calibri" w:hAnsi="Calibri"/>
                <w:b/>
                <w:bCs/>
                <w:sz w:val="22"/>
                <w:szCs w:val="22"/>
                <w:u w:val="single"/>
              </w:rPr>
            </w:pPr>
          </w:p>
        </w:tc>
        <w:tc>
          <w:tcPr>
            <w:tcW w:w="1137" w:type="dxa"/>
            <w:vMerge/>
          </w:tcPr>
          <w:p w:rsidR="00B17209" w:rsidRPr="003B7DA2" w:rsidRDefault="00B17209" w:rsidP="00B17209">
            <w:pPr>
              <w:pStyle w:val="BodyText"/>
              <w:rPr>
                <w:rFonts w:ascii="Calibri" w:hAnsi="Calibri"/>
                <w:b/>
                <w:bCs/>
                <w:sz w:val="22"/>
                <w:szCs w:val="22"/>
                <w:u w:val="single"/>
              </w:rPr>
            </w:pPr>
          </w:p>
        </w:tc>
        <w:tc>
          <w:tcPr>
            <w:tcW w:w="918" w:type="dxa"/>
            <w:vMerge/>
          </w:tcPr>
          <w:p w:rsidR="00B17209" w:rsidRPr="003B7DA2" w:rsidRDefault="00B17209" w:rsidP="00B17209">
            <w:pPr>
              <w:pStyle w:val="BodyText"/>
              <w:rPr>
                <w:rFonts w:ascii="Calibri" w:hAnsi="Calibri"/>
                <w:b/>
                <w:bCs/>
                <w:sz w:val="22"/>
                <w:szCs w:val="22"/>
                <w:u w:val="single"/>
              </w:rPr>
            </w:pPr>
          </w:p>
        </w:tc>
        <w:tc>
          <w:tcPr>
            <w:tcW w:w="900" w:type="dxa"/>
          </w:tcPr>
          <w:p w:rsidR="00B17209" w:rsidRPr="003B7DA2" w:rsidRDefault="00B17209" w:rsidP="00D45209">
            <w:pPr>
              <w:pStyle w:val="BodyText"/>
              <w:ind w:right="-224"/>
              <w:rPr>
                <w:rFonts w:ascii="Calibri" w:hAnsi="Calibri" w:cs="Arial"/>
                <w:sz w:val="22"/>
                <w:szCs w:val="22"/>
              </w:rPr>
            </w:pPr>
            <w:r w:rsidRPr="003B7DA2">
              <w:rPr>
                <w:rFonts w:ascii="Calibri" w:hAnsi="Calibri" w:cs="Arial"/>
                <w:sz w:val="22"/>
                <w:szCs w:val="22"/>
              </w:rPr>
              <w:t>Állomány t növelő</w:t>
            </w:r>
          </w:p>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(Kiadás)</w:t>
            </w:r>
          </w:p>
        </w:tc>
        <w:tc>
          <w:tcPr>
            <w:tcW w:w="1025"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Állományt csökkentő</w:t>
            </w:r>
          </w:p>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(Bevétel)</w:t>
            </w:r>
          </w:p>
        </w:tc>
        <w:tc>
          <w:tcPr>
            <w:tcW w:w="1127" w:type="dxa"/>
            <w:vMerge/>
          </w:tcPr>
          <w:p w:rsidR="00B17209" w:rsidRPr="003B7DA2" w:rsidRDefault="00B17209" w:rsidP="00B17209">
            <w:pPr>
              <w:pStyle w:val="BodyText"/>
              <w:rPr>
                <w:rFonts w:ascii="Calibri" w:hAnsi="Calibri" w:cs="Arial"/>
                <w:sz w:val="22"/>
                <w:szCs w:val="22"/>
              </w:rPr>
            </w:pPr>
          </w:p>
        </w:tc>
        <w:tc>
          <w:tcPr>
            <w:tcW w:w="1033" w:type="dxa"/>
            <w:vMerge/>
          </w:tcPr>
          <w:p w:rsidR="00B17209" w:rsidRPr="003B7DA2" w:rsidRDefault="00B17209" w:rsidP="00B17209">
            <w:pPr>
              <w:pStyle w:val="BodyText"/>
              <w:rPr>
                <w:rFonts w:ascii="Calibri" w:hAnsi="Calibri" w:cs="Arial"/>
                <w:sz w:val="22"/>
                <w:szCs w:val="22"/>
              </w:rPr>
            </w:pPr>
          </w:p>
        </w:tc>
        <w:tc>
          <w:tcPr>
            <w:tcW w:w="901" w:type="dxa"/>
            <w:vMerge/>
          </w:tcPr>
          <w:p w:rsidR="00B17209" w:rsidRPr="003B7DA2" w:rsidRDefault="00B17209" w:rsidP="00B17209">
            <w:pPr>
              <w:pStyle w:val="BodyText"/>
              <w:rPr>
                <w:rFonts w:ascii="Calibri" w:hAnsi="Calibri" w:cs="Arial"/>
                <w:sz w:val="22"/>
                <w:szCs w:val="22"/>
              </w:rPr>
            </w:pPr>
          </w:p>
        </w:tc>
      </w:tr>
      <w:tr w:rsidR="00B17209" w:rsidRPr="003B7DA2" w:rsidTr="00D45209">
        <w:tc>
          <w:tcPr>
            <w:tcW w:w="913"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FT</w:t>
            </w:r>
          </w:p>
        </w:tc>
        <w:tc>
          <w:tcPr>
            <w:tcW w:w="1137" w:type="dxa"/>
          </w:tcPr>
          <w:p w:rsidR="00B17209" w:rsidRPr="003B7DA2" w:rsidRDefault="00B17209" w:rsidP="00B17209">
            <w:pPr>
              <w:pStyle w:val="BodyText"/>
              <w:rPr>
                <w:rFonts w:ascii="Calibri" w:hAnsi="Calibri"/>
                <w:bCs/>
                <w:sz w:val="22"/>
                <w:szCs w:val="22"/>
              </w:rPr>
            </w:pPr>
            <w:r w:rsidRPr="003B7DA2">
              <w:rPr>
                <w:rFonts w:ascii="Calibri" w:hAnsi="Calibri" w:cs="Arial"/>
                <w:sz w:val="22"/>
                <w:szCs w:val="22"/>
              </w:rPr>
              <w:t>DE</w:t>
            </w:r>
          </w:p>
        </w:tc>
        <w:tc>
          <w:tcPr>
            <w:tcW w:w="918"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c>
          <w:tcPr>
            <w:tcW w:w="900"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c>
          <w:tcPr>
            <w:tcW w:w="1025"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20 000</w:t>
            </w:r>
          </w:p>
        </w:tc>
        <w:tc>
          <w:tcPr>
            <w:tcW w:w="1127"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20 000</w:t>
            </w:r>
          </w:p>
        </w:tc>
        <w:tc>
          <w:tcPr>
            <w:tcW w:w="1033"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c>
          <w:tcPr>
            <w:tcW w:w="901"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r>
    </w:tbl>
    <w:p w:rsidR="00B17209" w:rsidRPr="003B7DA2" w:rsidRDefault="00B17209" w:rsidP="00B17209">
      <w:pPr>
        <w:pStyle w:val="BodyText"/>
        <w:rPr>
          <w:rFonts w:ascii="Calibri" w:hAnsi="Calibri"/>
          <w:b/>
          <w:bCs/>
          <w:sz w:val="22"/>
          <w:szCs w:val="22"/>
          <w:u w:val="single"/>
        </w:rPr>
      </w:pPr>
    </w:p>
    <w:p w:rsidR="00B17209" w:rsidRPr="003B7DA2" w:rsidRDefault="00B17209" w:rsidP="00B17209">
      <w:pPr>
        <w:pStyle w:val="BodyText"/>
        <w:rPr>
          <w:rFonts w:ascii="Calibri" w:hAnsi="Calibri"/>
          <w:b/>
          <w:bCs/>
          <w:sz w:val="22"/>
          <w:szCs w:val="22"/>
          <w:u w:val="single"/>
        </w:rPr>
      </w:pPr>
      <w:r w:rsidRPr="003B7DA2">
        <w:rPr>
          <w:rFonts w:ascii="Calibri" w:hAnsi="Calibri"/>
          <w:b/>
          <w:bCs/>
          <w:sz w:val="22"/>
          <w:szCs w:val="22"/>
          <w:u w:val="single"/>
        </w:rPr>
        <w:t>DERT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1281"/>
        <w:gridCol w:w="918"/>
        <w:gridCol w:w="1022"/>
        <w:gridCol w:w="1131"/>
        <w:gridCol w:w="1242"/>
        <w:gridCol w:w="1156"/>
        <w:gridCol w:w="901"/>
      </w:tblGrid>
      <w:tr w:rsidR="00B17209" w:rsidRPr="003B7DA2" w:rsidTr="00D45209">
        <w:tc>
          <w:tcPr>
            <w:tcW w:w="913"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918"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1929" w:type="dxa"/>
            <w:gridSpan w:val="2"/>
          </w:tcPr>
          <w:p w:rsidR="00B17209" w:rsidRPr="003B7DA2" w:rsidRDefault="00B17209"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127" w:type="dxa"/>
            <w:vMerge w:val="restart"/>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Átértékelés</w:t>
            </w:r>
          </w:p>
        </w:tc>
        <w:tc>
          <w:tcPr>
            <w:tcW w:w="1033" w:type="dxa"/>
            <w:vMerge w:val="restart"/>
            <w:vAlign w:val="center"/>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Egyéb változások</w:t>
            </w:r>
          </w:p>
        </w:tc>
        <w:tc>
          <w:tcPr>
            <w:tcW w:w="901" w:type="dxa"/>
            <w:vMerge w:val="restart"/>
            <w:vAlign w:val="center"/>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B17209" w:rsidRPr="003B7DA2" w:rsidTr="00D45209">
        <w:tc>
          <w:tcPr>
            <w:tcW w:w="913" w:type="dxa"/>
            <w:vMerge/>
          </w:tcPr>
          <w:p w:rsidR="00B17209" w:rsidRPr="003B7DA2" w:rsidRDefault="00B17209" w:rsidP="00B17209">
            <w:pPr>
              <w:pStyle w:val="BodyText"/>
              <w:rPr>
                <w:rFonts w:ascii="Calibri" w:hAnsi="Calibri"/>
                <w:b/>
                <w:bCs/>
                <w:sz w:val="22"/>
                <w:szCs w:val="22"/>
                <w:u w:val="single"/>
              </w:rPr>
            </w:pPr>
          </w:p>
        </w:tc>
        <w:tc>
          <w:tcPr>
            <w:tcW w:w="1137" w:type="dxa"/>
            <w:vMerge/>
          </w:tcPr>
          <w:p w:rsidR="00B17209" w:rsidRPr="003B7DA2" w:rsidRDefault="00B17209" w:rsidP="00B17209">
            <w:pPr>
              <w:pStyle w:val="BodyText"/>
              <w:rPr>
                <w:rFonts w:ascii="Calibri" w:hAnsi="Calibri"/>
                <w:b/>
                <w:bCs/>
                <w:sz w:val="22"/>
                <w:szCs w:val="22"/>
                <w:u w:val="single"/>
              </w:rPr>
            </w:pPr>
          </w:p>
        </w:tc>
        <w:tc>
          <w:tcPr>
            <w:tcW w:w="918" w:type="dxa"/>
            <w:vMerge/>
          </w:tcPr>
          <w:p w:rsidR="00B17209" w:rsidRPr="003B7DA2" w:rsidRDefault="00B17209" w:rsidP="00B17209">
            <w:pPr>
              <w:pStyle w:val="BodyText"/>
              <w:rPr>
                <w:rFonts w:ascii="Calibri" w:hAnsi="Calibri"/>
                <w:b/>
                <w:bCs/>
                <w:sz w:val="22"/>
                <w:szCs w:val="22"/>
                <w:u w:val="single"/>
              </w:rPr>
            </w:pPr>
          </w:p>
        </w:tc>
        <w:tc>
          <w:tcPr>
            <w:tcW w:w="904" w:type="dxa"/>
          </w:tcPr>
          <w:p w:rsidR="00B17209" w:rsidRPr="003B7DA2" w:rsidRDefault="00B17209" w:rsidP="00D45209">
            <w:pPr>
              <w:pStyle w:val="BodyText"/>
              <w:ind w:right="-224"/>
              <w:rPr>
                <w:rFonts w:ascii="Calibri" w:hAnsi="Calibri" w:cs="Arial"/>
                <w:sz w:val="22"/>
                <w:szCs w:val="22"/>
              </w:rPr>
            </w:pPr>
            <w:r w:rsidRPr="003B7DA2">
              <w:rPr>
                <w:rFonts w:ascii="Calibri" w:hAnsi="Calibri" w:cs="Arial"/>
                <w:sz w:val="22"/>
                <w:szCs w:val="22"/>
              </w:rPr>
              <w:t>Állomány t növelő</w:t>
            </w:r>
          </w:p>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(Bevétel)</w:t>
            </w:r>
          </w:p>
        </w:tc>
        <w:tc>
          <w:tcPr>
            <w:tcW w:w="1025"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Állományt csökkentő</w:t>
            </w:r>
          </w:p>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(Kiadás)</w:t>
            </w:r>
          </w:p>
        </w:tc>
        <w:tc>
          <w:tcPr>
            <w:tcW w:w="1127" w:type="dxa"/>
            <w:vMerge/>
          </w:tcPr>
          <w:p w:rsidR="00B17209" w:rsidRPr="003B7DA2" w:rsidRDefault="00B17209" w:rsidP="00B17209">
            <w:pPr>
              <w:pStyle w:val="BodyText"/>
              <w:rPr>
                <w:rFonts w:ascii="Calibri" w:hAnsi="Calibri" w:cs="Arial"/>
                <w:sz w:val="22"/>
                <w:szCs w:val="22"/>
              </w:rPr>
            </w:pPr>
          </w:p>
        </w:tc>
        <w:tc>
          <w:tcPr>
            <w:tcW w:w="1033" w:type="dxa"/>
            <w:vMerge/>
          </w:tcPr>
          <w:p w:rsidR="00B17209" w:rsidRPr="003B7DA2" w:rsidRDefault="00B17209" w:rsidP="00B17209">
            <w:pPr>
              <w:pStyle w:val="BodyText"/>
              <w:rPr>
                <w:rFonts w:ascii="Calibri" w:hAnsi="Calibri" w:cs="Arial"/>
                <w:sz w:val="22"/>
                <w:szCs w:val="22"/>
              </w:rPr>
            </w:pPr>
          </w:p>
        </w:tc>
        <w:tc>
          <w:tcPr>
            <w:tcW w:w="901" w:type="dxa"/>
            <w:vMerge/>
          </w:tcPr>
          <w:p w:rsidR="00B17209" w:rsidRPr="003B7DA2" w:rsidRDefault="00B17209" w:rsidP="00B17209">
            <w:pPr>
              <w:pStyle w:val="BodyText"/>
              <w:rPr>
                <w:rFonts w:ascii="Calibri" w:hAnsi="Calibri" w:cs="Arial"/>
                <w:sz w:val="22"/>
                <w:szCs w:val="22"/>
              </w:rPr>
            </w:pPr>
          </w:p>
        </w:tc>
      </w:tr>
      <w:tr w:rsidR="00B17209" w:rsidRPr="003B7DA2" w:rsidTr="00D45209">
        <w:tc>
          <w:tcPr>
            <w:tcW w:w="913"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FT</w:t>
            </w:r>
          </w:p>
        </w:tc>
        <w:tc>
          <w:tcPr>
            <w:tcW w:w="1137" w:type="dxa"/>
          </w:tcPr>
          <w:p w:rsidR="00B17209" w:rsidRPr="003B7DA2" w:rsidRDefault="00B17209" w:rsidP="00B17209">
            <w:pPr>
              <w:pStyle w:val="BodyText"/>
              <w:rPr>
                <w:rFonts w:ascii="Calibri" w:hAnsi="Calibri"/>
                <w:bCs/>
                <w:sz w:val="22"/>
                <w:szCs w:val="22"/>
              </w:rPr>
            </w:pPr>
            <w:r w:rsidRPr="003B7DA2">
              <w:rPr>
                <w:rFonts w:ascii="Calibri" w:hAnsi="Calibri" w:cs="Arial"/>
                <w:sz w:val="22"/>
                <w:szCs w:val="22"/>
              </w:rPr>
              <w:t>DE</w:t>
            </w:r>
          </w:p>
        </w:tc>
        <w:tc>
          <w:tcPr>
            <w:tcW w:w="918"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c>
          <w:tcPr>
            <w:tcW w:w="904" w:type="dxa"/>
          </w:tcPr>
          <w:p w:rsidR="00B17209" w:rsidRPr="003B7DA2" w:rsidRDefault="00B17209" w:rsidP="00B17209">
            <w:pPr>
              <w:pStyle w:val="BodyText"/>
              <w:rPr>
                <w:rFonts w:ascii="Calibri" w:hAnsi="Calibri" w:cs="Arial"/>
                <w:sz w:val="22"/>
                <w:szCs w:val="22"/>
              </w:rPr>
            </w:pPr>
          </w:p>
        </w:tc>
        <w:tc>
          <w:tcPr>
            <w:tcW w:w="1025"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80 000</w:t>
            </w:r>
          </w:p>
        </w:tc>
        <w:tc>
          <w:tcPr>
            <w:tcW w:w="1127"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80 000</w:t>
            </w:r>
          </w:p>
        </w:tc>
        <w:tc>
          <w:tcPr>
            <w:tcW w:w="1033"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c>
          <w:tcPr>
            <w:tcW w:w="901"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r>
    </w:tbl>
    <w:p w:rsidR="00B17209" w:rsidRPr="003B7DA2" w:rsidRDefault="00B17209" w:rsidP="00B17209">
      <w:pPr>
        <w:pStyle w:val="BodyText"/>
        <w:rPr>
          <w:rFonts w:ascii="Calibri" w:hAnsi="Calibri"/>
          <w:bCs/>
          <w:sz w:val="22"/>
          <w:szCs w:val="22"/>
        </w:rPr>
      </w:pPr>
    </w:p>
    <w:p w:rsidR="00B17209" w:rsidRPr="003B7DA2" w:rsidRDefault="00B17209" w:rsidP="00B17209">
      <w:pPr>
        <w:pStyle w:val="BodyText"/>
        <w:rPr>
          <w:rFonts w:ascii="Calibri" w:hAnsi="Calibri"/>
          <w:bCs/>
          <w:sz w:val="22"/>
          <w:szCs w:val="22"/>
        </w:rPr>
      </w:pPr>
      <w:r w:rsidRPr="003B7DA2">
        <w:rPr>
          <w:rFonts w:ascii="Calibri" w:hAnsi="Calibri"/>
          <w:bCs/>
          <w:sz w:val="22"/>
          <w:szCs w:val="22"/>
        </w:rPr>
        <w:t xml:space="preserve">Februárban 30 ezer forint volt az összes jóváírás, 30 ezer forint az összes terhelés. </w:t>
      </w:r>
    </w:p>
    <w:p w:rsidR="00B17209" w:rsidRPr="003B7DA2" w:rsidRDefault="00B17209" w:rsidP="00B17209">
      <w:pPr>
        <w:pStyle w:val="BodyText"/>
        <w:rPr>
          <w:rFonts w:ascii="Calibri" w:hAnsi="Calibri"/>
          <w:bCs/>
          <w:sz w:val="22"/>
          <w:szCs w:val="22"/>
        </w:rPr>
      </w:pPr>
    </w:p>
    <w:p w:rsidR="00B17209" w:rsidRPr="003B7DA2" w:rsidRDefault="00B17209" w:rsidP="00B17209">
      <w:pPr>
        <w:pStyle w:val="BodyText"/>
        <w:rPr>
          <w:rFonts w:ascii="Calibri" w:hAnsi="Calibri"/>
          <w:b/>
          <w:bCs/>
          <w:sz w:val="22"/>
          <w:szCs w:val="22"/>
          <w:u w:val="single"/>
        </w:rPr>
      </w:pPr>
      <w:r w:rsidRPr="003B7DA2">
        <w:rPr>
          <w:rFonts w:ascii="Calibri" w:hAnsi="Calibri"/>
          <w:b/>
          <w:bCs/>
          <w:sz w:val="22"/>
          <w:szCs w:val="22"/>
          <w:u w:val="single"/>
        </w:rPr>
        <w:t>DERK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1281"/>
        <w:gridCol w:w="918"/>
        <w:gridCol w:w="927"/>
        <w:gridCol w:w="1131"/>
        <w:gridCol w:w="1242"/>
        <w:gridCol w:w="1156"/>
        <w:gridCol w:w="901"/>
      </w:tblGrid>
      <w:tr w:rsidR="00B17209" w:rsidRPr="003B7DA2" w:rsidTr="00D45209">
        <w:tc>
          <w:tcPr>
            <w:tcW w:w="913"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918"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1929" w:type="dxa"/>
            <w:gridSpan w:val="2"/>
          </w:tcPr>
          <w:p w:rsidR="00B17209" w:rsidRPr="003B7DA2" w:rsidRDefault="00B17209"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127" w:type="dxa"/>
            <w:vMerge w:val="restart"/>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Átértékelés</w:t>
            </w:r>
          </w:p>
        </w:tc>
        <w:tc>
          <w:tcPr>
            <w:tcW w:w="1033" w:type="dxa"/>
            <w:vMerge w:val="restart"/>
            <w:vAlign w:val="center"/>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Egyéb változások</w:t>
            </w:r>
          </w:p>
        </w:tc>
        <w:tc>
          <w:tcPr>
            <w:tcW w:w="901" w:type="dxa"/>
            <w:vMerge w:val="restart"/>
            <w:vAlign w:val="center"/>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B17209" w:rsidRPr="003B7DA2" w:rsidTr="00D45209">
        <w:tc>
          <w:tcPr>
            <w:tcW w:w="913" w:type="dxa"/>
            <w:vMerge/>
          </w:tcPr>
          <w:p w:rsidR="00B17209" w:rsidRPr="003B7DA2" w:rsidRDefault="00B17209" w:rsidP="00B17209">
            <w:pPr>
              <w:pStyle w:val="BodyText"/>
              <w:rPr>
                <w:rFonts w:ascii="Calibri" w:hAnsi="Calibri"/>
                <w:b/>
                <w:bCs/>
                <w:sz w:val="22"/>
                <w:szCs w:val="22"/>
                <w:u w:val="single"/>
              </w:rPr>
            </w:pPr>
          </w:p>
        </w:tc>
        <w:tc>
          <w:tcPr>
            <w:tcW w:w="1137" w:type="dxa"/>
            <w:vMerge/>
          </w:tcPr>
          <w:p w:rsidR="00B17209" w:rsidRPr="003B7DA2" w:rsidRDefault="00B17209" w:rsidP="00B17209">
            <w:pPr>
              <w:pStyle w:val="BodyText"/>
              <w:rPr>
                <w:rFonts w:ascii="Calibri" w:hAnsi="Calibri"/>
                <w:b/>
                <w:bCs/>
                <w:sz w:val="22"/>
                <w:szCs w:val="22"/>
                <w:u w:val="single"/>
              </w:rPr>
            </w:pPr>
          </w:p>
        </w:tc>
        <w:tc>
          <w:tcPr>
            <w:tcW w:w="918" w:type="dxa"/>
            <w:vMerge/>
          </w:tcPr>
          <w:p w:rsidR="00B17209" w:rsidRPr="003B7DA2" w:rsidRDefault="00B17209" w:rsidP="00B17209">
            <w:pPr>
              <w:pStyle w:val="BodyText"/>
              <w:rPr>
                <w:rFonts w:ascii="Calibri" w:hAnsi="Calibri"/>
                <w:b/>
                <w:bCs/>
                <w:sz w:val="22"/>
                <w:szCs w:val="22"/>
                <w:u w:val="single"/>
              </w:rPr>
            </w:pPr>
          </w:p>
        </w:tc>
        <w:tc>
          <w:tcPr>
            <w:tcW w:w="904" w:type="dxa"/>
          </w:tcPr>
          <w:p w:rsidR="00B17209" w:rsidRPr="003B7DA2" w:rsidRDefault="00B17209" w:rsidP="00D45209">
            <w:pPr>
              <w:pStyle w:val="BodyText"/>
              <w:ind w:right="-224"/>
              <w:rPr>
                <w:rFonts w:ascii="Calibri" w:hAnsi="Calibri" w:cs="Arial"/>
                <w:sz w:val="22"/>
                <w:szCs w:val="22"/>
              </w:rPr>
            </w:pPr>
            <w:r w:rsidRPr="003B7DA2">
              <w:rPr>
                <w:rFonts w:ascii="Calibri" w:hAnsi="Calibri" w:cs="Arial"/>
                <w:sz w:val="22"/>
                <w:szCs w:val="22"/>
              </w:rPr>
              <w:t>Állomány t növelő</w:t>
            </w:r>
          </w:p>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(Kiadás)</w:t>
            </w:r>
          </w:p>
        </w:tc>
        <w:tc>
          <w:tcPr>
            <w:tcW w:w="1025"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Állományt csökkentő</w:t>
            </w:r>
          </w:p>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(Bevétel)</w:t>
            </w:r>
          </w:p>
        </w:tc>
        <w:tc>
          <w:tcPr>
            <w:tcW w:w="1127" w:type="dxa"/>
            <w:vMerge/>
          </w:tcPr>
          <w:p w:rsidR="00B17209" w:rsidRPr="003B7DA2" w:rsidRDefault="00B17209" w:rsidP="00B17209">
            <w:pPr>
              <w:pStyle w:val="BodyText"/>
              <w:rPr>
                <w:rFonts w:ascii="Calibri" w:hAnsi="Calibri" w:cs="Arial"/>
                <w:sz w:val="22"/>
                <w:szCs w:val="22"/>
              </w:rPr>
            </w:pPr>
          </w:p>
        </w:tc>
        <w:tc>
          <w:tcPr>
            <w:tcW w:w="1033" w:type="dxa"/>
            <w:vMerge/>
          </w:tcPr>
          <w:p w:rsidR="00B17209" w:rsidRPr="003B7DA2" w:rsidRDefault="00B17209" w:rsidP="00B17209">
            <w:pPr>
              <w:pStyle w:val="BodyText"/>
              <w:rPr>
                <w:rFonts w:ascii="Calibri" w:hAnsi="Calibri" w:cs="Arial"/>
                <w:sz w:val="22"/>
                <w:szCs w:val="22"/>
              </w:rPr>
            </w:pPr>
          </w:p>
        </w:tc>
        <w:tc>
          <w:tcPr>
            <w:tcW w:w="901" w:type="dxa"/>
            <w:vMerge/>
          </w:tcPr>
          <w:p w:rsidR="00B17209" w:rsidRPr="003B7DA2" w:rsidRDefault="00B17209" w:rsidP="00B17209">
            <w:pPr>
              <w:pStyle w:val="BodyText"/>
              <w:rPr>
                <w:rFonts w:ascii="Calibri" w:hAnsi="Calibri" w:cs="Arial"/>
                <w:sz w:val="22"/>
                <w:szCs w:val="22"/>
              </w:rPr>
            </w:pPr>
          </w:p>
        </w:tc>
      </w:tr>
      <w:tr w:rsidR="00B17209" w:rsidRPr="003B7DA2" w:rsidTr="00D45209">
        <w:tc>
          <w:tcPr>
            <w:tcW w:w="913"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FT</w:t>
            </w:r>
          </w:p>
        </w:tc>
        <w:tc>
          <w:tcPr>
            <w:tcW w:w="1137" w:type="dxa"/>
          </w:tcPr>
          <w:p w:rsidR="00B17209" w:rsidRPr="003B7DA2" w:rsidRDefault="00B17209" w:rsidP="00B17209">
            <w:pPr>
              <w:pStyle w:val="BodyText"/>
              <w:rPr>
                <w:rFonts w:ascii="Calibri" w:hAnsi="Calibri"/>
                <w:bCs/>
                <w:sz w:val="22"/>
                <w:szCs w:val="22"/>
              </w:rPr>
            </w:pPr>
            <w:r w:rsidRPr="003B7DA2">
              <w:rPr>
                <w:rFonts w:ascii="Calibri" w:hAnsi="Calibri" w:cs="Arial"/>
                <w:sz w:val="22"/>
                <w:szCs w:val="22"/>
              </w:rPr>
              <w:t>DE</w:t>
            </w:r>
          </w:p>
        </w:tc>
        <w:tc>
          <w:tcPr>
            <w:tcW w:w="918"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c>
          <w:tcPr>
            <w:tcW w:w="904" w:type="dxa"/>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 xml:space="preserve">0 </w:t>
            </w:r>
          </w:p>
        </w:tc>
        <w:tc>
          <w:tcPr>
            <w:tcW w:w="1025" w:type="dxa"/>
          </w:tcPr>
          <w:p w:rsidR="00B17209" w:rsidRPr="003B7DA2" w:rsidRDefault="00B17209" w:rsidP="00B17209">
            <w:pPr>
              <w:pStyle w:val="BodyText"/>
              <w:rPr>
                <w:rFonts w:ascii="Calibri" w:hAnsi="Calibri"/>
                <w:bCs/>
                <w:sz w:val="22"/>
                <w:szCs w:val="22"/>
              </w:rPr>
            </w:pPr>
            <w:r w:rsidRPr="003B7DA2">
              <w:rPr>
                <w:rFonts w:ascii="Calibri" w:hAnsi="Calibri" w:cs="Arial"/>
                <w:sz w:val="22"/>
                <w:szCs w:val="22"/>
              </w:rPr>
              <w:t>30 000</w:t>
            </w:r>
          </w:p>
        </w:tc>
        <w:tc>
          <w:tcPr>
            <w:tcW w:w="1127" w:type="dxa"/>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30 000</w:t>
            </w:r>
          </w:p>
        </w:tc>
        <w:tc>
          <w:tcPr>
            <w:tcW w:w="1033"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c>
          <w:tcPr>
            <w:tcW w:w="901"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r>
    </w:tbl>
    <w:p w:rsidR="00B17209" w:rsidRPr="003B7DA2" w:rsidRDefault="00B17209" w:rsidP="00B17209">
      <w:pPr>
        <w:pStyle w:val="BodyText"/>
        <w:rPr>
          <w:rFonts w:ascii="Calibri" w:hAnsi="Calibri"/>
          <w:b/>
          <w:bCs/>
          <w:sz w:val="22"/>
          <w:szCs w:val="22"/>
          <w:u w:val="single"/>
        </w:rPr>
      </w:pPr>
    </w:p>
    <w:p w:rsidR="00B17209" w:rsidRPr="003B7DA2" w:rsidRDefault="00B17209" w:rsidP="00B17209">
      <w:pPr>
        <w:pStyle w:val="BodyText"/>
        <w:rPr>
          <w:rFonts w:ascii="Calibri" w:hAnsi="Calibri"/>
          <w:b/>
          <w:bCs/>
          <w:sz w:val="22"/>
          <w:szCs w:val="22"/>
          <w:u w:val="single"/>
        </w:rPr>
      </w:pPr>
      <w:r w:rsidRPr="003B7DA2">
        <w:rPr>
          <w:rFonts w:ascii="Calibri" w:hAnsi="Calibri"/>
          <w:b/>
          <w:bCs/>
          <w:sz w:val="22"/>
          <w:szCs w:val="22"/>
          <w:u w:val="single"/>
        </w:rPr>
        <w:t>DERT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1281"/>
        <w:gridCol w:w="918"/>
        <w:gridCol w:w="1022"/>
        <w:gridCol w:w="1131"/>
        <w:gridCol w:w="1242"/>
        <w:gridCol w:w="1156"/>
        <w:gridCol w:w="901"/>
      </w:tblGrid>
      <w:tr w:rsidR="00B17209" w:rsidRPr="003B7DA2" w:rsidTr="00D45209">
        <w:tc>
          <w:tcPr>
            <w:tcW w:w="913"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918"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1929" w:type="dxa"/>
            <w:gridSpan w:val="2"/>
          </w:tcPr>
          <w:p w:rsidR="00B17209" w:rsidRPr="003B7DA2" w:rsidRDefault="00B17209"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127" w:type="dxa"/>
            <w:vMerge w:val="restart"/>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Átértékelés</w:t>
            </w:r>
          </w:p>
        </w:tc>
        <w:tc>
          <w:tcPr>
            <w:tcW w:w="1033" w:type="dxa"/>
            <w:vMerge w:val="restart"/>
            <w:vAlign w:val="center"/>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Egyéb változások</w:t>
            </w:r>
          </w:p>
        </w:tc>
        <w:tc>
          <w:tcPr>
            <w:tcW w:w="901" w:type="dxa"/>
            <w:vMerge w:val="restart"/>
            <w:vAlign w:val="center"/>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B17209" w:rsidRPr="003B7DA2" w:rsidTr="00D45209">
        <w:tc>
          <w:tcPr>
            <w:tcW w:w="913" w:type="dxa"/>
            <w:vMerge/>
          </w:tcPr>
          <w:p w:rsidR="00B17209" w:rsidRPr="003B7DA2" w:rsidRDefault="00B17209" w:rsidP="00B17209">
            <w:pPr>
              <w:pStyle w:val="BodyText"/>
              <w:rPr>
                <w:rFonts w:ascii="Calibri" w:hAnsi="Calibri"/>
                <w:b/>
                <w:bCs/>
                <w:sz w:val="22"/>
                <w:szCs w:val="22"/>
                <w:u w:val="single"/>
              </w:rPr>
            </w:pPr>
          </w:p>
        </w:tc>
        <w:tc>
          <w:tcPr>
            <w:tcW w:w="1137" w:type="dxa"/>
            <w:vMerge/>
          </w:tcPr>
          <w:p w:rsidR="00B17209" w:rsidRPr="003B7DA2" w:rsidRDefault="00B17209" w:rsidP="00B17209">
            <w:pPr>
              <w:pStyle w:val="BodyText"/>
              <w:rPr>
                <w:rFonts w:ascii="Calibri" w:hAnsi="Calibri"/>
                <w:b/>
                <w:bCs/>
                <w:sz w:val="22"/>
                <w:szCs w:val="22"/>
                <w:u w:val="single"/>
              </w:rPr>
            </w:pPr>
          </w:p>
        </w:tc>
        <w:tc>
          <w:tcPr>
            <w:tcW w:w="918" w:type="dxa"/>
            <w:vMerge/>
          </w:tcPr>
          <w:p w:rsidR="00B17209" w:rsidRPr="003B7DA2" w:rsidRDefault="00B17209" w:rsidP="00B17209">
            <w:pPr>
              <w:pStyle w:val="BodyText"/>
              <w:rPr>
                <w:rFonts w:ascii="Calibri" w:hAnsi="Calibri"/>
                <w:b/>
                <w:bCs/>
                <w:sz w:val="22"/>
                <w:szCs w:val="22"/>
                <w:u w:val="single"/>
              </w:rPr>
            </w:pPr>
          </w:p>
        </w:tc>
        <w:tc>
          <w:tcPr>
            <w:tcW w:w="904" w:type="dxa"/>
          </w:tcPr>
          <w:p w:rsidR="00B17209" w:rsidRPr="003B7DA2" w:rsidRDefault="00B17209" w:rsidP="00D45209">
            <w:pPr>
              <w:pStyle w:val="BodyText"/>
              <w:ind w:right="-224"/>
              <w:rPr>
                <w:rFonts w:ascii="Calibri" w:hAnsi="Calibri" w:cs="Arial"/>
                <w:sz w:val="22"/>
                <w:szCs w:val="22"/>
              </w:rPr>
            </w:pPr>
            <w:r w:rsidRPr="003B7DA2">
              <w:rPr>
                <w:rFonts w:ascii="Calibri" w:hAnsi="Calibri" w:cs="Arial"/>
                <w:sz w:val="22"/>
                <w:szCs w:val="22"/>
              </w:rPr>
              <w:t>Állomány t növelő</w:t>
            </w:r>
          </w:p>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(Bevétel)</w:t>
            </w:r>
          </w:p>
        </w:tc>
        <w:tc>
          <w:tcPr>
            <w:tcW w:w="1025"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Állományt csökkentő</w:t>
            </w:r>
          </w:p>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(Kiadás)</w:t>
            </w:r>
          </w:p>
        </w:tc>
        <w:tc>
          <w:tcPr>
            <w:tcW w:w="1127" w:type="dxa"/>
            <w:vMerge/>
          </w:tcPr>
          <w:p w:rsidR="00B17209" w:rsidRPr="003B7DA2" w:rsidRDefault="00B17209" w:rsidP="00B17209">
            <w:pPr>
              <w:pStyle w:val="BodyText"/>
              <w:rPr>
                <w:rFonts w:ascii="Calibri" w:hAnsi="Calibri" w:cs="Arial"/>
                <w:sz w:val="22"/>
                <w:szCs w:val="22"/>
              </w:rPr>
            </w:pPr>
          </w:p>
        </w:tc>
        <w:tc>
          <w:tcPr>
            <w:tcW w:w="1033" w:type="dxa"/>
            <w:vMerge/>
          </w:tcPr>
          <w:p w:rsidR="00B17209" w:rsidRPr="003B7DA2" w:rsidRDefault="00B17209" w:rsidP="00B17209">
            <w:pPr>
              <w:pStyle w:val="BodyText"/>
              <w:rPr>
                <w:rFonts w:ascii="Calibri" w:hAnsi="Calibri" w:cs="Arial"/>
                <w:sz w:val="22"/>
                <w:szCs w:val="22"/>
              </w:rPr>
            </w:pPr>
          </w:p>
        </w:tc>
        <w:tc>
          <w:tcPr>
            <w:tcW w:w="901" w:type="dxa"/>
            <w:vMerge/>
          </w:tcPr>
          <w:p w:rsidR="00B17209" w:rsidRPr="003B7DA2" w:rsidRDefault="00B17209" w:rsidP="00B17209">
            <w:pPr>
              <w:pStyle w:val="BodyText"/>
              <w:rPr>
                <w:rFonts w:ascii="Calibri" w:hAnsi="Calibri" w:cs="Arial"/>
                <w:sz w:val="22"/>
                <w:szCs w:val="22"/>
              </w:rPr>
            </w:pPr>
          </w:p>
        </w:tc>
      </w:tr>
      <w:tr w:rsidR="00B17209" w:rsidRPr="003B7DA2" w:rsidTr="00D45209">
        <w:tc>
          <w:tcPr>
            <w:tcW w:w="913"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FT</w:t>
            </w:r>
          </w:p>
        </w:tc>
        <w:tc>
          <w:tcPr>
            <w:tcW w:w="1137" w:type="dxa"/>
          </w:tcPr>
          <w:p w:rsidR="00B17209" w:rsidRPr="003B7DA2" w:rsidRDefault="00B17209" w:rsidP="00B17209">
            <w:pPr>
              <w:pStyle w:val="BodyText"/>
              <w:rPr>
                <w:rFonts w:ascii="Calibri" w:hAnsi="Calibri"/>
                <w:bCs/>
                <w:sz w:val="22"/>
                <w:szCs w:val="22"/>
              </w:rPr>
            </w:pPr>
            <w:r w:rsidRPr="003B7DA2">
              <w:rPr>
                <w:rFonts w:ascii="Calibri" w:hAnsi="Calibri" w:cs="Arial"/>
                <w:sz w:val="22"/>
                <w:szCs w:val="22"/>
              </w:rPr>
              <w:t>DE</w:t>
            </w:r>
          </w:p>
        </w:tc>
        <w:tc>
          <w:tcPr>
            <w:tcW w:w="918"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c>
          <w:tcPr>
            <w:tcW w:w="904" w:type="dxa"/>
          </w:tcPr>
          <w:p w:rsidR="00B17209" w:rsidRPr="003B7DA2" w:rsidRDefault="00B17209" w:rsidP="00B17209">
            <w:pPr>
              <w:pStyle w:val="BodyText"/>
              <w:rPr>
                <w:rFonts w:ascii="Calibri" w:hAnsi="Calibri"/>
                <w:b/>
                <w:bCs/>
                <w:sz w:val="22"/>
                <w:szCs w:val="22"/>
                <w:u w:val="single"/>
              </w:rPr>
            </w:pPr>
          </w:p>
        </w:tc>
        <w:tc>
          <w:tcPr>
            <w:tcW w:w="1025" w:type="dxa"/>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30 000</w:t>
            </w:r>
          </w:p>
        </w:tc>
        <w:tc>
          <w:tcPr>
            <w:tcW w:w="1127" w:type="dxa"/>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30 000</w:t>
            </w:r>
          </w:p>
        </w:tc>
        <w:tc>
          <w:tcPr>
            <w:tcW w:w="1033"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c>
          <w:tcPr>
            <w:tcW w:w="901"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r>
    </w:tbl>
    <w:p w:rsidR="00B17209" w:rsidRPr="003B7DA2" w:rsidRDefault="00B17209" w:rsidP="00B17209">
      <w:pPr>
        <w:pStyle w:val="BodyText"/>
        <w:rPr>
          <w:rFonts w:ascii="Calibri" w:hAnsi="Calibri"/>
          <w:bCs/>
          <w:sz w:val="22"/>
          <w:szCs w:val="22"/>
        </w:rPr>
      </w:pPr>
      <w:r w:rsidRPr="003B7DA2">
        <w:rPr>
          <w:rFonts w:ascii="Calibri" w:hAnsi="Calibri"/>
          <w:bCs/>
          <w:sz w:val="22"/>
          <w:szCs w:val="22"/>
        </w:rPr>
        <w:lastRenderedPageBreak/>
        <w:t xml:space="preserve">Márciusban 20 ezer forint jóváírást, 90 ezer forint összegű terhelést hajtott végre e csomag </w:t>
      </w:r>
      <w:proofErr w:type="gramStart"/>
      <w:r w:rsidRPr="003B7DA2">
        <w:rPr>
          <w:rFonts w:ascii="Calibri" w:hAnsi="Calibri"/>
          <w:bCs/>
          <w:sz w:val="22"/>
          <w:szCs w:val="22"/>
        </w:rPr>
        <w:t>miatt  számláján</w:t>
      </w:r>
      <w:proofErr w:type="gramEnd"/>
      <w:r w:rsidRPr="003B7DA2">
        <w:rPr>
          <w:rFonts w:ascii="Calibri" w:hAnsi="Calibri"/>
          <w:bCs/>
          <w:sz w:val="22"/>
          <w:szCs w:val="22"/>
        </w:rPr>
        <w:t xml:space="preserve"> az elszámolóház. </w:t>
      </w:r>
    </w:p>
    <w:p w:rsidR="00B17209" w:rsidRPr="003B7DA2" w:rsidRDefault="00B17209" w:rsidP="00B17209">
      <w:pPr>
        <w:pStyle w:val="BodyText"/>
        <w:rPr>
          <w:rFonts w:ascii="Calibri" w:hAnsi="Calibri"/>
          <w:bCs/>
          <w:sz w:val="22"/>
          <w:szCs w:val="22"/>
        </w:rPr>
      </w:pPr>
    </w:p>
    <w:p w:rsidR="00B17209" w:rsidRPr="003B7DA2" w:rsidRDefault="00B17209" w:rsidP="00B17209">
      <w:pPr>
        <w:pStyle w:val="BodyText"/>
        <w:rPr>
          <w:rFonts w:ascii="Calibri" w:hAnsi="Calibri"/>
          <w:b/>
          <w:bCs/>
          <w:sz w:val="22"/>
          <w:szCs w:val="22"/>
          <w:u w:val="single"/>
        </w:rPr>
      </w:pPr>
      <w:r w:rsidRPr="003B7DA2">
        <w:rPr>
          <w:rFonts w:ascii="Calibri" w:hAnsi="Calibri"/>
          <w:b/>
          <w:bCs/>
          <w:sz w:val="22"/>
          <w:szCs w:val="22"/>
          <w:u w:val="single"/>
        </w:rPr>
        <w:t>DERK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1281"/>
        <w:gridCol w:w="918"/>
        <w:gridCol w:w="927"/>
        <w:gridCol w:w="1131"/>
        <w:gridCol w:w="1242"/>
        <w:gridCol w:w="1156"/>
        <w:gridCol w:w="901"/>
      </w:tblGrid>
      <w:tr w:rsidR="00B17209" w:rsidRPr="003B7DA2" w:rsidTr="00D45209">
        <w:tc>
          <w:tcPr>
            <w:tcW w:w="913"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918"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1929" w:type="dxa"/>
            <w:gridSpan w:val="2"/>
          </w:tcPr>
          <w:p w:rsidR="00B17209" w:rsidRPr="003B7DA2" w:rsidRDefault="00B17209"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127" w:type="dxa"/>
            <w:vMerge w:val="restart"/>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Átértékelés</w:t>
            </w:r>
          </w:p>
        </w:tc>
        <w:tc>
          <w:tcPr>
            <w:tcW w:w="1033" w:type="dxa"/>
            <w:vMerge w:val="restart"/>
            <w:vAlign w:val="center"/>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Egyéb változások</w:t>
            </w:r>
          </w:p>
        </w:tc>
        <w:tc>
          <w:tcPr>
            <w:tcW w:w="901" w:type="dxa"/>
            <w:vMerge w:val="restart"/>
            <w:vAlign w:val="center"/>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B17209" w:rsidRPr="003B7DA2" w:rsidTr="00D45209">
        <w:tc>
          <w:tcPr>
            <w:tcW w:w="913" w:type="dxa"/>
            <w:vMerge/>
          </w:tcPr>
          <w:p w:rsidR="00B17209" w:rsidRPr="003B7DA2" w:rsidRDefault="00B17209" w:rsidP="00B17209">
            <w:pPr>
              <w:pStyle w:val="BodyText"/>
              <w:rPr>
                <w:rFonts w:ascii="Calibri" w:hAnsi="Calibri"/>
                <w:b/>
                <w:bCs/>
                <w:sz w:val="22"/>
                <w:szCs w:val="22"/>
                <w:u w:val="single"/>
              </w:rPr>
            </w:pPr>
          </w:p>
        </w:tc>
        <w:tc>
          <w:tcPr>
            <w:tcW w:w="1137" w:type="dxa"/>
            <w:vMerge/>
          </w:tcPr>
          <w:p w:rsidR="00B17209" w:rsidRPr="003B7DA2" w:rsidRDefault="00B17209" w:rsidP="00B17209">
            <w:pPr>
              <w:pStyle w:val="BodyText"/>
              <w:rPr>
                <w:rFonts w:ascii="Calibri" w:hAnsi="Calibri"/>
                <w:b/>
                <w:bCs/>
                <w:sz w:val="22"/>
                <w:szCs w:val="22"/>
                <w:u w:val="single"/>
              </w:rPr>
            </w:pPr>
          </w:p>
        </w:tc>
        <w:tc>
          <w:tcPr>
            <w:tcW w:w="918" w:type="dxa"/>
            <w:vMerge/>
          </w:tcPr>
          <w:p w:rsidR="00B17209" w:rsidRPr="003B7DA2" w:rsidRDefault="00B17209" w:rsidP="00B17209">
            <w:pPr>
              <w:pStyle w:val="BodyText"/>
              <w:rPr>
                <w:rFonts w:ascii="Calibri" w:hAnsi="Calibri"/>
                <w:b/>
                <w:bCs/>
                <w:sz w:val="22"/>
                <w:szCs w:val="22"/>
                <w:u w:val="single"/>
              </w:rPr>
            </w:pPr>
          </w:p>
        </w:tc>
        <w:tc>
          <w:tcPr>
            <w:tcW w:w="904" w:type="dxa"/>
          </w:tcPr>
          <w:p w:rsidR="00B17209" w:rsidRPr="003B7DA2" w:rsidRDefault="00B17209" w:rsidP="00D45209">
            <w:pPr>
              <w:pStyle w:val="BodyText"/>
              <w:ind w:right="-224"/>
              <w:rPr>
                <w:rFonts w:ascii="Calibri" w:hAnsi="Calibri" w:cs="Arial"/>
                <w:sz w:val="22"/>
                <w:szCs w:val="22"/>
              </w:rPr>
            </w:pPr>
            <w:r w:rsidRPr="003B7DA2">
              <w:rPr>
                <w:rFonts w:ascii="Calibri" w:hAnsi="Calibri" w:cs="Arial"/>
                <w:sz w:val="22"/>
                <w:szCs w:val="22"/>
              </w:rPr>
              <w:t>Állomány t növelő</w:t>
            </w:r>
          </w:p>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(Kiadás)</w:t>
            </w:r>
          </w:p>
        </w:tc>
        <w:tc>
          <w:tcPr>
            <w:tcW w:w="1025"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Állományt csökkentő</w:t>
            </w:r>
          </w:p>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(Bevétel)</w:t>
            </w:r>
          </w:p>
        </w:tc>
        <w:tc>
          <w:tcPr>
            <w:tcW w:w="1127" w:type="dxa"/>
            <w:vMerge/>
          </w:tcPr>
          <w:p w:rsidR="00B17209" w:rsidRPr="003B7DA2" w:rsidRDefault="00B17209" w:rsidP="00B17209">
            <w:pPr>
              <w:pStyle w:val="BodyText"/>
              <w:rPr>
                <w:rFonts w:ascii="Calibri" w:hAnsi="Calibri" w:cs="Arial"/>
                <w:sz w:val="22"/>
                <w:szCs w:val="22"/>
              </w:rPr>
            </w:pPr>
          </w:p>
        </w:tc>
        <w:tc>
          <w:tcPr>
            <w:tcW w:w="1033" w:type="dxa"/>
            <w:vMerge/>
          </w:tcPr>
          <w:p w:rsidR="00B17209" w:rsidRPr="003B7DA2" w:rsidRDefault="00B17209" w:rsidP="00B17209">
            <w:pPr>
              <w:pStyle w:val="BodyText"/>
              <w:rPr>
                <w:rFonts w:ascii="Calibri" w:hAnsi="Calibri" w:cs="Arial"/>
                <w:sz w:val="22"/>
                <w:szCs w:val="22"/>
              </w:rPr>
            </w:pPr>
          </w:p>
        </w:tc>
        <w:tc>
          <w:tcPr>
            <w:tcW w:w="901" w:type="dxa"/>
            <w:vMerge/>
          </w:tcPr>
          <w:p w:rsidR="00B17209" w:rsidRPr="003B7DA2" w:rsidRDefault="00B17209" w:rsidP="00B17209">
            <w:pPr>
              <w:pStyle w:val="BodyText"/>
              <w:rPr>
                <w:rFonts w:ascii="Calibri" w:hAnsi="Calibri" w:cs="Arial"/>
                <w:sz w:val="22"/>
                <w:szCs w:val="22"/>
              </w:rPr>
            </w:pPr>
          </w:p>
        </w:tc>
      </w:tr>
      <w:tr w:rsidR="00B17209" w:rsidRPr="003B7DA2" w:rsidTr="00D45209">
        <w:tc>
          <w:tcPr>
            <w:tcW w:w="913"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FT</w:t>
            </w:r>
          </w:p>
        </w:tc>
        <w:tc>
          <w:tcPr>
            <w:tcW w:w="1137" w:type="dxa"/>
          </w:tcPr>
          <w:p w:rsidR="00B17209" w:rsidRPr="003B7DA2" w:rsidRDefault="00B17209" w:rsidP="00B17209">
            <w:pPr>
              <w:pStyle w:val="BodyText"/>
              <w:rPr>
                <w:rFonts w:ascii="Calibri" w:hAnsi="Calibri"/>
                <w:bCs/>
                <w:sz w:val="22"/>
                <w:szCs w:val="22"/>
              </w:rPr>
            </w:pPr>
            <w:r w:rsidRPr="003B7DA2">
              <w:rPr>
                <w:rFonts w:ascii="Calibri" w:hAnsi="Calibri" w:cs="Arial"/>
                <w:sz w:val="22"/>
                <w:szCs w:val="22"/>
              </w:rPr>
              <w:t>DE</w:t>
            </w:r>
          </w:p>
        </w:tc>
        <w:tc>
          <w:tcPr>
            <w:tcW w:w="918"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c>
          <w:tcPr>
            <w:tcW w:w="904" w:type="dxa"/>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0</w:t>
            </w:r>
          </w:p>
        </w:tc>
        <w:tc>
          <w:tcPr>
            <w:tcW w:w="1025"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20 000</w:t>
            </w:r>
          </w:p>
        </w:tc>
        <w:tc>
          <w:tcPr>
            <w:tcW w:w="1127" w:type="dxa"/>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20 000</w:t>
            </w:r>
          </w:p>
        </w:tc>
        <w:tc>
          <w:tcPr>
            <w:tcW w:w="1033"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c>
          <w:tcPr>
            <w:tcW w:w="901"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r>
    </w:tbl>
    <w:p w:rsidR="00B17209" w:rsidRPr="003B7DA2" w:rsidRDefault="00B17209" w:rsidP="00B17209">
      <w:pPr>
        <w:pStyle w:val="BodyText"/>
        <w:rPr>
          <w:rFonts w:ascii="Calibri" w:hAnsi="Calibri"/>
          <w:b/>
          <w:bCs/>
          <w:sz w:val="22"/>
          <w:szCs w:val="22"/>
          <w:u w:val="single"/>
        </w:rPr>
      </w:pPr>
      <w:r w:rsidRPr="003B7DA2">
        <w:rPr>
          <w:rFonts w:ascii="Calibri" w:hAnsi="Calibri"/>
          <w:b/>
          <w:bCs/>
          <w:sz w:val="22"/>
          <w:szCs w:val="22"/>
          <w:u w:val="single"/>
        </w:rPr>
        <w:t>DERT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1281"/>
        <w:gridCol w:w="918"/>
        <w:gridCol w:w="1022"/>
        <w:gridCol w:w="1131"/>
        <w:gridCol w:w="1242"/>
        <w:gridCol w:w="1156"/>
        <w:gridCol w:w="901"/>
      </w:tblGrid>
      <w:tr w:rsidR="00B17209" w:rsidRPr="003B7DA2" w:rsidTr="00D45209">
        <w:tc>
          <w:tcPr>
            <w:tcW w:w="913"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918"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1929" w:type="dxa"/>
            <w:gridSpan w:val="2"/>
          </w:tcPr>
          <w:p w:rsidR="00B17209" w:rsidRPr="003B7DA2" w:rsidRDefault="00B17209"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127" w:type="dxa"/>
            <w:vMerge w:val="restart"/>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Átértékelés</w:t>
            </w:r>
          </w:p>
        </w:tc>
        <w:tc>
          <w:tcPr>
            <w:tcW w:w="1033" w:type="dxa"/>
            <w:vMerge w:val="restart"/>
            <w:vAlign w:val="center"/>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Egyéb változások</w:t>
            </w:r>
          </w:p>
        </w:tc>
        <w:tc>
          <w:tcPr>
            <w:tcW w:w="901" w:type="dxa"/>
            <w:vMerge w:val="restart"/>
            <w:vAlign w:val="center"/>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B17209" w:rsidRPr="003B7DA2" w:rsidTr="00D45209">
        <w:tc>
          <w:tcPr>
            <w:tcW w:w="913" w:type="dxa"/>
            <w:vMerge/>
          </w:tcPr>
          <w:p w:rsidR="00B17209" w:rsidRPr="003B7DA2" w:rsidRDefault="00B17209" w:rsidP="00B17209">
            <w:pPr>
              <w:pStyle w:val="BodyText"/>
              <w:rPr>
                <w:rFonts w:ascii="Calibri" w:hAnsi="Calibri"/>
                <w:b/>
                <w:bCs/>
                <w:sz w:val="22"/>
                <w:szCs w:val="22"/>
                <w:u w:val="single"/>
              </w:rPr>
            </w:pPr>
          </w:p>
        </w:tc>
        <w:tc>
          <w:tcPr>
            <w:tcW w:w="1137" w:type="dxa"/>
            <w:vMerge/>
          </w:tcPr>
          <w:p w:rsidR="00B17209" w:rsidRPr="003B7DA2" w:rsidRDefault="00B17209" w:rsidP="00B17209">
            <w:pPr>
              <w:pStyle w:val="BodyText"/>
              <w:rPr>
                <w:rFonts w:ascii="Calibri" w:hAnsi="Calibri"/>
                <w:b/>
                <w:bCs/>
                <w:sz w:val="22"/>
                <w:szCs w:val="22"/>
                <w:u w:val="single"/>
              </w:rPr>
            </w:pPr>
          </w:p>
        </w:tc>
        <w:tc>
          <w:tcPr>
            <w:tcW w:w="918" w:type="dxa"/>
            <w:vMerge/>
          </w:tcPr>
          <w:p w:rsidR="00B17209" w:rsidRPr="003B7DA2" w:rsidRDefault="00B17209" w:rsidP="00B17209">
            <w:pPr>
              <w:pStyle w:val="BodyText"/>
              <w:rPr>
                <w:rFonts w:ascii="Calibri" w:hAnsi="Calibri"/>
                <w:b/>
                <w:bCs/>
                <w:sz w:val="22"/>
                <w:szCs w:val="22"/>
                <w:u w:val="single"/>
              </w:rPr>
            </w:pPr>
          </w:p>
        </w:tc>
        <w:tc>
          <w:tcPr>
            <w:tcW w:w="904" w:type="dxa"/>
          </w:tcPr>
          <w:p w:rsidR="00B17209" w:rsidRPr="003B7DA2" w:rsidRDefault="00B17209" w:rsidP="00D45209">
            <w:pPr>
              <w:pStyle w:val="BodyText"/>
              <w:ind w:right="-224"/>
              <w:rPr>
                <w:rFonts w:ascii="Calibri" w:hAnsi="Calibri" w:cs="Arial"/>
                <w:sz w:val="22"/>
                <w:szCs w:val="22"/>
              </w:rPr>
            </w:pPr>
            <w:r w:rsidRPr="003B7DA2">
              <w:rPr>
                <w:rFonts w:ascii="Calibri" w:hAnsi="Calibri" w:cs="Arial"/>
                <w:sz w:val="22"/>
                <w:szCs w:val="22"/>
              </w:rPr>
              <w:t>Állomány t növelő</w:t>
            </w:r>
          </w:p>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(Bevétel)</w:t>
            </w:r>
          </w:p>
        </w:tc>
        <w:tc>
          <w:tcPr>
            <w:tcW w:w="1025"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Állományt csökkentő</w:t>
            </w:r>
          </w:p>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(Kiadás)</w:t>
            </w:r>
          </w:p>
        </w:tc>
        <w:tc>
          <w:tcPr>
            <w:tcW w:w="1127" w:type="dxa"/>
            <w:vMerge/>
          </w:tcPr>
          <w:p w:rsidR="00B17209" w:rsidRPr="003B7DA2" w:rsidRDefault="00B17209" w:rsidP="00B17209">
            <w:pPr>
              <w:pStyle w:val="BodyText"/>
              <w:rPr>
                <w:rFonts w:ascii="Calibri" w:hAnsi="Calibri" w:cs="Arial"/>
                <w:sz w:val="22"/>
                <w:szCs w:val="22"/>
              </w:rPr>
            </w:pPr>
          </w:p>
        </w:tc>
        <w:tc>
          <w:tcPr>
            <w:tcW w:w="1033" w:type="dxa"/>
            <w:vMerge/>
          </w:tcPr>
          <w:p w:rsidR="00B17209" w:rsidRPr="003B7DA2" w:rsidRDefault="00B17209" w:rsidP="00B17209">
            <w:pPr>
              <w:pStyle w:val="BodyText"/>
              <w:rPr>
                <w:rFonts w:ascii="Calibri" w:hAnsi="Calibri" w:cs="Arial"/>
                <w:sz w:val="22"/>
                <w:szCs w:val="22"/>
              </w:rPr>
            </w:pPr>
          </w:p>
        </w:tc>
        <w:tc>
          <w:tcPr>
            <w:tcW w:w="901" w:type="dxa"/>
            <w:vMerge/>
          </w:tcPr>
          <w:p w:rsidR="00B17209" w:rsidRPr="003B7DA2" w:rsidRDefault="00B17209" w:rsidP="00B17209">
            <w:pPr>
              <w:pStyle w:val="BodyText"/>
              <w:rPr>
                <w:rFonts w:ascii="Calibri" w:hAnsi="Calibri" w:cs="Arial"/>
                <w:sz w:val="22"/>
                <w:szCs w:val="22"/>
              </w:rPr>
            </w:pPr>
          </w:p>
        </w:tc>
      </w:tr>
      <w:tr w:rsidR="00B17209" w:rsidRPr="003B7DA2" w:rsidTr="00D45209">
        <w:tc>
          <w:tcPr>
            <w:tcW w:w="913"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FT</w:t>
            </w:r>
          </w:p>
        </w:tc>
        <w:tc>
          <w:tcPr>
            <w:tcW w:w="1137" w:type="dxa"/>
          </w:tcPr>
          <w:p w:rsidR="00B17209" w:rsidRPr="003B7DA2" w:rsidRDefault="00B17209" w:rsidP="00B17209">
            <w:pPr>
              <w:pStyle w:val="BodyText"/>
              <w:rPr>
                <w:rFonts w:ascii="Calibri" w:hAnsi="Calibri"/>
                <w:bCs/>
                <w:sz w:val="22"/>
                <w:szCs w:val="22"/>
              </w:rPr>
            </w:pPr>
            <w:r w:rsidRPr="003B7DA2">
              <w:rPr>
                <w:rFonts w:ascii="Calibri" w:hAnsi="Calibri" w:cs="Arial"/>
                <w:sz w:val="22"/>
                <w:szCs w:val="22"/>
              </w:rPr>
              <w:t>DE</w:t>
            </w:r>
          </w:p>
        </w:tc>
        <w:tc>
          <w:tcPr>
            <w:tcW w:w="918"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c>
          <w:tcPr>
            <w:tcW w:w="904" w:type="dxa"/>
          </w:tcPr>
          <w:p w:rsidR="00B17209" w:rsidRPr="003B7DA2" w:rsidRDefault="00B17209" w:rsidP="00B17209">
            <w:pPr>
              <w:pStyle w:val="BodyText"/>
              <w:rPr>
                <w:rFonts w:ascii="Calibri" w:hAnsi="Calibri"/>
                <w:b/>
                <w:bCs/>
                <w:sz w:val="22"/>
                <w:szCs w:val="22"/>
                <w:u w:val="single"/>
              </w:rPr>
            </w:pPr>
          </w:p>
        </w:tc>
        <w:tc>
          <w:tcPr>
            <w:tcW w:w="1025" w:type="dxa"/>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90 000</w:t>
            </w:r>
          </w:p>
        </w:tc>
        <w:tc>
          <w:tcPr>
            <w:tcW w:w="1127" w:type="dxa"/>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90 000</w:t>
            </w:r>
          </w:p>
        </w:tc>
        <w:tc>
          <w:tcPr>
            <w:tcW w:w="1033"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c>
          <w:tcPr>
            <w:tcW w:w="901"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r>
    </w:tbl>
    <w:p w:rsidR="00B17209" w:rsidRPr="003B7DA2" w:rsidRDefault="00B17209" w:rsidP="00B17209">
      <w:pPr>
        <w:pStyle w:val="BodyText"/>
        <w:rPr>
          <w:rFonts w:ascii="Calibri" w:hAnsi="Calibri"/>
          <w:bCs/>
          <w:sz w:val="22"/>
          <w:szCs w:val="22"/>
        </w:rPr>
      </w:pPr>
    </w:p>
    <w:p w:rsidR="00B17209" w:rsidRPr="003B7DA2" w:rsidRDefault="00B17209" w:rsidP="00B17209">
      <w:pPr>
        <w:pStyle w:val="BodyText"/>
        <w:rPr>
          <w:rFonts w:ascii="Calibri" w:hAnsi="Calibri"/>
          <w:bCs/>
          <w:sz w:val="22"/>
          <w:szCs w:val="22"/>
        </w:rPr>
      </w:pPr>
      <w:r w:rsidRPr="003B7DA2">
        <w:rPr>
          <w:rFonts w:ascii="Calibri" w:hAnsi="Calibri"/>
          <w:bCs/>
          <w:sz w:val="22"/>
          <w:szCs w:val="22"/>
        </w:rPr>
        <w:t xml:space="preserve">Áprilisban utolsó napig, vagyis 9-éig bezáróan 10 ezer forint jóváírást és 6 ezer forint terhelést hajtott végre az elszámolóház, míg április 10-én, az akkori árfolyamoknak megfelelően egy utolsó, 1 ezer forintos nyereség kifizetésével (jóváírással) zárta le az ügyletet. Tehát nem történik meg az ügylet szerinti devizaösszeg és forint összeg cseréje, hanem az érték különbözet elszámolásával zárják le az ügyletet. Áprilisban tehát az alábbi adatokat kellett jelenteni: </w:t>
      </w:r>
    </w:p>
    <w:p w:rsidR="00B17209" w:rsidRPr="003B7DA2" w:rsidRDefault="00B17209" w:rsidP="00B17209">
      <w:pPr>
        <w:pStyle w:val="BodyText"/>
        <w:rPr>
          <w:rFonts w:ascii="Calibri" w:hAnsi="Calibri"/>
          <w:b/>
          <w:bCs/>
          <w:sz w:val="22"/>
          <w:szCs w:val="22"/>
          <w:u w:val="single"/>
        </w:rPr>
      </w:pPr>
    </w:p>
    <w:p w:rsidR="00B17209" w:rsidRPr="003B7DA2" w:rsidRDefault="00B17209" w:rsidP="00B17209">
      <w:pPr>
        <w:pStyle w:val="BodyText"/>
        <w:rPr>
          <w:rFonts w:ascii="Calibri" w:hAnsi="Calibri"/>
          <w:b/>
          <w:bCs/>
          <w:sz w:val="22"/>
          <w:szCs w:val="22"/>
          <w:u w:val="single"/>
        </w:rPr>
      </w:pPr>
      <w:r w:rsidRPr="003B7DA2">
        <w:rPr>
          <w:rFonts w:ascii="Calibri" w:hAnsi="Calibri"/>
          <w:b/>
          <w:bCs/>
          <w:sz w:val="22"/>
          <w:szCs w:val="22"/>
          <w:u w:val="single"/>
        </w:rPr>
        <w:t>DERK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1281"/>
        <w:gridCol w:w="918"/>
        <w:gridCol w:w="927"/>
        <w:gridCol w:w="1131"/>
        <w:gridCol w:w="1242"/>
        <w:gridCol w:w="1156"/>
        <w:gridCol w:w="901"/>
      </w:tblGrid>
      <w:tr w:rsidR="00B17209" w:rsidRPr="003B7DA2" w:rsidTr="00D45209">
        <w:tc>
          <w:tcPr>
            <w:tcW w:w="913"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918"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1929" w:type="dxa"/>
            <w:gridSpan w:val="2"/>
          </w:tcPr>
          <w:p w:rsidR="00B17209" w:rsidRPr="003B7DA2" w:rsidRDefault="00B17209"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127" w:type="dxa"/>
            <w:vMerge w:val="restart"/>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Átértékelés</w:t>
            </w:r>
          </w:p>
        </w:tc>
        <w:tc>
          <w:tcPr>
            <w:tcW w:w="1033" w:type="dxa"/>
            <w:vMerge w:val="restart"/>
            <w:vAlign w:val="center"/>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Egyéb változások</w:t>
            </w:r>
          </w:p>
        </w:tc>
        <w:tc>
          <w:tcPr>
            <w:tcW w:w="901" w:type="dxa"/>
            <w:vMerge w:val="restart"/>
            <w:vAlign w:val="center"/>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B17209" w:rsidRPr="003B7DA2" w:rsidTr="00D45209">
        <w:tc>
          <w:tcPr>
            <w:tcW w:w="913" w:type="dxa"/>
            <w:vMerge/>
          </w:tcPr>
          <w:p w:rsidR="00B17209" w:rsidRPr="003B7DA2" w:rsidRDefault="00B17209" w:rsidP="00B17209">
            <w:pPr>
              <w:pStyle w:val="BodyText"/>
              <w:rPr>
                <w:rFonts w:ascii="Calibri" w:hAnsi="Calibri"/>
                <w:b/>
                <w:bCs/>
                <w:sz w:val="22"/>
                <w:szCs w:val="22"/>
                <w:u w:val="single"/>
              </w:rPr>
            </w:pPr>
          </w:p>
        </w:tc>
        <w:tc>
          <w:tcPr>
            <w:tcW w:w="1137" w:type="dxa"/>
            <w:vMerge/>
          </w:tcPr>
          <w:p w:rsidR="00B17209" w:rsidRPr="003B7DA2" w:rsidRDefault="00B17209" w:rsidP="00B17209">
            <w:pPr>
              <w:pStyle w:val="BodyText"/>
              <w:rPr>
                <w:rFonts w:ascii="Calibri" w:hAnsi="Calibri"/>
                <w:b/>
                <w:bCs/>
                <w:sz w:val="22"/>
                <w:szCs w:val="22"/>
                <w:u w:val="single"/>
              </w:rPr>
            </w:pPr>
          </w:p>
        </w:tc>
        <w:tc>
          <w:tcPr>
            <w:tcW w:w="918" w:type="dxa"/>
            <w:vMerge/>
          </w:tcPr>
          <w:p w:rsidR="00B17209" w:rsidRPr="003B7DA2" w:rsidRDefault="00B17209" w:rsidP="00B17209">
            <w:pPr>
              <w:pStyle w:val="BodyText"/>
              <w:rPr>
                <w:rFonts w:ascii="Calibri" w:hAnsi="Calibri"/>
                <w:b/>
                <w:bCs/>
                <w:sz w:val="22"/>
                <w:szCs w:val="22"/>
                <w:u w:val="single"/>
              </w:rPr>
            </w:pPr>
          </w:p>
        </w:tc>
        <w:tc>
          <w:tcPr>
            <w:tcW w:w="904" w:type="dxa"/>
          </w:tcPr>
          <w:p w:rsidR="00B17209" w:rsidRPr="003B7DA2" w:rsidRDefault="00B17209" w:rsidP="00D45209">
            <w:pPr>
              <w:pStyle w:val="BodyText"/>
              <w:ind w:right="-224"/>
              <w:rPr>
                <w:rFonts w:ascii="Calibri" w:hAnsi="Calibri" w:cs="Arial"/>
                <w:sz w:val="22"/>
                <w:szCs w:val="22"/>
              </w:rPr>
            </w:pPr>
            <w:r w:rsidRPr="003B7DA2">
              <w:rPr>
                <w:rFonts w:ascii="Calibri" w:hAnsi="Calibri" w:cs="Arial"/>
                <w:sz w:val="22"/>
                <w:szCs w:val="22"/>
              </w:rPr>
              <w:t>Állomány t növelő</w:t>
            </w:r>
          </w:p>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(Kiadás)</w:t>
            </w:r>
          </w:p>
        </w:tc>
        <w:tc>
          <w:tcPr>
            <w:tcW w:w="1025"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Állományt csökkentő</w:t>
            </w:r>
          </w:p>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(Bevétel)</w:t>
            </w:r>
          </w:p>
        </w:tc>
        <w:tc>
          <w:tcPr>
            <w:tcW w:w="1127" w:type="dxa"/>
            <w:vMerge/>
          </w:tcPr>
          <w:p w:rsidR="00B17209" w:rsidRPr="003B7DA2" w:rsidRDefault="00B17209" w:rsidP="00B17209">
            <w:pPr>
              <w:pStyle w:val="BodyText"/>
              <w:rPr>
                <w:rFonts w:ascii="Calibri" w:hAnsi="Calibri" w:cs="Arial"/>
                <w:sz w:val="22"/>
                <w:szCs w:val="22"/>
              </w:rPr>
            </w:pPr>
          </w:p>
        </w:tc>
        <w:tc>
          <w:tcPr>
            <w:tcW w:w="1033" w:type="dxa"/>
            <w:vMerge/>
          </w:tcPr>
          <w:p w:rsidR="00B17209" w:rsidRPr="003B7DA2" w:rsidRDefault="00B17209" w:rsidP="00B17209">
            <w:pPr>
              <w:pStyle w:val="BodyText"/>
              <w:rPr>
                <w:rFonts w:ascii="Calibri" w:hAnsi="Calibri" w:cs="Arial"/>
                <w:sz w:val="22"/>
                <w:szCs w:val="22"/>
              </w:rPr>
            </w:pPr>
          </w:p>
        </w:tc>
        <w:tc>
          <w:tcPr>
            <w:tcW w:w="901" w:type="dxa"/>
            <w:vMerge/>
          </w:tcPr>
          <w:p w:rsidR="00B17209" w:rsidRPr="003B7DA2" w:rsidRDefault="00B17209" w:rsidP="00B17209">
            <w:pPr>
              <w:pStyle w:val="BodyText"/>
              <w:rPr>
                <w:rFonts w:ascii="Calibri" w:hAnsi="Calibri" w:cs="Arial"/>
                <w:sz w:val="22"/>
                <w:szCs w:val="22"/>
              </w:rPr>
            </w:pPr>
          </w:p>
        </w:tc>
      </w:tr>
      <w:tr w:rsidR="00B17209" w:rsidRPr="003B7DA2" w:rsidTr="00D45209">
        <w:tc>
          <w:tcPr>
            <w:tcW w:w="913"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FT</w:t>
            </w:r>
          </w:p>
        </w:tc>
        <w:tc>
          <w:tcPr>
            <w:tcW w:w="1137" w:type="dxa"/>
          </w:tcPr>
          <w:p w:rsidR="00B17209" w:rsidRPr="003B7DA2" w:rsidRDefault="00B17209" w:rsidP="00B17209">
            <w:pPr>
              <w:pStyle w:val="BodyText"/>
              <w:rPr>
                <w:rFonts w:ascii="Calibri" w:hAnsi="Calibri"/>
                <w:bCs/>
                <w:sz w:val="22"/>
                <w:szCs w:val="22"/>
              </w:rPr>
            </w:pPr>
            <w:r w:rsidRPr="003B7DA2">
              <w:rPr>
                <w:rFonts w:ascii="Calibri" w:hAnsi="Calibri" w:cs="Arial"/>
                <w:sz w:val="22"/>
                <w:szCs w:val="22"/>
              </w:rPr>
              <w:t>DE</w:t>
            </w:r>
          </w:p>
        </w:tc>
        <w:tc>
          <w:tcPr>
            <w:tcW w:w="918"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c>
          <w:tcPr>
            <w:tcW w:w="904"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0</w:t>
            </w:r>
          </w:p>
        </w:tc>
        <w:tc>
          <w:tcPr>
            <w:tcW w:w="1025"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11 000</w:t>
            </w:r>
          </w:p>
        </w:tc>
        <w:tc>
          <w:tcPr>
            <w:tcW w:w="1127"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11 000</w:t>
            </w:r>
          </w:p>
        </w:tc>
        <w:tc>
          <w:tcPr>
            <w:tcW w:w="1033"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c>
          <w:tcPr>
            <w:tcW w:w="901"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r>
    </w:tbl>
    <w:p w:rsidR="00B17209" w:rsidRPr="003B7DA2" w:rsidRDefault="00B17209" w:rsidP="00B17209">
      <w:pPr>
        <w:pStyle w:val="BodyText"/>
        <w:rPr>
          <w:rFonts w:ascii="Calibri" w:hAnsi="Calibri"/>
          <w:b/>
          <w:bCs/>
          <w:sz w:val="22"/>
          <w:szCs w:val="22"/>
          <w:u w:val="single"/>
        </w:rPr>
      </w:pPr>
    </w:p>
    <w:p w:rsidR="00B17209" w:rsidRPr="003B7DA2" w:rsidRDefault="00B17209" w:rsidP="00B17209">
      <w:pPr>
        <w:pStyle w:val="BodyText"/>
        <w:rPr>
          <w:rFonts w:ascii="Calibri" w:hAnsi="Calibri"/>
          <w:b/>
          <w:bCs/>
          <w:sz w:val="22"/>
          <w:szCs w:val="22"/>
          <w:u w:val="single"/>
        </w:rPr>
      </w:pPr>
      <w:r w:rsidRPr="003B7DA2">
        <w:rPr>
          <w:rFonts w:ascii="Calibri" w:hAnsi="Calibri"/>
          <w:b/>
          <w:bCs/>
          <w:sz w:val="22"/>
          <w:szCs w:val="22"/>
          <w:u w:val="single"/>
        </w:rPr>
        <w:t>DERT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1281"/>
        <w:gridCol w:w="918"/>
        <w:gridCol w:w="1022"/>
        <w:gridCol w:w="1131"/>
        <w:gridCol w:w="1242"/>
        <w:gridCol w:w="1156"/>
        <w:gridCol w:w="901"/>
      </w:tblGrid>
      <w:tr w:rsidR="00B17209" w:rsidRPr="003B7DA2" w:rsidTr="00D45209">
        <w:tc>
          <w:tcPr>
            <w:tcW w:w="913"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918" w:type="dxa"/>
            <w:vMerge w:val="restart"/>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1929" w:type="dxa"/>
            <w:gridSpan w:val="2"/>
          </w:tcPr>
          <w:p w:rsidR="00B17209" w:rsidRPr="003B7DA2" w:rsidRDefault="00B17209"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127" w:type="dxa"/>
            <w:vMerge w:val="restart"/>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Átértékelés</w:t>
            </w:r>
          </w:p>
        </w:tc>
        <w:tc>
          <w:tcPr>
            <w:tcW w:w="1033" w:type="dxa"/>
            <w:vMerge w:val="restart"/>
            <w:vAlign w:val="center"/>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Egyéb változások</w:t>
            </w:r>
          </w:p>
        </w:tc>
        <w:tc>
          <w:tcPr>
            <w:tcW w:w="901" w:type="dxa"/>
            <w:vMerge w:val="restart"/>
            <w:vAlign w:val="center"/>
          </w:tcPr>
          <w:p w:rsidR="00B17209" w:rsidRPr="003B7DA2" w:rsidRDefault="00B17209"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B17209" w:rsidRPr="003B7DA2" w:rsidTr="00D45209">
        <w:tc>
          <w:tcPr>
            <w:tcW w:w="913" w:type="dxa"/>
            <w:vMerge/>
          </w:tcPr>
          <w:p w:rsidR="00B17209" w:rsidRPr="003B7DA2" w:rsidRDefault="00B17209" w:rsidP="00B17209">
            <w:pPr>
              <w:pStyle w:val="BodyText"/>
              <w:rPr>
                <w:rFonts w:ascii="Calibri" w:hAnsi="Calibri"/>
                <w:b/>
                <w:bCs/>
                <w:sz w:val="22"/>
                <w:szCs w:val="22"/>
                <w:u w:val="single"/>
              </w:rPr>
            </w:pPr>
          </w:p>
        </w:tc>
        <w:tc>
          <w:tcPr>
            <w:tcW w:w="1137" w:type="dxa"/>
            <w:vMerge/>
          </w:tcPr>
          <w:p w:rsidR="00B17209" w:rsidRPr="003B7DA2" w:rsidRDefault="00B17209" w:rsidP="00B17209">
            <w:pPr>
              <w:pStyle w:val="BodyText"/>
              <w:rPr>
                <w:rFonts w:ascii="Calibri" w:hAnsi="Calibri"/>
                <w:b/>
                <w:bCs/>
                <w:sz w:val="22"/>
                <w:szCs w:val="22"/>
                <w:u w:val="single"/>
              </w:rPr>
            </w:pPr>
          </w:p>
        </w:tc>
        <w:tc>
          <w:tcPr>
            <w:tcW w:w="918" w:type="dxa"/>
            <w:vMerge/>
          </w:tcPr>
          <w:p w:rsidR="00B17209" w:rsidRPr="003B7DA2" w:rsidRDefault="00B17209" w:rsidP="00B17209">
            <w:pPr>
              <w:pStyle w:val="BodyText"/>
              <w:rPr>
                <w:rFonts w:ascii="Calibri" w:hAnsi="Calibri"/>
                <w:b/>
                <w:bCs/>
                <w:sz w:val="22"/>
                <w:szCs w:val="22"/>
                <w:u w:val="single"/>
              </w:rPr>
            </w:pPr>
          </w:p>
        </w:tc>
        <w:tc>
          <w:tcPr>
            <w:tcW w:w="904" w:type="dxa"/>
          </w:tcPr>
          <w:p w:rsidR="00B17209" w:rsidRPr="003B7DA2" w:rsidRDefault="00B17209" w:rsidP="00D45209">
            <w:pPr>
              <w:pStyle w:val="BodyText"/>
              <w:ind w:right="-224"/>
              <w:rPr>
                <w:rFonts w:ascii="Calibri" w:hAnsi="Calibri" w:cs="Arial"/>
                <w:sz w:val="22"/>
                <w:szCs w:val="22"/>
              </w:rPr>
            </w:pPr>
            <w:r w:rsidRPr="003B7DA2">
              <w:rPr>
                <w:rFonts w:ascii="Calibri" w:hAnsi="Calibri" w:cs="Arial"/>
                <w:sz w:val="22"/>
                <w:szCs w:val="22"/>
              </w:rPr>
              <w:t>Állomány t növelő</w:t>
            </w:r>
          </w:p>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(Bevétel)</w:t>
            </w:r>
          </w:p>
        </w:tc>
        <w:tc>
          <w:tcPr>
            <w:tcW w:w="1025"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Állományt csökkentő</w:t>
            </w:r>
          </w:p>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(Kiadás)</w:t>
            </w:r>
          </w:p>
        </w:tc>
        <w:tc>
          <w:tcPr>
            <w:tcW w:w="1127" w:type="dxa"/>
            <w:vMerge/>
          </w:tcPr>
          <w:p w:rsidR="00B17209" w:rsidRPr="003B7DA2" w:rsidRDefault="00B17209" w:rsidP="00B17209">
            <w:pPr>
              <w:pStyle w:val="BodyText"/>
              <w:rPr>
                <w:rFonts w:ascii="Calibri" w:hAnsi="Calibri" w:cs="Arial"/>
                <w:sz w:val="22"/>
                <w:szCs w:val="22"/>
              </w:rPr>
            </w:pPr>
          </w:p>
        </w:tc>
        <w:tc>
          <w:tcPr>
            <w:tcW w:w="1033" w:type="dxa"/>
            <w:vMerge/>
          </w:tcPr>
          <w:p w:rsidR="00B17209" w:rsidRPr="003B7DA2" w:rsidRDefault="00B17209" w:rsidP="00B17209">
            <w:pPr>
              <w:pStyle w:val="BodyText"/>
              <w:rPr>
                <w:rFonts w:ascii="Calibri" w:hAnsi="Calibri" w:cs="Arial"/>
                <w:sz w:val="22"/>
                <w:szCs w:val="22"/>
              </w:rPr>
            </w:pPr>
          </w:p>
        </w:tc>
        <w:tc>
          <w:tcPr>
            <w:tcW w:w="901" w:type="dxa"/>
            <w:vMerge/>
          </w:tcPr>
          <w:p w:rsidR="00B17209" w:rsidRPr="003B7DA2" w:rsidRDefault="00B17209" w:rsidP="00B17209">
            <w:pPr>
              <w:pStyle w:val="BodyText"/>
              <w:rPr>
                <w:rFonts w:ascii="Calibri" w:hAnsi="Calibri" w:cs="Arial"/>
                <w:sz w:val="22"/>
                <w:szCs w:val="22"/>
              </w:rPr>
            </w:pPr>
          </w:p>
        </w:tc>
      </w:tr>
      <w:tr w:rsidR="00B17209" w:rsidRPr="003B7DA2" w:rsidTr="00D45209">
        <w:tc>
          <w:tcPr>
            <w:tcW w:w="913" w:type="dxa"/>
          </w:tcPr>
          <w:p w:rsidR="00B17209" w:rsidRPr="003B7DA2" w:rsidRDefault="00B17209" w:rsidP="00B17209">
            <w:pPr>
              <w:pStyle w:val="BodyText"/>
              <w:rPr>
                <w:rFonts w:ascii="Calibri" w:hAnsi="Calibri" w:cs="Arial"/>
                <w:sz w:val="22"/>
                <w:szCs w:val="22"/>
              </w:rPr>
            </w:pPr>
            <w:r w:rsidRPr="003B7DA2">
              <w:rPr>
                <w:rFonts w:ascii="Calibri" w:hAnsi="Calibri" w:cs="Arial"/>
                <w:sz w:val="22"/>
                <w:szCs w:val="22"/>
              </w:rPr>
              <w:t>FT</w:t>
            </w:r>
          </w:p>
        </w:tc>
        <w:tc>
          <w:tcPr>
            <w:tcW w:w="1137" w:type="dxa"/>
          </w:tcPr>
          <w:p w:rsidR="00B17209" w:rsidRPr="003B7DA2" w:rsidRDefault="00B17209" w:rsidP="00B17209">
            <w:pPr>
              <w:pStyle w:val="BodyText"/>
              <w:rPr>
                <w:rFonts w:ascii="Calibri" w:hAnsi="Calibri"/>
                <w:bCs/>
                <w:sz w:val="22"/>
                <w:szCs w:val="22"/>
              </w:rPr>
            </w:pPr>
            <w:r w:rsidRPr="003B7DA2">
              <w:rPr>
                <w:rFonts w:ascii="Calibri" w:hAnsi="Calibri" w:cs="Arial"/>
                <w:sz w:val="22"/>
                <w:szCs w:val="22"/>
              </w:rPr>
              <w:t>DE</w:t>
            </w:r>
          </w:p>
        </w:tc>
        <w:tc>
          <w:tcPr>
            <w:tcW w:w="918"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c>
          <w:tcPr>
            <w:tcW w:w="904" w:type="dxa"/>
          </w:tcPr>
          <w:p w:rsidR="00B17209" w:rsidRPr="003B7DA2" w:rsidRDefault="00B17209" w:rsidP="00B17209">
            <w:pPr>
              <w:pStyle w:val="BodyText"/>
              <w:rPr>
                <w:rFonts w:ascii="Calibri" w:hAnsi="Calibri"/>
                <w:b/>
                <w:bCs/>
                <w:sz w:val="22"/>
                <w:szCs w:val="22"/>
                <w:u w:val="single"/>
              </w:rPr>
            </w:pPr>
          </w:p>
        </w:tc>
        <w:tc>
          <w:tcPr>
            <w:tcW w:w="1025" w:type="dxa"/>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6 000</w:t>
            </w:r>
          </w:p>
        </w:tc>
        <w:tc>
          <w:tcPr>
            <w:tcW w:w="1127" w:type="dxa"/>
          </w:tcPr>
          <w:p w:rsidR="00B17209" w:rsidRPr="003B7DA2" w:rsidRDefault="00B17209" w:rsidP="00B17209">
            <w:pPr>
              <w:pStyle w:val="BodyText"/>
              <w:rPr>
                <w:rFonts w:ascii="Calibri" w:hAnsi="Calibri"/>
                <w:b/>
                <w:bCs/>
                <w:sz w:val="22"/>
                <w:szCs w:val="22"/>
                <w:u w:val="single"/>
              </w:rPr>
            </w:pPr>
            <w:r w:rsidRPr="003B7DA2">
              <w:rPr>
                <w:rFonts w:ascii="Calibri" w:hAnsi="Calibri" w:cs="Arial"/>
                <w:sz w:val="22"/>
                <w:szCs w:val="22"/>
              </w:rPr>
              <w:t>6 000</w:t>
            </w:r>
          </w:p>
        </w:tc>
        <w:tc>
          <w:tcPr>
            <w:tcW w:w="1033"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c>
          <w:tcPr>
            <w:tcW w:w="901" w:type="dxa"/>
          </w:tcPr>
          <w:p w:rsidR="00B17209" w:rsidRPr="003B7DA2" w:rsidRDefault="00B17209" w:rsidP="00B17209">
            <w:pPr>
              <w:pStyle w:val="BodyText"/>
              <w:rPr>
                <w:rFonts w:ascii="Calibri" w:hAnsi="Calibri"/>
                <w:bCs/>
                <w:sz w:val="22"/>
                <w:szCs w:val="22"/>
              </w:rPr>
            </w:pPr>
            <w:r w:rsidRPr="003B7DA2">
              <w:rPr>
                <w:rFonts w:ascii="Calibri" w:hAnsi="Calibri"/>
                <w:bCs/>
                <w:sz w:val="22"/>
                <w:szCs w:val="22"/>
              </w:rPr>
              <w:t>0</w:t>
            </w:r>
          </w:p>
        </w:tc>
      </w:tr>
    </w:tbl>
    <w:p w:rsidR="00B17209" w:rsidRPr="003B7DA2" w:rsidRDefault="00B17209" w:rsidP="00B17209">
      <w:pPr>
        <w:pStyle w:val="BodyText"/>
        <w:rPr>
          <w:rFonts w:ascii="Calibri" w:hAnsi="Calibri"/>
          <w:snapToGrid w:val="0"/>
          <w:sz w:val="22"/>
          <w:szCs w:val="22"/>
          <w:lang w:eastAsia="en-US"/>
        </w:rPr>
      </w:pPr>
    </w:p>
    <w:bookmarkEnd w:id="6"/>
    <w:bookmarkEnd w:id="7"/>
    <w:p w:rsidR="0092684C" w:rsidRPr="003B7DA2" w:rsidRDefault="0092684C">
      <w:pPr>
        <w:ind w:left="720"/>
        <w:jc w:val="both"/>
        <w:rPr>
          <w:rFonts w:ascii="Calibri" w:hAnsi="Calibri"/>
          <w:sz w:val="22"/>
          <w:szCs w:val="22"/>
        </w:rPr>
      </w:pPr>
    </w:p>
    <w:p w:rsidR="00B17209" w:rsidRPr="003B7DA2" w:rsidRDefault="00B17209">
      <w:pPr>
        <w:ind w:left="720"/>
        <w:jc w:val="both"/>
        <w:rPr>
          <w:rFonts w:ascii="Calibri" w:hAnsi="Calibri"/>
          <w:sz w:val="22"/>
          <w:szCs w:val="22"/>
        </w:rPr>
      </w:pPr>
    </w:p>
    <w:p w:rsidR="0092684C" w:rsidRPr="003B7DA2" w:rsidRDefault="0092684C">
      <w:pPr>
        <w:pStyle w:val="BodyText"/>
        <w:rPr>
          <w:rFonts w:ascii="Calibri" w:hAnsi="Calibri"/>
          <w:b/>
          <w:bCs/>
          <w:sz w:val="22"/>
          <w:szCs w:val="22"/>
        </w:rPr>
      </w:pPr>
      <w:bookmarkStart w:id="8" w:name="_Toc120612690"/>
      <w:bookmarkStart w:id="9" w:name="_Toc122850669"/>
      <w:r w:rsidRPr="003B7DA2">
        <w:rPr>
          <w:rFonts w:ascii="Calibri" w:hAnsi="Calibri"/>
          <w:b/>
          <w:bCs/>
          <w:sz w:val="22"/>
          <w:szCs w:val="22"/>
        </w:rPr>
        <w:t xml:space="preserve">b. Nem rezidensekkel kötött </w:t>
      </w:r>
      <w:proofErr w:type="spellStart"/>
      <w:r w:rsidRPr="003B7DA2">
        <w:rPr>
          <w:rFonts w:ascii="Calibri" w:hAnsi="Calibri"/>
          <w:b/>
          <w:bCs/>
          <w:sz w:val="22"/>
          <w:szCs w:val="22"/>
        </w:rPr>
        <w:t>forwardok</w:t>
      </w:r>
      <w:proofErr w:type="spellEnd"/>
      <w:r w:rsidRPr="003B7DA2">
        <w:rPr>
          <w:rFonts w:ascii="Calibri" w:hAnsi="Calibri"/>
          <w:b/>
          <w:bCs/>
          <w:sz w:val="22"/>
          <w:szCs w:val="22"/>
        </w:rPr>
        <w:t>:</w:t>
      </w:r>
      <w:bookmarkEnd w:id="8"/>
      <w:bookmarkEnd w:id="9"/>
    </w:p>
    <w:p w:rsidR="0092684C" w:rsidRPr="003B7DA2" w:rsidRDefault="0092684C">
      <w:pPr>
        <w:autoSpaceDE w:val="0"/>
        <w:autoSpaceDN w:val="0"/>
        <w:adjustRightInd w:val="0"/>
        <w:ind w:left="720"/>
        <w:jc w:val="both"/>
        <w:rPr>
          <w:rFonts w:ascii="Calibri" w:hAnsi="Calibri"/>
          <w:snapToGrid w:val="0"/>
          <w:sz w:val="22"/>
          <w:szCs w:val="22"/>
          <w:lang w:eastAsia="en-US"/>
        </w:rPr>
      </w:pPr>
    </w:p>
    <w:p w:rsidR="0092684C" w:rsidRPr="003B7DA2" w:rsidRDefault="0092684C">
      <w:pPr>
        <w:autoSpaceDE w:val="0"/>
        <w:autoSpaceDN w:val="0"/>
        <w:adjustRightInd w:val="0"/>
        <w:ind w:left="720"/>
        <w:jc w:val="both"/>
        <w:rPr>
          <w:rFonts w:ascii="Calibri" w:hAnsi="Calibri"/>
          <w:snapToGrid w:val="0"/>
          <w:sz w:val="22"/>
          <w:szCs w:val="22"/>
          <w:lang w:eastAsia="en-US"/>
        </w:rPr>
      </w:pPr>
      <w:r w:rsidRPr="003B7DA2">
        <w:rPr>
          <w:rFonts w:ascii="Calibri" w:hAnsi="Calibri"/>
          <w:snapToGrid w:val="0"/>
          <w:sz w:val="22"/>
          <w:szCs w:val="22"/>
          <w:lang w:eastAsia="en-US"/>
        </w:rPr>
        <w:t xml:space="preserve">Az ún. </w:t>
      </w:r>
      <w:proofErr w:type="spellStart"/>
      <w:r w:rsidRPr="003B7DA2">
        <w:rPr>
          <w:rFonts w:ascii="Calibri" w:hAnsi="Calibri"/>
          <w:snapToGrid w:val="0"/>
          <w:sz w:val="22"/>
          <w:szCs w:val="22"/>
          <w:lang w:eastAsia="en-US"/>
        </w:rPr>
        <w:t>outright</w:t>
      </w:r>
      <w:proofErr w:type="spellEnd"/>
      <w:r w:rsidRPr="003B7DA2">
        <w:rPr>
          <w:rFonts w:ascii="Calibri" w:hAnsi="Calibri"/>
          <w:snapToGrid w:val="0"/>
          <w:sz w:val="22"/>
          <w:szCs w:val="22"/>
          <w:lang w:eastAsia="en-US"/>
        </w:rPr>
        <w:t xml:space="preserve"> </w:t>
      </w:r>
      <w:proofErr w:type="spellStart"/>
      <w:r w:rsidRPr="003B7DA2">
        <w:rPr>
          <w:rFonts w:ascii="Calibri" w:hAnsi="Calibri"/>
          <w:b/>
          <w:snapToGrid w:val="0"/>
          <w:sz w:val="22"/>
          <w:szCs w:val="22"/>
          <w:lang w:eastAsia="en-US"/>
        </w:rPr>
        <w:t>forward</w:t>
      </w:r>
      <w:proofErr w:type="spellEnd"/>
      <w:r w:rsidRPr="003B7DA2">
        <w:rPr>
          <w:rFonts w:ascii="Calibri" w:hAnsi="Calibri"/>
          <w:b/>
          <w:snapToGrid w:val="0"/>
          <w:sz w:val="22"/>
          <w:szCs w:val="22"/>
          <w:lang w:eastAsia="en-US"/>
        </w:rPr>
        <w:t xml:space="preserve"> </w:t>
      </w:r>
      <w:r w:rsidRPr="003B7DA2">
        <w:rPr>
          <w:rFonts w:ascii="Calibri" w:hAnsi="Calibri"/>
          <w:snapToGrid w:val="0"/>
          <w:sz w:val="22"/>
          <w:szCs w:val="22"/>
          <w:lang w:eastAsia="en-US"/>
        </w:rPr>
        <w:t xml:space="preserve">ügyletek olyan határidős deviza konverziós megállapodások, amelyeket az OTC piacon (vagyis nem szervezett piacon, nem tőzsdén) kötöttek, tehát szerződéses feltételeik nem </w:t>
      </w:r>
      <w:proofErr w:type="spellStart"/>
      <w:r w:rsidRPr="003B7DA2">
        <w:rPr>
          <w:rFonts w:ascii="Calibri" w:hAnsi="Calibri"/>
          <w:snapToGrid w:val="0"/>
          <w:sz w:val="22"/>
          <w:szCs w:val="22"/>
          <w:lang w:eastAsia="en-US"/>
        </w:rPr>
        <w:t>sztandardizáltak</w:t>
      </w:r>
      <w:proofErr w:type="spellEnd"/>
      <w:r w:rsidRPr="003B7DA2">
        <w:rPr>
          <w:rFonts w:ascii="Calibri" w:hAnsi="Calibri"/>
          <w:snapToGrid w:val="0"/>
          <w:sz w:val="22"/>
          <w:szCs w:val="22"/>
          <w:lang w:eastAsia="en-US"/>
        </w:rPr>
        <w:t xml:space="preserve"> (szabványosítottak), ezért a szerződő felek konkrét igényei szerint köthetők. A </w:t>
      </w:r>
      <w:proofErr w:type="spellStart"/>
      <w:r w:rsidRPr="003B7DA2">
        <w:rPr>
          <w:rFonts w:ascii="Calibri" w:hAnsi="Calibri"/>
          <w:snapToGrid w:val="0"/>
          <w:sz w:val="22"/>
          <w:szCs w:val="22"/>
          <w:lang w:eastAsia="en-US"/>
        </w:rPr>
        <w:t>forward</w:t>
      </w:r>
      <w:proofErr w:type="spellEnd"/>
      <w:r w:rsidRPr="003B7DA2">
        <w:rPr>
          <w:rFonts w:ascii="Calibri" w:hAnsi="Calibri"/>
          <w:snapToGrid w:val="0"/>
          <w:sz w:val="22"/>
          <w:szCs w:val="22"/>
          <w:lang w:eastAsia="en-US"/>
        </w:rPr>
        <w:t xml:space="preserve"> ügyletek teljesítése akár a devizaösszegek </w:t>
      </w:r>
      <w:r w:rsidRPr="003B7DA2">
        <w:rPr>
          <w:rFonts w:ascii="Calibri" w:hAnsi="Calibri"/>
          <w:snapToGrid w:val="0"/>
          <w:sz w:val="22"/>
          <w:szCs w:val="22"/>
          <w:lang w:eastAsia="en-US"/>
        </w:rPr>
        <w:lastRenderedPageBreak/>
        <w:t xml:space="preserve">leszállításával (vagyis a teljes devizaösszegek cseréjével), akár az értékkülönbözet elszámolásával is történhet.  </w:t>
      </w:r>
    </w:p>
    <w:p w:rsidR="0092684C" w:rsidRPr="003B7DA2" w:rsidRDefault="0092684C">
      <w:pPr>
        <w:ind w:left="720"/>
        <w:jc w:val="both"/>
        <w:rPr>
          <w:rFonts w:ascii="Calibri" w:hAnsi="Calibri"/>
          <w:snapToGrid w:val="0"/>
          <w:sz w:val="22"/>
          <w:szCs w:val="22"/>
          <w:lang w:eastAsia="en-US"/>
        </w:rPr>
      </w:pPr>
    </w:p>
    <w:p w:rsidR="0092684C" w:rsidRPr="003B7DA2" w:rsidRDefault="0092684C">
      <w:pPr>
        <w:ind w:left="720"/>
        <w:jc w:val="both"/>
        <w:rPr>
          <w:rFonts w:ascii="Calibri" w:hAnsi="Calibri"/>
          <w:b/>
          <w:snapToGrid w:val="0"/>
          <w:sz w:val="22"/>
          <w:szCs w:val="22"/>
          <w:lang w:eastAsia="en-US"/>
        </w:rPr>
      </w:pPr>
    </w:p>
    <w:p w:rsidR="0092684C" w:rsidRPr="003B7DA2" w:rsidRDefault="0092684C">
      <w:pPr>
        <w:ind w:left="720"/>
        <w:jc w:val="both"/>
        <w:rPr>
          <w:rFonts w:ascii="Calibri" w:hAnsi="Calibri"/>
          <w:b/>
          <w:snapToGrid w:val="0"/>
          <w:sz w:val="22"/>
          <w:szCs w:val="22"/>
          <w:lang w:eastAsia="en-US"/>
        </w:rPr>
      </w:pPr>
      <w:r w:rsidRPr="003B7DA2">
        <w:rPr>
          <w:rFonts w:ascii="Calibri" w:hAnsi="Calibri"/>
          <w:b/>
          <w:snapToGrid w:val="0"/>
          <w:sz w:val="22"/>
          <w:szCs w:val="22"/>
          <w:lang w:eastAsia="en-US"/>
        </w:rPr>
        <w:t>Követelések és tartozások, időszak eleji nyitó és időszak végi záró pozíció:</w:t>
      </w:r>
    </w:p>
    <w:p w:rsidR="0092684C" w:rsidRPr="003B7DA2" w:rsidRDefault="0092684C">
      <w:pPr>
        <w:ind w:left="1440"/>
        <w:jc w:val="both"/>
        <w:rPr>
          <w:rFonts w:ascii="Calibri" w:hAnsi="Calibri"/>
          <w:snapToGrid w:val="0"/>
          <w:sz w:val="22"/>
          <w:szCs w:val="22"/>
          <w:lang w:eastAsia="en-US"/>
        </w:rPr>
      </w:pPr>
    </w:p>
    <w:p w:rsidR="0092684C" w:rsidRPr="003B7DA2" w:rsidRDefault="0092684C">
      <w:pPr>
        <w:ind w:left="720"/>
        <w:jc w:val="both"/>
        <w:rPr>
          <w:rFonts w:ascii="Calibri" w:hAnsi="Calibri"/>
          <w:snapToGrid w:val="0"/>
          <w:sz w:val="22"/>
          <w:szCs w:val="22"/>
          <w:lang w:eastAsia="en-US"/>
        </w:rPr>
      </w:pPr>
      <w:r w:rsidRPr="003B7DA2">
        <w:rPr>
          <w:rFonts w:ascii="Calibri" w:hAnsi="Calibri"/>
          <w:snapToGrid w:val="0"/>
          <w:sz w:val="22"/>
          <w:szCs w:val="22"/>
          <w:lang w:eastAsia="en-US"/>
        </w:rPr>
        <w:t>A határidős ügyletek kezdetén egyenlő piaci értékű kockázati kitettségeket cserélnek el, így kötésekor az ügylet piaci értéke nulla. Ezek után az ügylet piaci értéke az alapul szolgáló eszközök, jelen esetben a deviza piaci értéke (határidős devizaárfolyama) szerint változik. Így</w:t>
      </w:r>
      <w:r w:rsidRPr="003B7DA2">
        <w:rPr>
          <w:rFonts w:ascii="Calibri" w:hAnsi="Calibri" w:cs="Arial"/>
          <w:sz w:val="22"/>
          <w:szCs w:val="22"/>
        </w:rPr>
        <w:t xml:space="preserve"> a nyitott ügyletek piaci (vagy helyettesítési) értéke pozitív, nulla és negatív értéket is felvehet, a mögöttes árak változásától függően</w:t>
      </w:r>
      <w:r w:rsidRPr="003B7DA2">
        <w:rPr>
          <w:rFonts w:ascii="Calibri" w:hAnsi="Calibri"/>
          <w:snapToGrid w:val="0"/>
          <w:sz w:val="22"/>
          <w:szCs w:val="22"/>
          <w:lang w:eastAsia="en-US"/>
        </w:rPr>
        <w:t xml:space="preserve">. </w:t>
      </w:r>
    </w:p>
    <w:p w:rsidR="0092684C" w:rsidRPr="003B7DA2" w:rsidRDefault="0092684C">
      <w:pPr>
        <w:ind w:left="3240"/>
        <w:jc w:val="both"/>
        <w:rPr>
          <w:rFonts w:ascii="Calibri" w:hAnsi="Calibri"/>
          <w:snapToGrid w:val="0"/>
          <w:sz w:val="22"/>
          <w:szCs w:val="22"/>
          <w:lang w:eastAsia="en-US"/>
        </w:rPr>
      </w:pPr>
    </w:p>
    <w:p w:rsidR="0092684C" w:rsidRPr="003B7DA2" w:rsidRDefault="0092684C">
      <w:pPr>
        <w:ind w:left="720"/>
        <w:jc w:val="both"/>
        <w:rPr>
          <w:rFonts w:ascii="Calibri" w:hAnsi="Calibri"/>
          <w:snapToGrid w:val="0"/>
          <w:sz w:val="22"/>
          <w:szCs w:val="22"/>
          <w:lang w:eastAsia="en-US"/>
        </w:rPr>
      </w:pPr>
      <w:r w:rsidRPr="003B7DA2">
        <w:rPr>
          <w:rFonts w:ascii="Calibri" w:hAnsi="Calibri"/>
          <w:snapToGrid w:val="0"/>
          <w:sz w:val="22"/>
          <w:szCs w:val="22"/>
          <w:lang w:eastAsia="en-US"/>
        </w:rPr>
        <w:t>A tőzsdén kívüli (nem szabványosított) határidős nyitott (</w:t>
      </w:r>
      <w:proofErr w:type="spellStart"/>
      <w:r w:rsidRPr="003B7DA2">
        <w:rPr>
          <w:rFonts w:ascii="Calibri" w:hAnsi="Calibri"/>
          <w:snapToGrid w:val="0"/>
          <w:sz w:val="22"/>
          <w:szCs w:val="22"/>
          <w:lang w:eastAsia="en-US"/>
        </w:rPr>
        <w:t>forward</w:t>
      </w:r>
      <w:proofErr w:type="spellEnd"/>
      <w:r w:rsidRPr="003B7DA2">
        <w:rPr>
          <w:rFonts w:ascii="Calibri" w:hAnsi="Calibri"/>
          <w:snapToGrid w:val="0"/>
          <w:sz w:val="22"/>
          <w:szCs w:val="22"/>
          <w:lang w:eastAsia="en-US"/>
        </w:rPr>
        <w:t>) ügyletek bruttó piaci értékét a mögöttes termék (jelen táblában a deviza, vagy valuta) jegyzett határidős árának figyelembe vételével kell meghatározni és országonként összesítve a kiértékelés eredményétől függően a követelés, vagy tartozás táblában jelenteni.</w:t>
      </w:r>
    </w:p>
    <w:p w:rsidR="0092684C" w:rsidRPr="003B7DA2" w:rsidRDefault="0092684C">
      <w:pPr>
        <w:jc w:val="both"/>
        <w:rPr>
          <w:rFonts w:ascii="Calibri" w:hAnsi="Calibri"/>
          <w:b/>
          <w:snapToGrid w:val="0"/>
          <w:sz w:val="22"/>
          <w:szCs w:val="22"/>
          <w:lang w:eastAsia="en-US"/>
        </w:rPr>
      </w:pPr>
    </w:p>
    <w:p w:rsidR="0092684C" w:rsidRPr="003B7DA2" w:rsidRDefault="0092684C">
      <w:pPr>
        <w:ind w:left="720"/>
        <w:jc w:val="both"/>
        <w:rPr>
          <w:rFonts w:ascii="Calibri" w:hAnsi="Calibri"/>
          <w:b/>
          <w:snapToGrid w:val="0"/>
          <w:sz w:val="22"/>
          <w:szCs w:val="22"/>
          <w:lang w:eastAsia="en-US"/>
        </w:rPr>
      </w:pPr>
      <w:r w:rsidRPr="003B7DA2">
        <w:rPr>
          <w:rFonts w:ascii="Calibri" w:hAnsi="Calibri"/>
          <w:b/>
          <w:snapToGrid w:val="0"/>
          <w:sz w:val="22"/>
          <w:szCs w:val="22"/>
          <w:lang w:eastAsia="en-US"/>
        </w:rPr>
        <w:t>Tranzakciók:</w:t>
      </w:r>
    </w:p>
    <w:p w:rsidR="0092684C" w:rsidRPr="003B7DA2" w:rsidRDefault="0092684C">
      <w:pPr>
        <w:ind w:left="3240"/>
        <w:jc w:val="both"/>
        <w:rPr>
          <w:rFonts w:ascii="Calibri" w:hAnsi="Calibri"/>
          <w:snapToGrid w:val="0"/>
          <w:sz w:val="22"/>
          <w:szCs w:val="22"/>
          <w:lang w:eastAsia="en-US"/>
        </w:rPr>
      </w:pPr>
    </w:p>
    <w:p w:rsidR="0092684C" w:rsidRPr="003B7DA2" w:rsidRDefault="0092684C">
      <w:pPr>
        <w:ind w:left="720"/>
        <w:jc w:val="both"/>
        <w:rPr>
          <w:rFonts w:ascii="Calibri" w:hAnsi="Calibri"/>
          <w:snapToGrid w:val="0"/>
          <w:sz w:val="22"/>
          <w:szCs w:val="22"/>
          <w:lang w:eastAsia="en-US"/>
        </w:rPr>
      </w:pPr>
      <w:proofErr w:type="spellStart"/>
      <w:r w:rsidRPr="003B7DA2">
        <w:rPr>
          <w:rFonts w:ascii="Calibri" w:hAnsi="Calibri"/>
          <w:snapToGrid w:val="0"/>
          <w:sz w:val="22"/>
          <w:szCs w:val="22"/>
          <w:lang w:eastAsia="en-US"/>
        </w:rPr>
        <w:t>Forward</w:t>
      </w:r>
      <w:proofErr w:type="spellEnd"/>
      <w:r w:rsidRPr="003B7DA2">
        <w:rPr>
          <w:rFonts w:ascii="Calibri" w:hAnsi="Calibri"/>
          <w:snapToGrid w:val="0"/>
          <w:sz w:val="22"/>
          <w:szCs w:val="22"/>
          <w:lang w:eastAsia="en-US"/>
        </w:rPr>
        <w:t xml:space="preserve"> megállapodás esetén az ügylet lezárásakor a szerződő felek között teljesített bruttó, vagy (elszámolásos teljesítés, lezárás esetén) nettó fizetéseket kell itt országonként összesítve, forintra átszámítva jelenteni. Értékkülönbözet elszámolása alapján történő fizetés esetén a fizetés iránya mutatja, hogy az adatszolgáltatónak követelése, vagy tartozása keletkezett-e az ügyletből, és ennek alapján kell a tranzakciót a követelés, vagy tartozás táblába sorolni, míg bruttó teljesítéskor (az ügylet zárásakor) az ügylet eredménye szerinti táblában kell a tranzakció mindkét lábát (bevétel és kiadás) szerepeltetni (tehát ki kell számítani a bejövő és kimenő összeg különbözetét). </w:t>
      </w:r>
    </w:p>
    <w:p w:rsidR="0092684C" w:rsidRPr="003B7DA2" w:rsidRDefault="0092684C">
      <w:pPr>
        <w:rPr>
          <w:rFonts w:ascii="Calibri" w:hAnsi="Calibri"/>
          <w:sz w:val="22"/>
          <w:szCs w:val="22"/>
        </w:rPr>
      </w:pPr>
    </w:p>
    <w:p w:rsidR="0092684C" w:rsidRPr="003B7DA2" w:rsidRDefault="0092684C">
      <w:pPr>
        <w:rPr>
          <w:rFonts w:ascii="Calibri" w:hAnsi="Calibri"/>
          <w:sz w:val="22"/>
          <w:szCs w:val="22"/>
        </w:rPr>
      </w:pPr>
    </w:p>
    <w:p w:rsidR="0092684C" w:rsidRPr="003B7DA2" w:rsidRDefault="0092684C">
      <w:pPr>
        <w:rPr>
          <w:rFonts w:ascii="Calibri" w:hAnsi="Calibri"/>
          <w:b/>
          <w:sz w:val="22"/>
          <w:szCs w:val="22"/>
          <w:u w:val="single"/>
        </w:rPr>
      </w:pPr>
      <w:r w:rsidRPr="003B7DA2">
        <w:rPr>
          <w:rFonts w:ascii="Calibri" w:hAnsi="Calibri"/>
          <w:b/>
          <w:sz w:val="22"/>
          <w:szCs w:val="22"/>
          <w:u w:val="single"/>
        </w:rPr>
        <w:t xml:space="preserve">Példa leszállításos </w:t>
      </w:r>
      <w:proofErr w:type="spellStart"/>
      <w:r w:rsidRPr="003B7DA2">
        <w:rPr>
          <w:rFonts w:ascii="Calibri" w:hAnsi="Calibri"/>
          <w:b/>
          <w:sz w:val="22"/>
          <w:szCs w:val="22"/>
          <w:u w:val="single"/>
        </w:rPr>
        <w:t>forward</w:t>
      </w:r>
      <w:proofErr w:type="spellEnd"/>
      <w:r w:rsidRPr="003B7DA2">
        <w:rPr>
          <w:rFonts w:ascii="Calibri" w:hAnsi="Calibri"/>
          <w:b/>
          <w:sz w:val="22"/>
          <w:szCs w:val="22"/>
          <w:u w:val="single"/>
        </w:rPr>
        <w:t xml:space="preserve"> ügyletre:</w:t>
      </w:r>
    </w:p>
    <w:p w:rsidR="0092684C" w:rsidRPr="003B7DA2" w:rsidRDefault="0092684C">
      <w:pPr>
        <w:pStyle w:val="BodyText"/>
        <w:rPr>
          <w:rFonts w:ascii="Calibri" w:hAnsi="Calibri"/>
          <w:bCs/>
          <w:sz w:val="22"/>
          <w:szCs w:val="22"/>
        </w:rPr>
      </w:pPr>
      <w:r w:rsidRPr="003B7DA2">
        <w:rPr>
          <w:rFonts w:ascii="Calibri" w:hAnsi="Calibri"/>
          <w:bCs/>
          <w:sz w:val="22"/>
          <w:szCs w:val="22"/>
        </w:rPr>
        <w:t xml:space="preserve">Itt egy db. </w:t>
      </w:r>
      <w:proofErr w:type="spellStart"/>
      <w:r w:rsidRPr="003B7DA2">
        <w:rPr>
          <w:rFonts w:ascii="Calibri" w:hAnsi="Calibri"/>
          <w:bCs/>
          <w:sz w:val="22"/>
          <w:szCs w:val="22"/>
        </w:rPr>
        <w:t>forward</w:t>
      </w:r>
      <w:proofErr w:type="spellEnd"/>
      <w:r w:rsidRPr="003B7DA2">
        <w:rPr>
          <w:rFonts w:ascii="Calibri" w:hAnsi="Calibri"/>
          <w:bCs/>
          <w:sz w:val="22"/>
          <w:szCs w:val="22"/>
        </w:rPr>
        <w:t xml:space="preserve"> ügylet jelentéséről írunk, több ügylet esetében értelemszerűen kell az adatokat összesíteni, országonként. </w:t>
      </w:r>
    </w:p>
    <w:p w:rsidR="00260413" w:rsidRPr="003B7DA2" w:rsidRDefault="00260413" w:rsidP="00260413">
      <w:pPr>
        <w:pStyle w:val="BodyText"/>
        <w:rPr>
          <w:rFonts w:ascii="Calibri" w:hAnsi="Calibri"/>
          <w:bCs/>
          <w:sz w:val="22"/>
          <w:szCs w:val="22"/>
        </w:rPr>
      </w:pPr>
      <w:r w:rsidRPr="003B7DA2">
        <w:rPr>
          <w:rFonts w:ascii="Calibri" w:hAnsi="Calibri"/>
          <w:bCs/>
          <w:sz w:val="22"/>
          <w:szCs w:val="22"/>
        </w:rPr>
        <w:t xml:space="preserve">A rezidens adatszolgáltató cég január 10-én kötött egy megállapodást német partnerével, mely szerint: 10 ezer EUR-t fog venni 250-es Ft árfolyamon, vagyis 2.500 ezer forintért, április 10-én. </w:t>
      </w:r>
    </w:p>
    <w:p w:rsidR="00260413" w:rsidRPr="003B7DA2" w:rsidRDefault="00260413" w:rsidP="00260413">
      <w:pPr>
        <w:pStyle w:val="BodyText"/>
        <w:rPr>
          <w:rFonts w:ascii="Calibri" w:hAnsi="Calibri"/>
          <w:bCs/>
          <w:sz w:val="22"/>
          <w:szCs w:val="22"/>
        </w:rPr>
      </w:pPr>
      <w:r w:rsidRPr="003B7DA2">
        <w:rPr>
          <w:rFonts w:ascii="Calibri" w:hAnsi="Calibri"/>
          <w:bCs/>
          <w:sz w:val="22"/>
          <w:szCs w:val="22"/>
        </w:rPr>
        <w:t>A határidős EUR árfolyamok változását figyelembe véve a cég minden hónap végén kiértékelte pozícióját.</w:t>
      </w:r>
    </w:p>
    <w:p w:rsidR="00260413" w:rsidRPr="003B7DA2" w:rsidRDefault="00260413" w:rsidP="00260413">
      <w:pPr>
        <w:pStyle w:val="BodyText"/>
        <w:rPr>
          <w:rFonts w:ascii="Calibri" w:hAnsi="Calibri"/>
          <w:bCs/>
          <w:sz w:val="22"/>
          <w:szCs w:val="22"/>
        </w:rPr>
      </w:pPr>
      <w:r w:rsidRPr="003B7DA2">
        <w:rPr>
          <w:rFonts w:ascii="Calibri" w:hAnsi="Calibri"/>
          <w:bCs/>
          <w:sz w:val="22"/>
          <w:szCs w:val="22"/>
        </w:rPr>
        <w:t>Január végén pozíciója 0 volt.</w:t>
      </w:r>
    </w:p>
    <w:p w:rsidR="00260413" w:rsidRPr="003B7DA2" w:rsidRDefault="00260413" w:rsidP="00260413">
      <w:pPr>
        <w:pStyle w:val="BodyText"/>
        <w:rPr>
          <w:rFonts w:ascii="Calibri" w:hAnsi="Calibri"/>
          <w:bCs/>
          <w:sz w:val="22"/>
          <w:szCs w:val="22"/>
        </w:rPr>
      </w:pPr>
      <w:r w:rsidRPr="003B7DA2">
        <w:rPr>
          <w:rFonts w:ascii="Calibri" w:hAnsi="Calibri"/>
          <w:bCs/>
          <w:sz w:val="22"/>
          <w:szCs w:val="22"/>
        </w:rPr>
        <w:t>Ebben a kivételes esetben, mivel a nyitó pozíció 0 (az előző tárgyidőszak végén még nem volt meg ez az ügylet), a záró pozíció is 0, ez viszont már a kiértékelés szerint, tranzakcióra a hónap folyamán nem került sor, fizetés csak áprilisban lesz, ezért még átértékelődést sem kell jelenteni (</w:t>
      </w:r>
      <w:proofErr w:type="gramStart"/>
      <w:r w:rsidRPr="003B7DA2">
        <w:rPr>
          <w:rFonts w:ascii="Calibri" w:hAnsi="Calibri"/>
          <w:bCs/>
          <w:sz w:val="22"/>
          <w:szCs w:val="22"/>
        </w:rPr>
        <w:t>hiszen</w:t>
      </w:r>
      <w:proofErr w:type="gramEnd"/>
      <w:r w:rsidRPr="003B7DA2">
        <w:rPr>
          <w:rFonts w:ascii="Calibri" w:hAnsi="Calibri"/>
          <w:bCs/>
          <w:sz w:val="22"/>
          <w:szCs w:val="22"/>
        </w:rPr>
        <w:t xml:space="preserve"> ha voltak is átértékelődések a tárgyidőszak folyamán, azok kiegyenlíthették egymást, ezért 0 a tárgyidőszak végi pozíció). Ez az ügylet tehát nem jelenik meg a táblákban. </w:t>
      </w:r>
    </w:p>
    <w:p w:rsidR="00260413" w:rsidRPr="003B7DA2" w:rsidRDefault="00260413" w:rsidP="00260413">
      <w:pPr>
        <w:pStyle w:val="BodyText"/>
        <w:rPr>
          <w:rFonts w:ascii="Calibri" w:hAnsi="Calibri"/>
          <w:bCs/>
          <w:sz w:val="22"/>
          <w:szCs w:val="22"/>
        </w:rPr>
      </w:pPr>
    </w:p>
    <w:p w:rsidR="00260413" w:rsidRPr="003B7DA2" w:rsidRDefault="00260413" w:rsidP="00260413">
      <w:pPr>
        <w:pStyle w:val="BodyText"/>
        <w:rPr>
          <w:rFonts w:ascii="Calibri" w:hAnsi="Calibri"/>
          <w:bCs/>
          <w:sz w:val="22"/>
          <w:szCs w:val="22"/>
        </w:rPr>
      </w:pPr>
      <w:r w:rsidRPr="003B7DA2">
        <w:rPr>
          <w:rFonts w:ascii="Calibri" w:hAnsi="Calibri"/>
          <w:bCs/>
          <w:sz w:val="22"/>
          <w:szCs w:val="22"/>
        </w:rPr>
        <w:t xml:space="preserve">Február végén pozitív piaci értékű volt ez az ügylete, a pozitív piaci érték 20 ezer Ft volt, ezt záró állományként a követel táblában kell jelenteni (nyitó állomány 0, tranzakció továbbra sem volt, a különbözet tehát átértékelés, méghozzá pozitív, ez okozta a pozitív záró értéket a 0-hoz képest). </w:t>
      </w:r>
    </w:p>
    <w:p w:rsidR="00260413" w:rsidRPr="003B7DA2" w:rsidRDefault="00260413" w:rsidP="00260413">
      <w:pPr>
        <w:pStyle w:val="BodyText"/>
        <w:rPr>
          <w:rFonts w:ascii="Calibri" w:hAnsi="Calibri"/>
          <w:bCs/>
          <w:sz w:val="22"/>
          <w:szCs w:val="22"/>
        </w:rPr>
      </w:pPr>
    </w:p>
    <w:p w:rsidR="00260413" w:rsidRPr="003B7DA2" w:rsidRDefault="00260413" w:rsidP="00260413">
      <w:pPr>
        <w:pStyle w:val="BodyText"/>
        <w:rPr>
          <w:rFonts w:ascii="Calibri" w:hAnsi="Calibri"/>
          <w:bCs/>
          <w:sz w:val="22"/>
          <w:szCs w:val="22"/>
        </w:rPr>
      </w:pPr>
    </w:p>
    <w:p w:rsidR="003B7DA2" w:rsidRPr="003B7DA2" w:rsidRDefault="003B7DA2" w:rsidP="00260413">
      <w:pPr>
        <w:pStyle w:val="BodyText"/>
        <w:rPr>
          <w:rFonts w:ascii="Calibri" w:hAnsi="Calibri"/>
          <w:bCs/>
          <w:sz w:val="22"/>
          <w:szCs w:val="22"/>
        </w:rPr>
      </w:pPr>
    </w:p>
    <w:p w:rsidR="00260413" w:rsidRPr="003B7DA2" w:rsidRDefault="00260413" w:rsidP="00260413">
      <w:pPr>
        <w:pStyle w:val="BodyText"/>
        <w:rPr>
          <w:rFonts w:ascii="Calibri" w:hAnsi="Calibri"/>
          <w:b/>
          <w:bCs/>
          <w:sz w:val="22"/>
          <w:szCs w:val="22"/>
          <w:u w:val="single"/>
        </w:rPr>
      </w:pPr>
      <w:r w:rsidRPr="003B7DA2">
        <w:rPr>
          <w:rFonts w:ascii="Calibri" w:hAnsi="Calibri"/>
          <w:b/>
          <w:bCs/>
          <w:sz w:val="22"/>
          <w:szCs w:val="22"/>
          <w:u w:val="single"/>
        </w:rPr>
        <w:lastRenderedPageBreak/>
        <w:t>DERK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1281"/>
        <w:gridCol w:w="918"/>
        <w:gridCol w:w="927"/>
        <w:gridCol w:w="1131"/>
        <w:gridCol w:w="1242"/>
        <w:gridCol w:w="1156"/>
        <w:gridCol w:w="901"/>
      </w:tblGrid>
      <w:tr w:rsidR="00260413" w:rsidRPr="003B7DA2" w:rsidTr="00D45209">
        <w:tc>
          <w:tcPr>
            <w:tcW w:w="913" w:type="dxa"/>
            <w:vMerge w:val="restart"/>
          </w:tcPr>
          <w:p w:rsidR="00260413" w:rsidRPr="003B7DA2" w:rsidRDefault="00260413" w:rsidP="00260413">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260413" w:rsidRPr="003B7DA2" w:rsidRDefault="00260413" w:rsidP="00260413">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918" w:type="dxa"/>
            <w:vMerge w:val="restart"/>
          </w:tcPr>
          <w:p w:rsidR="00260413" w:rsidRPr="003B7DA2" w:rsidRDefault="00260413" w:rsidP="00260413">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1925" w:type="dxa"/>
            <w:gridSpan w:val="2"/>
          </w:tcPr>
          <w:p w:rsidR="00260413" w:rsidRPr="003B7DA2" w:rsidRDefault="00260413"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127" w:type="dxa"/>
            <w:vMerge w:val="restart"/>
          </w:tcPr>
          <w:p w:rsidR="00260413" w:rsidRPr="003B7DA2" w:rsidRDefault="00260413" w:rsidP="00D45209">
            <w:pPr>
              <w:jc w:val="center"/>
              <w:rPr>
                <w:rFonts w:ascii="Calibri" w:hAnsi="Calibri" w:cs="Arial"/>
                <w:sz w:val="22"/>
                <w:szCs w:val="22"/>
              </w:rPr>
            </w:pPr>
            <w:r w:rsidRPr="003B7DA2">
              <w:rPr>
                <w:rFonts w:ascii="Calibri" w:hAnsi="Calibri" w:cs="Arial"/>
                <w:sz w:val="22"/>
                <w:szCs w:val="22"/>
              </w:rPr>
              <w:t>Átértékelés</w:t>
            </w:r>
          </w:p>
        </w:tc>
        <w:tc>
          <w:tcPr>
            <w:tcW w:w="1033" w:type="dxa"/>
            <w:vMerge w:val="restart"/>
            <w:vAlign w:val="center"/>
          </w:tcPr>
          <w:p w:rsidR="00260413" w:rsidRPr="003B7DA2" w:rsidRDefault="00260413" w:rsidP="00D45209">
            <w:pPr>
              <w:jc w:val="center"/>
              <w:rPr>
                <w:rFonts w:ascii="Calibri" w:hAnsi="Calibri" w:cs="Arial"/>
                <w:sz w:val="22"/>
                <w:szCs w:val="22"/>
              </w:rPr>
            </w:pPr>
            <w:r w:rsidRPr="003B7DA2">
              <w:rPr>
                <w:rFonts w:ascii="Calibri" w:hAnsi="Calibri" w:cs="Arial"/>
                <w:sz w:val="22"/>
                <w:szCs w:val="22"/>
              </w:rPr>
              <w:t>Egyéb változások</w:t>
            </w:r>
          </w:p>
        </w:tc>
        <w:tc>
          <w:tcPr>
            <w:tcW w:w="901" w:type="dxa"/>
            <w:vMerge w:val="restart"/>
            <w:vAlign w:val="center"/>
          </w:tcPr>
          <w:p w:rsidR="00260413" w:rsidRPr="003B7DA2" w:rsidRDefault="00260413"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260413" w:rsidRPr="003B7DA2" w:rsidTr="00D45209">
        <w:tc>
          <w:tcPr>
            <w:tcW w:w="913" w:type="dxa"/>
            <w:vMerge/>
          </w:tcPr>
          <w:p w:rsidR="00260413" w:rsidRPr="003B7DA2" w:rsidRDefault="00260413" w:rsidP="00260413">
            <w:pPr>
              <w:pStyle w:val="BodyText"/>
              <w:rPr>
                <w:rFonts w:ascii="Calibri" w:hAnsi="Calibri"/>
                <w:b/>
                <w:bCs/>
                <w:sz w:val="22"/>
                <w:szCs w:val="22"/>
                <w:u w:val="single"/>
              </w:rPr>
            </w:pPr>
          </w:p>
        </w:tc>
        <w:tc>
          <w:tcPr>
            <w:tcW w:w="1137" w:type="dxa"/>
            <w:vMerge/>
          </w:tcPr>
          <w:p w:rsidR="00260413" w:rsidRPr="003B7DA2" w:rsidRDefault="00260413" w:rsidP="00260413">
            <w:pPr>
              <w:pStyle w:val="BodyText"/>
              <w:rPr>
                <w:rFonts w:ascii="Calibri" w:hAnsi="Calibri"/>
                <w:b/>
                <w:bCs/>
                <w:sz w:val="22"/>
                <w:szCs w:val="22"/>
                <w:u w:val="single"/>
              </w:rPr>
            </w:pPr>
          </w:p>
        </w:tc>
        <w:tc>
          <w:tcPr>
            <w:tcW w:w="918" w:type="dxa"/>
            <w:vMerge/>
          </w:tcPr>
          <w:p w:rsidR="00260413" w:rsidRPr="003B7DA2" w:rsidRDefault="00260413" w:rsidP="00260413">
            <w:pPr>
              <w:pStyle w:val="BodyText"/>
              <w:rPr>
                <w:rFonts w:ascii="Calibri" w:hAnsi="Calibri"/>
                <w:b/>
                <w:bCs/>
                <w:sz w:val="22"/>
                <w:szCs w:val="22"/>
                <w:u w:val="single"/>
              </w:rPr>
            </w:pPr>
          </w:p>
        </w:tc>
        <w:tc>
          <w:tcPr>
            <w:tcW w:w="900" w:type="dxa"/>
          </w:tcPr>
          <w:p w:rsidR="00260413" w:rsidRPr="003B7DA2" w:rsidRDefault="00260413" w:rsidP="00D45209">
            <w:pPr>
              <w:pStyle w:val="BodyText"/>
              <w:ind w:right="-224"/>
              <w:rPr>
                <w:rFonts w:ascii="Calibri" w:hAnsi="Calibri" w:cs="Arial"/>
                <w:sz w:val="22"/>
                <w:szCs w:val="22"/>
              </w:rPr>
            </w:pPr>
            <w:r w:rsidRPr="003B7DA2">
              <w:rPr>
                <w:rFonts w:ascii="Calibri" w:hAnsi="Calibri" w:cs="Arial"/>
                <w:sz w:val="22"/>
                <w:szCs w:val="22"/>
              </w:rPr>
              <w:t>Állomány t növelő</w:t>
            </w:r>
          </w:p>
          <w:p w:rsidR="00260413" w:rsidRPr="003B7DA2" w:rsidRDefault="00260413" w:rsidP="00260413">
            <w:pPr>
              <w:pStyle w:val="BodyText"/>
              <w:rPr>
                <w:rFonts w:ascii="Calibri" w:hAnsi="Calibri" w:cs="Arial"/>
                <w:sz w:val="22"/>
                <w:szCs w:val="22"/>
              </w:rPr>
            </w:pPr>
            <w:r w:rsidRPr="003B7DA2">
              <w:rPr>
                <w:rFonts w:ascii="Calibri" w:hAnsi="Calibri" w:cs="Arial"/>
                <w:sz w:val="22"/>
                <w:szCs w:val="22"/>
              </w:rPr>
              <w:t>(Kiadás)</w:t>
            </w:r>
          </w:p>
        </w:tc>
        <w:tc>
          <w:tcPr>
            <w:tcW w:w="1025" w:type="dxa"/>
          </w:tcPr>
          <w:p w:rsidR="00260413" w:rsidRPr="003B7DA2" w:rsidRDefault="00260413" w:rsidP="00260413">
            <w:pPr>
              <w:pStyle w:val="BodyText"/>
              <w:rPr>
                <w:rFonts w:ascii="Calibri" w:hAnsi="Calibri" w:cs="Arial"/>
                <w:sz w:val="22"/>
                <w:szCs w:val="22"/>
              </w:rPr>
            </w:pPr>
            <w:r w:rsidRPr="003B7DA2">
              <w:rPr>
                <w:rFonts w:ascii="Calibri" w:hAnsi="Calibri" w:cs="Arial"/>
                <w:sz w:val="22"/>
                <w:szCs w:val="22"/>
              </w:rPr>
              <w:t>Állományt csökkentő</w:t>
            </w:r>
          </w:p>
          <w:p w:rsidR="00260413" w:rsidRPr="003B7DA2" w:rsidRDefault="00260413" w:rsidP="00260413">
            <w:pPr>
              <w:pStyle w:val="BodyText"/>
              <w:rPr>
                <w:rFonts w:ascii="Calibri" w:hAnsi="Calibri" w:cs="Arial"/>
                <w:sz w:val="22"/>
                <w:szCs w:val="22"/>
              </w:rPr>
            </w:pPr>
            <w:r w:rsidRPr="003B7DA2">
              <w:rPr>
                <w:rFonts w:ascii="Calibri" w:hAnsi="Calibri" w:cs="Arial"/>
                <w:sz w:val="22"/>
                <w:szCs w:val="22"/>
              </w:rPr>
              <w:t>(Bevétel)</w:t>
            </w:r>
          </w:p>
        </w:tc>
        <w:tc>
          <w:tcPr>
            <w:tcW w:w="1127" w:type="dxa"/>
            <w:vMerge/>
          </w:tcPr>
          <w:p w:rsidR="00260413" w:rsidRPr="003B7DA2" w:rsidRDefault="00260413" w:rsidP="00260413">
            <w:pPr>
              <w:pStyle w:val="BodyText"/>
              <w:rPr>
                <w:rFonts w:ascii="Calibri" w:hAnsi="Calibri" w:cs="Arial"/>
                <w:sz w:val="22"/>
                <w:szCs w:val="22"/>
              </w:rPr>
            </w:pPr>
          </w:p>
        </w:tc>
        <w:tc>
          <w:tcPr>
            <w:tcW w:w="1033" w:type="dxa"/>
            <w:vMerge/>
          </w:tcPr>
          <w:p w:rsidR="00260413" w:rsidRPr="003B7DA2" w:rsidRDefault="00260413" w:rsidP="00260413">
            <w:pPr>
              <w:pStyle w:val="BodyText"/>
              <w:rPr>
                <w:rFonts w:ascii="Calibri" w:hAnsi="Calibri" w:cs="Arial"/>
                <w:sz w:val="22"/>
                <w:szCs w:val="22"/>
              </w:rPr>
            </w:pPr>
          </w:p>
        </w:tc>
        <w:tc>
          <w:tcPr>
            <w:tcW w:w="901" w:type="dxa"/>
            <w:vMerge/>
          </w:tcPr>
          <w:p w:rsidR="00260413" w:rsidRPr="003B7DA2" w:rsidRDefault="00260413" w:rsidP="00260413">
            <w:pPr>
              <w:pStyle w:val="BodyText"/>
              <w:rPr>
                <w:rFonts w:ascii="Calibri" w:hAnsi="Calibri" w:cs="Arial"/>
                <w:sz w:val="22"/>
                <w:szCs w:val="22"/>
              </w:rPr>
            </w:pPr>
          </w:p>
        </w:tc>
      </w:tr>
      <w:tr w:rsidR="00260413" w:rsidRPr="003B7DA2" w:rsidTr="00D45209">
        <w:tc>
          <w:tcPr>
            <w:tcW w:w="913" w:type="dxa"/>
          </w:tcPr>
          <w:p w:rsidR="00260413" w:rsidRPr="003B7DA2" w:rsidRDefault="00260413" w:rsidP="00260413">
            <w:pPr>
              <w:pStyle w:val="BodyText"/>
              <w:rPr>
                <w:rFonts w:ascii="Calibri" w:hAnsi="Calibri" w:cs="Arial"/>
                <w:sz w:val="22"/>
                <w:szCs w:val="22"/>
              </w:rPr>
            </w:pPr>
            <w:r w:rsidRPr="003B7DA2">
              <w:rPr>
                <w:rFonts w:ascii="Calibri" w:hAnsi="Calibri" w:cs="Arial"/>
                <w:sz w:val="22"/>
                <w:szCs w:val="22"/>
              </w:rPr>
              <w:t>FW</w:t>
            </w:r>
          </w:p>
        </w:tc>
        <w:tc>
          <w:tcPr>
            <w:tcW w:w="1137" w:type="dxa"/>
          </w:tcPr>
          <w:p w:rsidR="00260413" w:rsidRPr="003B7DA2" w:rsidRDefault="00260413" w:rsidP="00260413">
            <w:pPr>
              <w:pStyle w:val="BodyText"/>
              <w:rPr>
                <w:rFonts w:ascii="Calibri" w:hAnsi="Calibri"/>
                <w:bCs/>
                <w:sz w:val="22"/>
                <w:szCs w:val="22"/>
              </w:rPr>
            </w:pPr>
            <w:r w:rsidRPr="003B7DA2">
              <w:rPr>
                <w:rFonts w:ascii="Calibri" w:hAnsi="Calibri" w:cs="Arial"/>
                <w:sz w:val="22"/>
                <w:szCs w:val="22"/>
              </w:rPr>
              <w:t>DE</w:t>
            </w:r>
          </w:p>
        </w:tc>
        <w:tc>
          <w:tcPr>
            <w:tcW w:w="918"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0</w:t>
            </w:r>
          </w:p>
        </w:tc>
        <w:tc>
          <w:tcPr>
            <w:tcW w:w="900"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0</w:t>
            </w:r>
          </w:p>
        </w:tc>
        <w:tc>
          <w:tcPr>
            <w:tcW w:w="1025"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0</w:t>
            </w:r>
          </w:p>
        </w:tc>
        <w:tc>
          <w:tcPr>
            <w:tcW w:w="1127" w:type="dxa"/>
          </w:tcPr>
          <w:p w:rsidR="00260413" w:rsidRPr="003B7DA2" w:rsidRDefault="00260413" w:rsidP="00260413">
            <w:pPr>
              <w:pStyle w:val="BodyText"/>
              <w:rPr>
                <w:rFonts w:ascii="Calibri" w:hAnsi="Calibri"/>
                <w:b/>
                <w:bCs/>
                <w:sz w:val="22"/>
                <w:szCs w:val="22"/>
                <w:u w:val="single"/>
              </w:rPr>
            </w:pPr>
            <w:r w:rsidRPr="003B7DA2">
              <w:rPr>
                <w:rFonts w:ascii="Calibri" w:hAnsi="Calibri" w:cs="Arial"/>
                <w:sz w:val="22"/>
                <w:szCs w:val="22"/>
              </w:rPr>
              <w:t>20 000</w:t>
            </w:r>
          </w:p>
        </w:tc>
        <w:tc>
          <w:tcPr>
            <w:tcW w:w="1033"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0</w:t>
            </w:r>
          </w:p>
        </w:tc>
        <w:tc>
          <w:tcPr>
            <w:tcW w:w="901"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20 000</w:t>
            </w:r>
          </w:p>
        </w:tc>
      </w:tr>
    </w:tbl>
    <w:p w:rsidR="00260413" w:rsidRPr="003B7DA2" w:rsidRDefault="00260413" w:rsidP="00260413">
      <w:pPr>
        <w:pStyle w:val="BodyText"/>
        <w:rPr>
          <w:rFonts w:ascii="Calibri" w:hAnsi="Calibri"/>
          <w:b/>
          <w:bCs/>
          <w:sz w:val="22"/>
          <w:szCs w:val="22"/>
          <w:u w:val="single"/>
        </w:rPr>
      </w:pPr>
    </w:p>
    <w:p w:rsidR="00260413" w:rsidRPr="003B7DA2" w:rsidRDefault="00260413" w:rsidP="00260413">
      <w:pPr>
        <w:pStyle w:val="BodyText"/>
        <w:rPr>
          <w:rFonts w:ascii="Calibri" w:hAnsi="Calibri"/>
          <w:bCs/>
          <w:sz w:val="22"/>
          <w:szCs w:val="22"/>
        </w:rPr>
      </w:pPr>
    </w:p>
    <w:p w:rsidR="00260413" w:rsidRPr="003B7DA2" w:rsidRDefault="00260413" w:rsidP="00260413">
      <w:pPr>
        <w:pStyle w:val="BodyText"/>
        <w:rPr>
          <w:rFonts w:ascii="Calibri" w:hAnsi="Calibri"/>
          <w:bCs/>
          <w:sz w:val="22"/>
          <w:szCs w:val="22"/>
        </w:rPr>
      </w:pPr>
      <w:r w:rsidRPr="003B7DA2">
        <w:rPr>
          <w:rFonts w:ascii="Calibri" w:hAnsi="Calibri"/>
          <w:bCs/>
          <w:sz w:val="22"/>
          <w:szCs w:val="22"/>
        </w:rPr>
        <w:t xml:space="preserve">Március végén viszont negatív volt a piaci érték, mínusz 10 ezer forintot tett ki az ügylet piaci értéke (vagyis adott árakon veszteséges lett volna a rezidens cég szempontjából). Ekkor ez a záró állomány a tartozás DERT táblában kerül jelentésre, ahol 0 volt a nyitó pozíció (előző tárgyidőszakban záró 0 volt) és a 10 ezer záró pozíció közötti különbözet átértékelésként szerepelhet, pozitív előjellel, hiszen a tartozás megnőtt. A követel DERK táblában a 20 ezer forintos nyitó állomány mellett 0 záró állomány szerepel (pozitív piaci értékű ügylet hiányában), a különbség átértékelésként jelentkezik, amely, mivel 0-ra csökkentette le a nyitó pozíciót, negatív előjelű. (Mondhatjuk úgy is: átértékeléssel szemben 0-ig kivezettük az ügyletet a követelések táblájából és átvezettük a tartozások táblába, ahol a 0-tól a pozíció 10 ezres értékéig szintén átértékeléssel szemben vettük nyilvántartásba.) </w:t>
      </w:r>
    </w:p>
    <w:p w:rsidR="00260413" w:rsidRPr="003B7DA2" w:rsidRDefault="00260413" w:rsidP="00260413">
      <w:pPr>
        <w:pStyle w:val="BodyText"/>
        <w:rPr>
          <w:rFonts w:ascii="Calibri" w:hAnsi="Calibri"/>
          <w:bCs/>
          <w:sz w:val="22"/>
          <w:szCs w:val="22"/>
        </w:rPr>
      </w:pPr>
    </w:p>
    <w:p w:rsidR="00260413" w:rsidRPr="003B7DA2" w:rsidRDefault="00260413" w:rsidP="00260413">
      <w:pPr>
        <w:pStyle w:val="BodyText"/>
        <w:rPr>
          <w:rFonts w:ascii="Calibri" w:hAnsi="Calibri"/>
          <w:bCs/>
          <w:sz w:val="22"/>
          <w:szCs w:val="22"/>
        </w:rPr>
      </w:pPr>
    </w:p>
    <w:p w:rsidR="00260413" w:rsidRPr="003B7DA2" w:rsidRDefault="00260413" w:rsidP="00260413">
      <w:pPr>
        <w:pStyle w:val="BodyText"/>
        <w:rPr>
          <w:rFonts w:ascii="Calibri" w:hAnsi="Calibri"/>
          <w:b/>
          <w:bCs/>
          <w:sz w:val="22"/>
          <w:szCs w:val="22"/>
          <w:u w:val="single"/>
        </w:rPr>
      </w:pPr>
      <w:r w:rsidRPr="003B7DA2">
        <w:rPr>
          <w:rFonts w:ascii="Calibri" w:hAnsi="Calibri"/>
          <w:b/>
          <w:bCs/>
          <w:sz w:val="22"/>
          <w:szCs w:val="22"/>
          <w:u w:val="single"/>
        </w:rPr>
        <w:t>DERK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1281"/>
        <w:gridCol w:w="918"/>
        <w:gridCol w:w="927"/>
        <w:gridCol w:w="1131"/>
        <w:gridCol w:w="1242"/>
        <w:gridCol w:w="1156"/>
        <w:gridCol w:w="901"/>
      </w:tblGrid>
      <w:tr w:rsidR="00260413" w:rsidRPr="003B7DA2" w:rsidTr="00D45209">
        <w:tc>
          <w:tcPr>
            <w:tcW w:w="913" w:type="dxa"/>
            <w:vMerge w:val="restart"/>
          </w:tcPr>
          <w:p w:rsidR="00260413" w:rsidRPr="003B7DA2" w:rsidRDefault="00260413" w:rsidP="00260413">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260413" w:rsidRPr="003B7DA2" w:rsidRDefault="00260413" w:rsidP="00260413">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918" w:type="dxa"/>
            <w:vMerge w:val="restart"/>
          </w:tcPr>
          <w:p w:rsidR="00260413" w:rsidRPr="003B7DA2" w:rsidRDefault="00260413" w:rsidP="00260413">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1925" w:type="dxa"/>
            <w:gridSpan w:val="2"/>
          </w:tcPr>
          <w:p w:rsidR="00260413" w:rsidRPr="003B7DA2" w:rsidRDefault="00260413"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127" w:type="dxa"/>
            <w:vMerge w:val="restart"/>
          </w:tcPr>
          <w:p w:rsidR="00260413" w:rsidRPr="003B7DA2" w:rsidRDefault="00260413" w:rsidP="00D45209">
            <w:pPr>
              <w:jc w:val="center"/>
              <w:rPr>
                <w:rFonts w:ascii="Calibri" w:hAnsi="Calibri" w:cs="Arial"/>
                <w:sz w:val="22"/>
                <w:szCs w:val="22"/>
              </w:rPr>
            </w:pPr>
            <w:r w:rsidRPr="003B7DA2">
              <w:rPr>
                <w:rFonts w:ascii="Calibri" w:hAnsi="Calibri" w:cs="Arial"/>
                <w:sz w:val="22"/>
                <w:szCs w:val="22"/>
              </w:rPr>
              <w:t>Átértékelés</w:t>
            </w:r>
          </w:p>
        </w:tc>
        <w:tc>
          <w:tcPr>
            <w:tcW w:w="1033" w:type="dxa"/>
            <w:vMerge w:val="restart"/>
            <w:vAlign w:val="center"/>
          </w:tcPr>
          <w:p w:rsidR="00260413" w:rsidRPr="003B7DA2" w:rsidRDefault="00260413" w:rsidP="00D45209">
            <w:pPr>
              <w:jc w:val="center"/>
              <w:rPr>
                <w:rFonts w:ascii="Calibri" w:hAnsi="Calibri" w:cs="Arial"/>
                <w:sz w:val="22"/>
                <w:szCs w:val="22"/>
              </w:rPr>
            </w:pPr>
            <w:r w:rsidRPr="003B7DA2">
              <w:rPr>
                <w:rFonts w:ascii="Calibri" w:hAnsi="Calibri" w:cs="Arial"/>
                <w:sz w:val="22"/>
                <w:szCs w:val="22"/>
              </w:rPr>
              <w:t>Egyéb változások</w:t>
            </w:r>
          </w:p>
        </w:tc>
        <w:tc>
          <w:tcPr>
            <w:tcW w:w="901" w:type="dxa"/>
            <w:vMerge w:val="restart"/>
            <w:vAlign w:val="center"/>
          </w:tcPr>
          <w:p w:rsidR="00260413" w:rsidRPr="003B7DA2" w:rsidRDefault="00260413"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260413" w:rsidRPr="003B7DA2" w:rsidTr="00D45209">
        <w:tc>
          <w:tcPr>
            <w:tcW w:w="913" w:type="dxa"/>
            <w:vMerge/>
          </w:tcPr>
          <w:p w:rsidR="00260413" w:rsidRPr="003B7DA2" w:rsidRDefault="00260413" w:rsidP="00260413">
            <w:pPr>
              <w:pStyle w:val="BodyText"/>
              <w:rPr>
                <w:rFonts w:ascii="Calibri" w:hAnsi="Calibri"/>
                <w:b/>
                <w:bCs/>
                <w:sz w:val="22"/>
                <w:szCs w:val="22"/>
                <w:u w:val="single"/>
              </w:rPr>
            </w:pPr>
          </w:p>
        </w:tc>
        <w:tc>
          <w:tcPr>
            <w:tcW w:w="1137" w:type="dxa"/>
            <w:vMerge/>
          </w:tcPr>
          <w:p w:rsidR="00260413" w:rsidRPr="003B7DA2" w:rsidRDefault="00260413" w:rsidP="00260413">
            <w:pPr>
              <w:pStyle w:val="BodyText"/>
              <w:rPr>
                <w:rFonts w:ascii="Calibri" w:hAnsi="Calibri"/>
                <w:b/>
                <w:bCs/>
                <w:sz w:val="22"/>
                <w:szCs w:val="22"/>
                <w:u w:val="single"/>
              </w:rPr>
            </w:pPr>
          </w:p>
        </w:tc>
        <w:tc>
          <w:tcPr>
            <w:tcW w:w="918" w:type="dxa"/>
            <w:vMerge/>
          </w:tcPr>
          <w:p w:rsidR="00260413" w:rsidRPr="003B7DA2" w:rsidRDefault="00260413" w:rsidP="00260413">
            <w:pPr>
              <w:pStyle w:val="BodyText"/>
              <w:rPr>
                <w:rFonts w:ascii="Calibri" w:hAnsi="Calibri"/>
                <w:b/>
                <w:bCs/>
                <w:sz w:val="22"/>
                <w:szCs w:val="22"/>
                <w:u w:val="single"/>
              </w:rPr>
            </w:pPr>
          </w:p>
        </w:tc>
        <w:tc>
          <w:tcPr>
            <w:tcW w:w="900" w:type="dxa"/>
          </w:tcPr>
          <w:p w:rsidR="00260413" w:rsidRPr="003B7DA2" w:rsidRDefault="00260413" w:rsidP="00D45209">
            <w:pPr>
              <w:pStyle w:val="BodyText"/>
              <w:ind w:right="-224"/>
              <w:rPr>
                <w:rFonts w:ascii="Calibri" w:hAnsi="Calibri" w:cs="Arial"/>
                <w:sz w:val="22"/>
                <w:szCs w:val="22"/>
              </w:rPr>
            </w:pPr>
            <w:r w:rsidRPr="003B7DA2">
              <w:rPr>
                <w:rFonts w:ascii="Calibri" w:hAnsi="Calibri" w:cs="Arial"/>
                <w:sz w:val="22"/>
                <w:szCs w:val="22"/>
              </w:rPr>
              <w:t>Állomány t növelő</w:t>
            </w:r>
          </w:p>
          <w:p w:rsidR="00260413" w:rsidRPr="003B7DA2" w:rsidRDefault="00260413" w:rsidP="00260413">
            <w:pPr>
              <w:pStyle w:val="BodyText"/>
              <w:rPr>
                <w:rFonts w:ascii="Calibri" w:hAnsi="Calibri" w:cs="Arial"/>
                <w:sz w:val="22"/>
                <w:szCs w:val="22"/>
              </w:rPr>
            </w:pPr>
            <w:r w:rsidRPr="003B7DA2">
              <w:rPr>
                <w:rFonts w:ascii="Calibri" w:hAnsi="Calibri" w:cs="Arial"/>
                <w:sz w:val="22"/>
                <w:szCs w:val="22"/>
              </w:rPr>
              <w:t>(Kiadás)</w:t>
            </w:r>
          </w:p>
        </w:tc>
        <w:tc>
          <w:tcPr>
            <w:tcW w:w="1025" w:type="dxa"/>
          </w:tcPr>
          <w:p w:rsidR="00260413" w:rsidRPr="003B7DA2" w:rsidRDefault="00260413" w:rsidP="00260413">
            <w:pPr>
              <w:pStyle w:val="BodyText"/>
              <w:rPr>
                <w:rFonts w:ascii="Calibri" w:hAnsi="Calibri" w:cs="Arial"/>
                <w:sz w:val="22"/>
                <w:szCs w:val="22"/>
              </w:rPr>
            </w:pPr>
            <w:r w:rsidRPr="003B7DA2">
              <w:rPr>
                <w:rFonts w:ascii="Calibri" w:hAnsi="Calibri" w:cs="Arial"/>
                <w:sz w:val="22"/>
                <w:szCs w:val="22"/>
              </w:rPr>
              <w:t>Állományt csökkentő</w:t>
            </w:r>
          </w:p>
          <w:p w:rsidR="00260413" w:rsidRPr="003B7DA2" w:rsidRDefault="00260413" w:rsidP="00260413">
            <w:pPr>
              <w:pStyle w:val="BodyText"/>
              <w:rPr>
                <w:rFonts w:ascii="Calibri" w:hAnsi="Calibri" w:cs="Arial"/>
                <w:sz w:val="22"/>
                <w:szCs w:val="22"/>
              </w:rPr>
            </w:pPr>
            <w:r w:rsidRPr="003B7DA2">
              <w:rPr>
                <w:rFonts w:ascii="Calibri" w:hAnsi="Calibri" w:cs="Arial"/>
                <w:sz w:val="22"/>
                <w:szCs w:val="22"/>
              </w:rPr>
              <w:t>(Bevétel)</w:t>
            </w:r>
          </w:p>
        </w:tc>
        <w:tc>
          <w:tcPr>
            <w:tcW w:w="1127" w:type="dxa"/>
            <w:vMerge/>
          </w:tcPr>
          <w:p w:rsidR="00260413" w:rsidRPr="003B7DA2" w:rsidRDefault="00260413" w:rsidP="00260413">
            <w:pPr>
              <w:pStyle w:val="BodyText"/>
              <w:rPr>
                <w:rFonts w:ascii="Calibri" w:hAnsi="Calibri" w:cs="Arial"/>
                <w:sz w:val="22"/>
                <w:szCs w:val="22"/>
              </w:rPr>
            </w:pPr>
          </w:p>
        </w:tc>
        <w:tc>
          <w:tcPr>
            <w:tcW w:w="1033" w:type="dxa"/>
            <w:vMerge/>
          </w:tcPr>
          <w:p w:rsidR="00260413" w:rsidRPr="003B7DA2" w:rsidRDefault="00260413" w:rsidP="00260413">
            <w:pPr>
              <w:pStyle w:val="BodyText"/>
              <w:rPr>
                <w:rFonts w:ascii="Calibri" w:hAnsi="Calibri" w:cs="Arial"/>
                <w:sz w:val="22"/>
                <w:szCs w:val="22"/>
              </w:rPr>
            </w:pPr>
          </w:p>
        </w:tc>
        <w:tc>
          <w:tcPr>
            <w:tcW w:w="901" w:type="dxa"/>
            <w:vMerge/>
          </w:tcPr>
          <w:p w:rsidR="00260413" w:rsidRPr="003B7DA2" w:rsidRDefault="00260413" w:rsidP="00260413">
            <w:pPr>
              <w:pStyle w:val="BodyText"/>
              <w:rPr>
                <w:rFonts w:ascii="Calibri" w:hAnsi="Calibri" w:cs="Arial"/>
                <w:sz w:val="22"/>
                <w:szCs w:val="22"/>
              </w:rPr>
            </w:pPr>
          </w:p>
        </w:tc>
      </w:tr>
      <w:tr w:rsidR="00260413" w:rsidRPr="003B7DA2" w:rsidTr="00D45209">
        <w:tc>
          <w:tcPr>
            <w:tcW w:w="913" w:type="dxa"/>
          </w:tcPr>
          <w:p w:rsidR="00260413" w:rsidRPr="003B7DA2" w:rsidRDefault="00260413" w:rsidP="00260413">
            <w:pPr>
              <w:pStyle w:val="BodyText"/>
              <w:rPr>
                <w:rFonts w:ascii="Calibri" w:hAnsi="Calibri" w:cs="Arial"/>
                <w:sz w:val="22"/>
                <w:szCs w:val="22"/>
              </w:rPr>
            </w:pPr>
            <w:r w:rsidRPr="003B7DA2">
              <w:rPr>
                <w:rFonts w:ascii="Calibri" w:hAnsi="Calibri" w:cs="Arial"/>
                <w:sz w:val="22"/>
                <w:szCs w:val="22"/>
              </w:rPr>
              <w:t>FW</w:t>
            </w:r>
          </w:p>
        </w:tc>
        <w:tc>
          <w:tcPr>
            <w:tcW w:w="1137" w:type="dxa"/>
          </w:tcPr>
          <w:p w:rsidR="00260413" w:rsidRPr="003B7DA2" w:rsidRDefault="00260413" w:rsidP="00260413">
            <w:pPr>
              <w:pStyle w:val="BodyText"/>
              <w:rPr>
                <w:rFonts w:ascii="Calibri" w:hAnsi="Calibri"/>
                <w:bCs/>
                <w:sz w:val="22"/>
                <w:szCs w:val="22"/>
              </w:rPr>
            </w:pPr>
            <w:r w:rsidRPr="003B7DA2">
              <w:rPr>
                <w:rFonts w:ascii="Calibri" w:hAnsi="Calibri" w:cs="Arial"/>
                <w:sz w:val="22"/>
                <w:szCs w:val="22"/>
              </w:rPr>
              <w:t>DE</w:t>
            </w:r>
          </w:p>
        </w:tc>
        <w:tc>
          <w:tcPr>
            <w:tcW w:w="918"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20 000</w:t>
            </w:r>
          </w:p>
        </w:tc>
        <w:tc>
          <w:tcPr>
            <w:tcW w:w="900"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0</w:t>
            </w:r>
          </w:p>
        </w:tc>
        <w:tc>
          <w:tcPr>
            <w:tcW w:w="1025"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0</w:t>
            </w:r>
          </w:p>
        </w:tc>
        <w:tc>
          <w:tcPr>
            <w:tcW w:w="1127" w:type="dxa"/>
          </w:tcPr>
          <w:p w:rsidR="00260413" w:rsidRPr="003B7DA2" w:rsidRDefault="00260413" w:rsidP="00260413">
            <w:pPr>
              <w:pStyle w:val="BodyText"/>
              <w:rPr>
                <w:rFonts w:ascii="Calibri" w:hAnsi="Calibri" w:cs="Arial"/>
                <w:sz w:val="22"/>
                <w:szCs w:val="22"/>
              </w:rPr>
            </w:pPr>
            <w:r w:rsidRPr="003B7DA2">
              <w:rPr>
                <w:rFonts w:ascii="Calibri" w:hAnsi="Calibri" w:cs="Arial"/>
                <w:sz w:val="22"/>
                <w:szCs w:val="22"/>
              </w:rPr>
              <w:t>- 20 000</w:t>
            </w:r>
          </w:p>
        </w:tc>
        <w:tc>
          <w:tcPr>
            <w:tcW w:w="1033"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0</w:t>
            </w:r>
          </w:p>
        </w:tc>
        <w:tc>
          <w:tcPr>
            <w:tcW w:w="901"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0</w:t>
            </w:r>
          </w:p>
        </w:tc>
      </w:tr>
    </w:tbl>
    <w:p w:rsidR="00260413" w:rsidRPr="003B7DA2" w:rsidRDefault="00260413" w:rsidP="00260413">
      <w:pPr>
        <w:pStyle w:val="BodyText"/>
        <w:rPr>
          <w:rFonts w:ascii="Calibri" w:hAnsi="Calibri"/>
          <w:b/>
          <w:bCs/>
          <w:sz w:val="22"/>
          <w:szCs w:val="22"/>
          <w:u w:val="single"/>
        </w:rPr>
      </w:pPr>
    </w:p>
    <w:p w:rsidR="00260413" w:rsidRPr="003B7DA2" w:rsidRDefault="00260413" w:rsidP="00260413">
      <w:pPr>
        <w:pStyle w:val="BodyText"/>
        <w:rPr>
          <w:rFonts w:ascii="Calibri" w:hAnsi="Calibri"/>
          <w:b/>
          <w:bCs/>
          <w:sz w:val="22"/>
          <w:szCs w:val="22"/>
          <w:u w:val="single"/>
        </w:rPr>
      </w:pPr>
      <w:r w:rsidRPr="003B7DA2">
        <w:rPr>
          <w:rFonts w:ascii="Calibri" w:hAnsi="Calibri"/>
          <w:b/>
          <w:bCs/>
          <w:sz w:val="22"/>
          <w:szCs w:val="22"/>
          <w:u w:val="single"/>
        </w:rPr>
        <w:t>DERT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1281"/>
        <w:gridCol w:w="918"/>
        <w:gridCol w:w="1022"/>
        <w:gridCol w:w="1131"/>
        <w:gridCol w:w="1242"/>
        <w:gridCol w:w="1156"/>
        <w:gridCol w:w="901"/>
      </w:tblGrid>
      <w:tr w:rsidR="00260413" w:rsidRPr="003B7DA2" w:rsidTr="00D45209">
        <w:tc>
          <w:tcPr>
            <w:tcW w:w="913" w:type="dxa"/>
            <w:vMerge w:val="restart"/>
          </w:tcPr>
          <w:p w:rsidR="00260413" w:rsidRPr="003B7DA2" w:rsidRDefault="00260413" w:rsidP="00260413">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260413" w:rsidRPr="003B7DA2" w:rsidRDefault="00260413" w:rsidP="00260413">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918" w:type="dxa"/>
            <w:vMerge w:val="restart"/>
          </w:tcPr>
          <w:p w:rsidR="00260413" w:rsidRPr="003B7DA2" w:rsidRDefault="00260413" w:rsidP="00260413">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1929" w:type="dxa"/>
            <w:gridSpan w:val="2"/>
          </w:tcPr>
          <w:p w:rsidR="00260413" w:rsidRPr="003B7DA2" w:rsidRDefault="00260413"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127" w:type="dxa"/>
            <w:vMerge w:val="restart"/>
          </w:tcPr>
          <w:p w:rsidR="00260413" w:rsidRPr="003B7DA2" w:rsidRDefault="00260413" w:rsidP="00260413">
            <w:pPr>
              <w:pStyle w:val="BodyText"/>
              <w:rPr>
                <w:rFonts w:ascii="Calibri" w:hAnsi="Calibri" w:cs="Arial"/>
                <w:sz w:val="22"/>
                <w:szCs w:val="22"/>
              </w:rPr>
            </w:pPr>
            <w:r w:rsidRPr="003B7DA2">
              <w:rPr>
                <w:rFonts w:ascii="Calibri" w:hAnsi="Calibri" w:cs="Arial"/>
                <w:sz w:val="22"/>
                <w:szCs w:val="22"/>
              </w:rPr>
              <w:t>Átértékelés</w:t>
            </w:r>
          </w:p>
        </w:tc>
        <w:tc>
          <w:tcPr>
            <w:tcW w:w="1033" w:type="dxa"/>
            <w:vMerge w:val="restart"/>
            <w:vAlign w:val="center"/>
          </w:tcPr>
          <w:p w:rsidR="00260413" w:rsidRPr="003B7DA2" w:rsidRDefault="00260413" w:rsidP="00D45209">
            <w:pPr>
              <w:jc w:val="center"/>
              <w:rPr>
                <w:rFonts w:ascii="Calibri" w:hAnsi="Calibri" w:cs="Arial"/>
                <w:sz w:val="22"/>
                <w:szCs w:val="22"/>
              </w:rPr>
            </w:pPr>
            <w:r w:rsidRPr="003B7DA2">
              <w:rPr>
                <w:rFonts w:ascii="Calibri" w:hAnsi="Calibri" w:cs="Arial"/>
                <w:sz w:val="22"/>
                <w:szCs w:val="22"/>
              </w:rPr>
              <w:t>Egyéb változások</w:t>
            </w:r>
          </w:p>
        </w:tc>
        <w:tc>
          <w:tcPr>
            <w:tcW w:w="901" w:type="dxa"/>
            <w:vMerge w:val="restart"/>
            <w:vAlign w:val="center"/>
          </w:tcPr>
          <w:p w:rsidR="00260413" w:rsidRPr="003B7DA2" w:rsidRDefault="00260413"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260413" w:rsidRPr="003B7DA2" w:rsidTr="00D45209">
        <w:tc>
          <w:tcPr>
            <w:tcW w:w="913" w:type="dxa"/>
            <w:vMerge/>
          </w:tcPr>
          <w:p w:rsidR="00260413" w:rsidRPr="003B7DA2" w:rsidRDefault="00260413" w:rsidP="00260413">
            <w:pPr>
              <w:pStyle w:val="BodyText"/>
              <w:rPr>
                <w:rFonts w:ascii="Calibri" w:hAnsi="Calibri"/>
                <w:b/>
                <w:bCs/>
                <w:sz w:val="22"/>
                <w:szCs w:val="22"/>
                <w:u w:val="single"/>
              </w:rPr>
            </w:pPr>
          </w:p>
        </w:tc>
        <w:tc>
          <w:tcPr>
            <w:tcW w:w="1137" w:type="dxa"/>
            <w:vMerge/>
          </w:tcPr>
          <w:p w:rsidR="00260413" w:rsidRPr="003B7DA2" w:rsidRDefault="00260413" w:rsidP="00260413">
            <w:pPr>
              <w:pStyle w:val="BodyText"/>
              <w:rPr>
                <w:rFonts w:ascii="Calibri" w:hAnsi="Calibri"/>
                <w:b/>
                <w:bCs/>
                <w:sz w:val="22"/>
                <w:szCs w:val="22"/>
                <w:u w:val="single"/>
              </w:rPr>
            </w:pPr>
          </w:p>
        </w:tc>
        <w:tc>
          <w:tcPr>
            <w:tcW w:w="918" w:type="dxa"/>
            <w:vMerge/>
          </w:tcPr>
          <w:p w:rsidR="00260413" w:rsidRPr="003B7DA2" w:rsidRDefault="00260413" w:rsidP="00260413">
            <w:pPr>
              <w:pStyle w:val="BodyText"/>
              <w:rPr>
                <w:rFonts w:ascii="Calibri" w:hAnsi="Calibri"/>
                <w:b/>
                <w:bCs/>
                <w:sz w:val="22"/>
                <w:szCs w:val="22"/>
                <w:u w:val="single"/>
              </w:rPr>
            </w:pPr>
          </w:p>
        </w:tc>
        <w:tc>
          <w:tcPr>
            <w:tcW w:w="904" w:type="dxa"/>
          </w:tcPr>
          <w:p w:rsidR="00260413" w:rsidRPr="003B7DA2" w:rsidRDefault="00260413" w:rsidP="00D45209">
            <w:pPr>
              <w:pStyle w:val="BodyText"/>
              <w:ind w:right="-224"/>
              <w:rPr>
                <w:rFonts w:ascii="Calibri" w:hAnsi="Calibri" w:cs="Arial"/>
                <w:sz w:val="22"/>
                <w:szCs w:val="22"/>
              </w:rPr>
            </w:pPr>
            <w:r w:rsidRPr="003B7DA2">
              <w:rPr>
                <w:rFonts w:ascii="Calibri" w:hAnsi="Calibri" w:cs="Arial"/>
                <w:sz w:val="22"/>
                <w:szCs w:val="22"/>
              </w:rPr>
              <w:t>Állomány t növelő</w:t>
            </w:r>
          </w:p>
          <w:p w:rsidR="00260413" w:rsidRPr="003B7DA2" w:rsidRDefault="00260413" w:rsidP="00260413">
            <w:pPr>
              <w:pStyle w:val="BodyText"/>
              <w:rPr>
                <w:rFonts w:ascii="Calibri" w:hAnsi="Calibri" w:cs="Arial"/>
                <w:sz w:val="22"/>
                <w:szCs w:val="22"/>
              </w:rPr>
            </w:pPr>
            <w:r w:rsidRPr="003B7DA2">
              <w:rPr>
                <w:rFonts w:ascii="Calibri" w:hAnsi="Calibri" w:cs="Arial"/>
                <w:sz w:val="22"/>
                <w:szCs w:val="22"/>
              </w:rPr>
              <w:t>(Bevétel)</w:t>
            </w:r>
          </w:p>
        </w:tc>
        <w:tc>
          <w:tcPr>
            <w:tcW w:w="1025" w:type="dxa"/>
          </w:tcPr>
          <w:p w:rsidR="00260413" w:rsidRPr="003B7DA2" w:rsidRDefault="00260413" w:rsidP="00260413">
            <w:pPr>
              <w:pStyle w:val="BodyText"/>
              <w:rPr>
                <w:rFonts w:ascii="Calibri" w:hAnsi="Calibri" w:cs="Arial"/>
                <w:sz w:val="22"/>
                <w:szCs w:val="22"/>
              </w:rPr>
            </w:pPr>
            <w:r w:rsidRPr="003B7DA2">
              <w:rPr>
                <w:rFonts w:ascii="Calibri" w:hAnsi="Calibri" w:cs="Arial"/>
                <w:sz w:val="22"/>
                <w:szCs w:val="22"/>
              </w:rPr>
              <w:t>Állományt csökkentő</w:t>
            </w:r>
          </w:p>
          <w:p w:rsidR="00260413" w:rsidRPr="003B7DA2" w:rsidRDefault="00260413" w:rsidP="00260413">
            <w:pPr>
              <w:pStyle w:val="BodyText"/>
              <w:rPr>
                <w:rFonts w:ascii="Calibri" w:hAnsi="Calibri" w:cs="Arial"/>
                <w:sz w:val="22"/>
                <w:szCs w:val="22"/>
              </w:rPr>
            </w:pPr>
            <w:r w:rsidRPr="003B7DA2">
              <w:rPr>
                <w:rFonts w:ascii="Calibri" w:hAnsi="Calibri" w:cs="Arial"/>
                <w:sz w:val="22"/>
                <w:szCs w:val="22"/>
              </w:rPr>
              <w:t xml:space="preserve"> (Kiadás)</w:t>
            </w:r>
          </w:p>
        </w:tc>
        <w:tc>
          <w:tcPr>
            <w:tcW w:w="1127" w:type="dxa"/>
            <w:vMerge/>
          </w:tcPr>
          <w:p w:rsidR="00260413" w:rsidRPr="003B7DA2" w:rsidRDefault="00260413" w:rsidP="00260413">
            <w:pPr>
              <w:pStyle w:val="BodyText"/>
              <w:rPr>
                <w:rFonts w:ascii="Calibri" w:hAnsi="Calibri" w:cs="Arial"/>
                <w:sz w:val="22"/>
                <w:szCs w:val="22"/>
              </w:rPr>
            </w:pPr>
          </w:p>
        </w:tc>
        <w:tc>
          <w:tcPr>
            <w:tcW w:w="1033" w:type="dxa"/>
            <w:vMerge/>
          </w:tcPr>
          <w:p w:rsidR="00260413" w:rsidRPr="003B7DA2" w:rsidRDefault="00260413" w:rsidP="00260413">
            <w:pPr>
              <w:pStyle w:val="BodyText"/>
              <w:rPr>
                <w:rFonts w:ascii="Calibri" w:hAnsi="Calibri" w:cs="Arial"/>
                <w:sz w:val="22"/>
                <w:szCs w:val="22"/>
              </w:rPr>
            </w:pPr>
          </w:p>
        </w:tc>
        <w:tc>
          <w:tcPr>
            <w:tcW w:w="901" w:type="dxa"/>
            <w:vMerge/>
          </w:tcPr>
          <w:p w:rsidR="00260413" w:rsidRPr="003B7DA2" w:rsidRDefault="00260413" w:rsidP="00260413">
            <w:pPr>
              <w:pStyle w:val="BodyText"/>
              <w:rPr>
                <w:rFonts w:ascii="Calibri" w:hAnsi="Calibri" w:cs="Arial"/>
                <w:sz w:val="22"/>
                <w:szCs w:val="22"/>
              </w:rPr>
            </w:pPr>
          </w:p>
        </w:tc>
      </w:tr>
      <w:tr w:rsidR="00260413" w:rsidRPr="003B7DA2" w:rsidTr="00D45209">
        <w:tc>
          <w:tcPr>
            <w:tcW w:w="913" w:type="dxa"/>
          </w:tcPr>
          <w:p w:rsidR="00260413" w:rsidRPr="003B7DA2" w:rsidRDefault="00260413" w:rsidP="00260413">
            <w:pPr>
              <w:pStyle w:val="BodyText"/>
              <w:rPr>
                <w:rFonts w:ascii="Calibri" w:hAnsi="Calibri" w:cs="Arial"/>
                <w:sz w:val="22"/>
                <w:szCs w:val="22"/>
              </w:rPr>
            </w:pPr>
            <w:r w:rsidRPr="003B7DA2">
              <w:rPr>
                <w:rFonts w:ascii="Calibri" w:hAnsi="Calibri" w:cs="Arial"/>
                <w:sz w:val="22"/>
                <w:szCs w:val="22"/>
              </w:rPr>
              <w:t>FW</w:t>
            </w:r>
          </w:p>
        </w:tc>
        <w:tc>
          <w:tcPr>
            <w:tcW w:w="1137" w:type="dxa"/>
          </w:tcPr>
          <w:p w:rsidR="00260413" w:rsidRPr="003B7DA2" w:rsidRDefault="00260413" w:rsidP="00260413">
            <w:pPr>
              <w:pStyle w:val="BodyText"/>
              <w:rPr>
                <w:rFonts w:ascii="Calibri" w:hAnsi="Calibri"/>
                <w:bCs/>
                <w:sz w:val="22"/>
                <w:szCs w:val="22"/>
              </w:rPr>
            </w:pPr>
            <w:r w:rsidRPr="003B7DA2">
              <w:rPr>
                <w:rFonts w:ascii="Calibri" w:hAnsi="Calibri" w:cs="Arial"/>
                <w:sz w:val="22"/>
                <w:szCs w:val="22"/>
              </w:rPr>
              <w:t>DE</w:t>
            </w:r>
          </w:p>
        </w:tc>
        <w:tc>
          <w:tcPr>
            <w:tcW w:w="918"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0</w:t>
            </w:r>
          </w:p>
        </w:tc>
        <w:tc>
          <w:tcPr>
            <w:tcW w:w="904"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0</w:t>
            </w:r>
          </w:p>
        </w:tc>
        <w:tc>
          <w:tcPr>
            <w:tcW w:w="1025"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0</w:t>
            </w:r>
          </w:p>
        </w:tc>
        <w:tc>
          <w:tcPr>
            <w:tcW w:w="1127"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10 000</w:t>
            </w:r>
          </w:p>
        </w:tc>
        <w:tc>
          <w:tcPr>
            <w:tcW w:w="1033"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0</w:t>
            </w:r>
          </w:p>
        </w:tc>
        <w:tc>
          <w:tcPr>
            <w:tcW w:w="901"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10 000</w:t>
            </w:r>
          </w:p>
        </w:tc>
      </w:tr>
    </w:tbl>
    <w:p w:rsidR="00260413" w:rsidRPr="003B7DA2" w:rsidRDefault="00260413" w:rsidP="00260413">
      <w:pPr>
        <w:rPr>
          <w:rFonts w:ascii="Calibri" w:hAnsi="Calibri"/>
          <w:sz w:val="22"/>
          <w:szCs w:val="22"/>
        </w:rPr>
      </w:pPr>
    </w:p>
    <w:p w:rsidR="00260413" w:rsidRPr="003B7DA2" w:rsidRDefault="00260413" w:rsidP="00260413">
      <w:pPr>
        <w:pStyle w:val="BodyText"/>
        <w:rPr>
          <w:rFonts w:ascii="Calibri" w:hAnsi="Calibri"/>
          <w:bCs/>
          <w:sz w:val="22"/>
          <w:szCs w:val="22"/>
        </w:rPr>
      </w:pPr>
    </w:p>
    <w:p w:rsidR="00260413" w:rsidRPr="003B7DA2" w:rsidRDefault="00260413" w:rsidP="00260413">
      <w:pPr>
        <w:pStyle w:val="BodyText"/>
        <w:rPr>
          <w:rFonts w:ascii="Calibri" w:hAnsi="Calibri"/>
          <w:bCs/>
          <w:sz w:val="22"/>
          <w:szCs w:val="22"/>
        </w:rPr>
      </w:pPr>
      <w:r w:rsidRPr="003B7DA2">
        <w:rPr>
          <w:rFonts w:ascii="Calibri" w:hAnsi="Calibri"/>
          <w:bCs/>
          <w:sz w:val="22"/>
          <w:szCs w:val="22"/>
        </w:rPr>
        <w:t xml:space="preserve">Április 10-én megtörténik a deviza csere: a rezidens cég átutalja a 2.500 ezer forintot és bevételezi a 10 ezer EUR összeget. Ekkor a piacon az azonnali árfolyam 200 Ft / 1 EUR, tehát ennek megfelelően 2 millió Ft-ot kell a 10 ezer EUR ellenértékeként szerepeltetni a táblában bevételi tranzakcióként. Mivel 2 millió helyett 2.5 millió forintot kellett a cégnek átutalnia, az ügylet veszteséggel zárult, ezért a tartozás táblában kell feltüntetni a tranzakciót. A záró állomány 0, mivel az ügylet a leszállítással lezárult. Mivel a nyitó állomány is a tartozás táblában szerepelt, ezért most csak a tartozás DERT táblában kell jelenteni </w:t>
      </w:r>
      <w:proofErr w:type="gramStart"/>
      <w:r w:rsidRPr="003B7DA2">
        <w:rPr>
          <w:rFonts w:ascii="Calibri" w:hAnsi="Calibri"/>
          <w:bCs/>
          <w:sz w:val="22"/>
          <w:szCs w:val="22"/>
        </w:rPr>
        <w:t>adatot:  (</w:t>
      </w:r>
      <w:proofErr w:type="gramEnd"/>
      <w:r w:rsidRPr="003B7DA2">
        <w:rPr>
          <w:rFonts w:ascii="Calibri" w:hAnsi="Calibri"/>
          <w:bCs/>
          <w:sz w:val="22"/>
          <w:szCs w:val="22"/>
        </w:rPr>
        <w:t>Az átértékelés összege a kivonás eredményeként adódik, pozitív előjelű…)</w:t>
      </w:r>
    </w:p>
    <w:p w:rsidR="00260413" w:rsidRPr="003B7DA2" w:rsidRDefault="00260413" w:rsidP="00260413">
      <w:pPr>
        <w:pStyle w:val="BodyText"/>
        <w:rPr>
          <w:rFonts w:ascii="Calibri" w:hAnsi="Calibri"/>
          <w:b/>
          <w:bCs/>
          <w:sz w:val="22"/>
          <w:szCs w:val="22"/>
          <w:u w:val="single"/>
        </w:rPr>
      </w:pPr>
    </w:p>
    <w:p w:rsidR="003B7DA2" w:rsidRPr="003B7DA2" w:rsidRDefault="003B7DA2" w:rsidP="00260413">
      <w:pPr>
        <w:pStyle w:val="BodyText"/>
        <w:rPr>
          <w:rFonts w:ascii="Calibri" w:hAnsi="Calibri"/>
          <w:b/>
          <w:bCs/>
          <w:sz w:val="22"/>
          <w:szCs w:val="22"/>
          <w:u w:val="single"/>
        </w:rPr>
      </w:pPr>
    </w:p>
    <w:p w:rsidR="003B7DA2" w:rsidRPr="003B7DA2" w:rsidRDefault="003B7DA2" w:rsidP="00260413">
      <w:pPr>
        <w:pStyle w:val="BodyText"/>
        <w:rPr>
          <w:rFonts w:ascii="Calibri" w:hAnsi="Calibri"/>
          <w:b/>
          <w:bCs/>
          <w:sz w:val="22"/>
          <w:szCs w:val="22"/>
          <w:u w:val="single"/>
        </w:rPr>
      </w:pPr>
    </w:p>
    <w:p w:rsidR="00260413" w:rsidRPr="003B7DA2" w:rsidRDefault="00260413" w:rsidP="00260413">
      <w:pPr>
        <w:pStyle w:val="BodyText"/>
        <w:rPr>
          <w:rFonts w:ascii="Calibri" w:hAnsi="Calibri"/>
          <w:b/>
          <w:bCs/>
          <w:sz w:val="22"/>
          <w:szCs w:val="22"/>
          <w:u w:val="single"/>
        </w:rPr>
      </w:pPr>
      <w:r w:rsidRPr="003B7DA2">
        <w:rPr>
          <w:rFonts w:ascii="Calibri" w:hAnsi="Calibri"/>
          <w:b/>
          <w:bCs/>
          <w:sz w:val="22"/>
          <w:szCs w:val="22"/>
          <w:u w:val="single"/>
        </w:rPr>
        <w:lastRenderedPageBreak/>
        <w:t>DERT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1137"/>
        <w:gridCol w:w="918"/>
        <w:gridCol w:w="1100"/>
        <w:gridCol w:w="1080"/>
        <w:gridCol w:w="876"/>
        <w:gridCol w:w="1033"/>
        <w:gridCol w:w="901"/>
      </w:tblGrid>
      <w:tr w:rsidR="00260413" w:rsidRPr="003B7DA2" w:rsidTr="00D45209">
        <w:tc>
          <w:tcPr>
            <w:tcW w:w="913" w:type="dxa"/>
            <w:vMerge w:val="restart"/>
          </w:tcPr>
          <w:p w:rsidR="00260413" w:rsidRPr="003B7DA2" w:rsidRDefault="00260413" w:rsidP="00260413">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260413" w:rsidRPr="003B7DA2" w:rsidRDefault="00260413" w:rsidP="00260413">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918" w:type="dxa"/>
            <w:vMerge w:val="restart"/>
          </w:tcPr>
          <w:p w:rsidR="00260413" w:rsidRPr="003B7DA2" w:rsidRDefault="00260413" w:rsidP="00260413">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180" w:type="dxa"/>
            <w:gridSpan w:val="2"/>
          </w:tcPr>
          <w:p w:rsidR="00260413" w:rsidRPr="003B7DA2" w:rsidRDefault="00260413"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876" w:type="dxa"/>
            <w:vMerge w:val="restart"/>
          </w:tcPr>
          <w:p w:rsidR="00260413" w:rsidRPr="003B7DA2" w:rsidRDefault="00260413" w:rsidP="00260413">
            <w:pPr>
              <w:pStyle w:val="BodyText"/>
              <w:rPr>
                <w:rFonts w:ascii="Calibri" w:hAnsi="Calibri" w:cs="Arial"/>
                <w:sz w:val="22"/>
                <w:szCs w:val="22"/>
              </w:rPr>
            </w:pPr>
            <w:r w:rsidRPr="003B7DA2">
              <w:rPr>
                <w:rFonts w:ascii="Calibri" w:hAnsi="Calibri" w:cs="Arial"/>
                <w:sz w:val="22"/>
                <w:szCs w:val="22"/>
              </w:rPr>
              <w:t>Átértékelés</w:t>
            </w:r>
          </w:p>
        </w:tc>
        <w:tc>
          <w:tcPr>
            <w:tcW w:w="1033" w:type="dxa"/>
            <w:vMerge w:val="restart"/>
            <w:vAlign w:val="center"/>
          </w:tcPr>
          <w:p w:rsidR="00260413" w:rsidRPr="003B7DA2" w:rsidRDefault="00260413" w:rsidP="00D45209">
            <w:pPr>
              <w:jc w:val="center"/>
              <w:rPr>
                <w:rFonts w:ascii="Calibri" w:hAnsi="Calibri" w:cs="Arial"/>
                <w:sz w:val="22"/>
                <w:szCs w:val="22"/>
              </w:rPr>
            </w:pPr>
            <w:r w:rsidRPr="003B7DA2">
              <w:rPr>
                <w:rFonts w:ascii="Calibri" w:hAnsi="Calibri" w:cs="Arial"/>
                <w:sz w:val="22"/>
                <w:szCs w:val="22"/>
              </w:rPr>
              <w:t>Egyéb változások</w:t>
            </w:r>
          </w:p>
        </w:tc>
        <w:tc>
          <w:tcPr>
            <w:tcW w:w="901" w:type="dxa"/>
            <w:vMerge w:val="restart"/>
            <w:vAlign w:val="center"/>
          </w:tcPr>
          <w:p w:rsidR="00260413" w:rsidRPr="003B7DA2" w:rsidRDefault="00260413"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260413" w:rsidRPr="003B7DA2" w:rsidTr="00D45209">
        <w:tc>
          <w:tcPr>
            <w:tcW w:w="913" w:type="dxa"/>
            <w:vMerge/>
          </w:tcPr>
          <w:p w:rsidR="00260413" w:rsidRPr="003B7DA2" w:rsidRDefault="00260413" w:rsidP="00260413">
            <w:pPr>
              <w:pStyle w:val="BodyText"/>
              <w:rPr>
                <w:rFonts w:ascii="Calibri" w:hAnsi="Calibri"/>
                <w:b/>
                <w:bCs/>
                <w:sz w:val="22"/>
                <w:szCs w:val="22"/>
                <w:u w:val="single"/>
              </w:rPr>
            </w:pPr>
          </w:p>
        </w:tc>
        <w:tc>
          <w:tcPr>
            <w:tcW w:w="1137" w:type="dxa"/>
            <w:vMerge/>
          </w:tcPr>
          <w:p w:rsidR="00260413" w:rsidRPr="003B7DA2" w:rsidRDefault="00260413" w:rsidP="00260413">
            <w:pPr>
              <w:pStyle w:val="BodyText"/>
              <w:rPr>
                <w:rFonts w:ascii="Calibri" w:hAnsi="Calibri"/>
                <w:b/>
                <w:bCs/>
                <w:sz w:val="22"/>
                <w:szCs w:val="22"/>
                <w:u w:val="single"/>
              </w:rPr>
            </w:pPr>
          </w:p>
        </w:tc>
        <w:tc>
          <w:tcPr>
            <w:tcW w:w="918" w:type="dxa"/>
            <w:vMerge/>
          </w:tcPr>
          <w:p w:rsidR="00260413" w:rsidRPr="003B7DA2" w:rsidRDefault="00260413" w:rsidP="00260413">
            <w:pPr>
              <w:pStyle w:val="BodyText"/>
              <w:rPr>
                <w:rFonts w:ascii="Calibri" w:hAnsi="Calibri"/>
                <w:b/>
                <w:bCs/>
                <w:sz w:val="22"/>
                <w:szCs w:val="22"/>
                <w:u w:val="single"/>
              </w:rPr>
            </w:pPr>
          </w:p>
        </w:tc>
        <w:tc>
          <w:tcPr>
            <w:tcW w:w="1100" w:type="dxa"/>
          </w:tcPr>
          <w:p w:rsidR="00260413" w:rsidRPr="003B7DA2" w:rsidRDefault="00260413" w:rsidP="00D45209">
            <w:pPr>
              <w:pStyle w:val="BodyText"/>
              <w:ind w:right="-224"/>
              <w:rPr>
                <w:rFonts w:ascii="Calibri" w:hAnsi="Calibri" w:cs="Arial"/>
                <w:sz w:val="22"/>
                <w:szCs w:val="22"/>
              </w:rPr>
            </w:pPr>
            <w:r w:rsidRPr="003B7DA2">
              <w:rPr>
                <w:rFonts w:ascii="Calibri" w:hAnsi="Calibri" w:cs="Arial"/>
                <w:sz w:val="22"/>
                <w:szCs w:val="22"/>
              </w:rPr>
              <w:t>Állomány t növelő</w:t>
            </w:r>
          </w:p>
          <w:p w:rsidR="00260413" w:rsidRPr="003B7DA2" w:rsidRDefault="00260413" w:rsidP="00260413">
            <w:pPr>
              <w:pStyle w:val="BodyText"/>
              <w:rPr>
                <w:rFonts w:ascii="Calibri" w:hAnsi="Calibri" w:cs="Arial"/>
                <w:sz w:val="22"/>
                <w:szCs w:val="22"/>
              </w:rPr>
            </w:pPr>
            <w:r w:rsidRPr="003B7DA2">
              <w:rPr>
                <w:rFonts w:ascii="Calibri" w:hAnsi="Calibri" w:cs="Arial"/>
                <w:sz w:val="22"/>
                <w:szCs w:val="22"/>
              </w:rPr>
              <w:t>(Bevétel)</w:t>
            </w:r>
          </w:p>
        </w:tc>
        <w:tc>
          <w:tcPr>
            <w:tcW w:w="1080" w:type="dxa"/>
          </w:tcPr>
          <w:p w:rsidR="00260413" w:rsidRPr="003B7DA2" w:rsidRDefault="00260413" w:rsidP="00260413">
            <w:pPr>
              <w:pStyle w:val="BodyText"/>
              <w:rPr>
                <w:rFonts w:ascii="Calibri" w:hAnsi="Calibri" w:cs="Arial"/>
                <w:sz w:val="22"/>
                <w:szCs w:val="22"/>
              </w:rPr>
            </w:pPr>
            <w:r w:rsidRPr="003B7DA2">
              <w:rPr>
                <w:rFonts w:ascii="Calibri" w:hAnsi="Calibri" w:cs="Arial"/>
                <w:sz w:val="22"/>
                <w:szCs w:val="22"/>
              </w:rPr>
              <w:t>Állományt csökkentő</w:t>
            </w:r>
          </w:p>
          <w:p w:rsidR="00260413" w:rsidRPr="003B7DA2" w:rsidRDefault="00260413" w:rsidP="00260413">
            <w:pPr>
              <w:pStyle w:val="BodyText"/>
              <w:rPr>
                <w:rFonts w:ascii="Calibri" w:hAnsi="Calibri" w:cs="Arial"/>
                <w:sz w:val="22"/>
                <w:szCs w:val="22"/>
              </w:rPr>
            </w:pPr>
            <w:r w:rsidRPr="003B7DA2">
              <w:rPr>
                <w:rFonts w:ascii="Calibri" w:hAnsi="Calibri" w:cs="Arial"/>
                <w:sz w:val="22"/>
                <w:szCs w:val="22"/>
              </w:rPr>
              <w:t xml:space="preserve"> (Kiadás)</w:t>
            </w:r>
          </w:p>
        </w:tc>
        <w:tc>
          <w:tcPr>
            <w:tcW w:w="876" w:type="dxa"/>
            <w:vMerge/>
          </w:tcPr>
          <w:p w:rsidR="00260413" w:rsidRPr="003B7DA2" w:rsidRDefault="00260413" w:rsidP="00260413">
            <w:pPr>
              <w:pStyle w:val="BodyText"/>
              <w:rPr>
                <w:rFonts w:ascii="Calibri" w:hAnsi="Calibri" w:cs="Arial"/>
                <w:sz w:val="22"/>
                <w:szCs w:val="22"/>
              </w:rPr>
            </w:pPr>
          </w:p>
        </w:tc>
        <w:tc>
          <w:tcPr>
            <w:tcW w:w="1033" w:type="dxa"/>
            <w:vMerge/>
          </w:tcPr>
          <w:p w:rsidR="00260413" w:rsidRPr="003B7DA2" w:rsidRDefault="00260413" w:rsidP="00260413">
            <w:pPr>
              <w:pStyle w:val="BodyText"/>
              <w:rPr>
                <w:rFonts w:ascii="Calibri" w:hAnsi="Calibri" w:cs="Arial"/>
                <w:sz w:val="22"/>
                <w:szCs w:val="22"/>
              </w:rPr>
            </w:pPr>
          </w:p>
        </w:tc>
        <w:tc>
          <w:tcPr>
            <w:tcW w:w="901" w:type="dxa"/>
            <w:vMerge/>
          </w:tcPr>
          <w:p w:rsidR="00260413" w:rsidRPr="003B7DA2" w:rsidRDefault="00260413" w:rsidP="00260413">
            <w:pPr>
              <w:pStyle w:val="BodyText"/>
              <w:rPr>
                <w:rFonts w:ascii="Calibri" w:hAnsi="Calibri" w:cs="Arial"/>
                <w:sz w:val="22"/>
                <w:szCs w:val="22"/>
              </w:rPr>
            </w:pPr>
          </w:p>
        </w:tc>
      </w:tr>
      <w:tr w:rsidR="00260413" w:rsidRPr="003B7DA2" w:rsidTr="00D45209">
        <w:tc>
          <w:tcPr>
            <w:tcW w:w="913" w:type="dxa"/>
          </w:tcPr>
          <w:p w:rsidR="00260413" w:rsidRPr="003B7DA2" w:rsidRDefault="00260413" w:rsidP="00260413">
            <w:pPr>
              <w:pStyle w:val="BodyText"/>
              <w:rPr>
                <w:rFonts w:ascii="Calibri" w:hAnsi="Calibri" w:cs="Arial"/>
                <w:sz w:val="22"/>
                <w:szCs w:val="22"/>
              </w:rPr>
            </w:pPr>
            <w:r w:rsidRPr="003B7DA2">
              <w:rPr>
                <w:rFonts w:ascii="Calibri" w:hAnsi="Calibri" w:cs="Arial"/>
                <w:sz w:val="22"/>
                <w:szCs w:val="22"/>
              </w:rPr>
              <w:t>FW</w:t>
            </w:r>
          </w:p>
        </w:tc>
        <w:tc>
          <w:tcPr>
            <w:tcW w:w="1137" w:type="dxa"/>
          </w:tcPr>
          <w:p w:rsidR="00260413" w:rsidRPr="003B7DA2" w:rsidRDefault="00260413" w:rsidP="00260413">
            <w:pPr>
              <w:pStyle w:val="BodyText"/>
              <w:rPr>
                <w:rFonts w:ascii="Calibri" w:hAnsi="Calibri"/>
                <w:bCs/>
                <w:sz w:val="22"/>
                <w:szCs w:val="22"/>
              </w:rPr>
            </w:pPr>
            <w:r w:rsidRPr="003B7DA2">
              <w:rPr>
                <w:rFonts w:ascii="Calibri" w:hAnsi="Calibri" w:cs="Arial"/>
                <w:sz w:val="22"/>
                <w:szCs w:val="22"/>
              </w:rPr>
              <w:t>DE</w:t>
            </w:r>
          </w:p>
        </w:tc>
        <w:tc>
          <w:tcPr>
            <w:tcW w:w="918"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10 000</w:t>
            </w:r>
          </w:p>
        </w:tc>
        <w:tc>
          <w:tcPr>
            <w:tcW w:w="1100"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2 000 000</w:t>
            </w:r>
          </w:p>
        </w:tc>
        <w:tc>
          <w:tcPr>
            <w:tcW w:w="1080"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2 500 000</w:t>
            </w:r>
          </w:p>
        </w:tc>
        <w:tc>
          <w:tcPr>
            <w:tcW w:w="876"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490 000</w:t>
            </w:r>
          </w:p>
        </w:tc>
        <w:tc>
          <w:tcPr>
            <w:tcW w:w="1033"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0</w:t>
            </w:r>
          </w:p>
        </w:tc>
        <w:tc>
          <w:tcPr>
            <w:tcW w:w="901" w:type="dxa"/>
          </w:tcPr>
          <w:p w:rsidR="00260413" w:rsidRPr="003B7DA2" w:rsidRDefault="00260413" w:rsidP="00260413">
            <w:pPr>
              <w:pStyle w:val="BodyText"/>
              <w:rPr>
                <w:rFonts w:ascii="Calibri" w:hAnsi="Calibri"/>
                <w:bCs/>
                <w:sz w:val="22"/>
                <w:szCs w:val="22"/>
              </w:rPr>
            </w:pPr>
            <w:r w:rsidRPr="003B7DA2">
              <w:rPr>
                <w:rFonts w:ascii="Calibri" w:hAnsi="Calibri"/>
                <w:bCs/>
                <w:sz w:val="22"/>
                <w:szCs w:val="22"/>
              </w:rPr>
              <w:t>0</w:t>
            </w:r>
          </w:p>
        </w:tc>
      </w:tr>
    </w:tbl>
    <w:p w:rsidR="00260413" w:rsidRPr="003B7DA2" w:rsidRDefault="00260413" w:rsidP="00260413">
      <w:pPr>
        <w:rPr>
          <w:rFonts w:ascii="Calibri" w:hAnsi="Calibri"/>
          <w:sz w:val="22"/>
          <w:szCs w:val="22"/>
        </w:rPr>
      </w:pPr>
    </w:p>
    <w:p w:rsidR="0092684C" w:rsidRPr="003B7DA2" w:rsidRDefault="0092684C">
      <w:pPr>
        <w:rPr>
          <w:rFonts w:ascii="Calibri" w:hAnsi="Calibri"/>
          <w:sz w:val="22"/>
          <w:szCs w:val="22"/>
        </w:rPr>
      </w:pPr>
    </w:p>
    <w:p w:rsidR="0092684C" w:rsidRPr="003B7DA2" w:rsidRDefault="0092684C">
      <w:pPr>
        <w:pStyle w:val="BodyText"/>
        <w:rPr>
          <w:rFonts w:ascii="Calibri" w:hAnsi="Calibri"/>
          <w:b/>
          <w:bCs/>
          <w:sz w:val="22"/>
          <w:szCs w:val="22"/>
          <w:u w:val="single"/>
        </w:rPr>
      </w:pPr>
      <w:r w:rsidRPr="003B7DA2">
        <w:rPr>
          <w:rFonts w:ascii="Calibri" w:hAnsi="Calibri"/>
          <w:b/>
          <w:bCs/>
          <w:sz w:val="22"/>
          <w:szCs w:val="22"/>
          <w:u w:val="single"/>
        </w:rPr>
        <w:t xml:space="preserve">Példa elszámolásos </w:t>
      </w:r>
      <w:proofErr w:type="spellStart"/>
      <w:r w:rsidRPr="003B7DA2">
        <w:rPr>
          <w:rFonts w:ascii="Calibri" w:hAnsi="Calibri"/>
          <w:b/>
          <w:bCs/>
          <w:sz w:val="22"/>
          <w:szCs w:val="22"/>
          <w:u w:val="single"/>
        </w:rPr>
        <w:t>forward</w:t>
      </w:r>
      <w:proofErr w:type="spellEnd"/>
      <w:r w:rsidRPr="003B7DA2">
        <w:rPr>
          <w:rFonts w:ascii="Calibri" w:hAnsi="Calibri"/>
          <w:b/>
          <w:bCs/>
          <w:sz w:val="22"/>
          <w:szCs w:val="22"/>
          <w:u w:val="single"/>
        </w:rPr>
        <w:t xml:space="preserve"> ügyletre:</w:t>
      </w:r>
    </w:p>
    <w:p w:rsidR="0092684C" w:rsidRPr="003B7DA2" w:rsidRDefault="0092684C">
      <w:pPr>
        <w:pStyle w:val="BodyText"/>
        <w:rPr>
          <w:rFonts w:ascii="Calibri" w:hAnsi="Calibri"/>
          <w:bCs/>
          <w:sz w:val="22"/>
          <w:szCs w:val="22"/>
        </w:rPr>
      </w:pPr>
      <w:r w:rsidRPr="003B7DA2">
        <w:rPr>
          <w:rFonts w:ascii="Calibri" w:hAnsi="Calibri"/>
          <w:bCs/>
          <w:sz w:val="22"/>
          <w:szCs w:val="22"/>
        </w:rPr>
        <w:t>A rezidens adatszolgáltató cég január 10-én kötött egy megállapodást német partnerével, mely szerint: 10 ezer EUR-t fog venni 250-es Ft árfolyamon, vagyis 2.500 ezer forintért, április 10-én. Az ügylet lejáratakor azonban az értékkülönbözet kerül majd kiszámításra, rendezésre.</w:t>
      </w:r>
    </w:p>
    <w:p w:rsidR="0092684C" w:rsidRPr="003B7DA2" w:rsidRDefault="0092684C">
      <w:pPr>
        <w:pStyle w:val="BodyText"/>
        <w:rPr>
          <w:rFonts w:ascii="Calibri" w:hAnsi="Calibri"/>
          <w:bCs/>
          <w:sz w:val="22"/>
          <w:szCs w:val="22"/>
        </w:rPr>
      </w:pPr>
    </w:p>
    <w:p w:rsidR="0092684C" w:rsidRPr="003B7DA2" w:rsidRDefault="0092684C">
      <w:pPr>
        <w:pStyle w:val="BodyText"/>
        <w:rPr>
          <w:rFonts w:ascii="Calibri" w:hAnsi="Calibri"/>
          <w:bCs/>
          <w:sz w:val="22"/>
          <w:szCs w:val="22"/>
        </w:rPr>
      </w:pPr>
      <w:r w:rsidRPr="003B7DA2">
        <w:rPr>
          <w:rFonts w:ascii="Calibri" w:hAnsi="Calibri"/>
          <w:bCs/>
          <w:sz w:val="22"/>
          <w:szCs w:val="22"/>
        </w:rPr>
        <w:t>A határidős EUR árfolyamok változását figyelembe véve a cég minden hónap végén kiértékelte pozícióját.</w:t>
      </w:r>
    </w:p>
    <w:p w:rsidR="0092684C" w:rsidRPr="003B7DA2" w:rsidRDefault="0092684C">
      <w:pPr>
        <w:pStyle w:val="BodyText"/>
        <w:rPr>
          <w:rFonts w:ascii="Calibri" w:hAnsi="Calibri"/>
          <w:bCs/>
          <w:sz w:val="22"/>
          <w:szCs w:val="22"/>
        </w:rPr>
      </w:pPr>
      <w:r w:rsidRPr="003B7DA2">
        <w:rPr>
          <w:rFonts w:ascii="Calibri" w:hAnsi="Calibri"/>
          <w:bCs/>
          <w:sz w:val="22"/>
          <w:szCs w:val="22"/>
        </w:rPr>
        <w:t xml:space="preserve">Január végén pozíciója 0 volt, míg februárban pozitív piaci értékű volt ez az ügylete. Januárban így, mivel a nyitó és záró állomány is 0 lenne, nem kell szerepeltetni az ügyletet. Februárban a pozitív piaci érték 20 ezer Ft </w:t>
      </w:r>
      <w:proofErr w:type="gramStart"/>
      <w:r w:rsidRPr="003B7DA2">
        <w:rPr>
          <w:rFonts w:ascii="Calibri" w:hAnsi="Calibri"/>
          <w:bCs/>
          <w:sz w:val="22"/>
          <w:szCs w:val="22"/>
        </w:rPr>
        <w:t>volt ,</w:t>
      </w:r>
      <w:proofErr w:type="gramEnd"/>
      <w:r w:rsidRPr="003B7DA2">
        <w:rPr>
          <w:rFonts w:ascii="Calibri" w:hAnsi="Calibri"/>
          <w:bCs/>
          <w:sz w:val="22"/>
          <w:szCs w:val="22"/>
        </w:rPr>
        <w:t xml:space="preserve"> ezt záró állományként a követel táblában kell jelenteni (nyitó állomány 0, a különbözet átértékelés). Március végén viszont negatív volt a piaci érték, mínusz 10 ezer forintot tett ki az ügylet piaci értéke (vagyis adott árakon veszteséges lett volna a rezidens cég szempontjából). Ekkor ez a záró állomány a tartozás táblában kerül jelentésre, ahol 0 nyitó pozíció és a 10 ezer záró pozíció közötti különbözet átértékelésként szerepelhet. Ugyanez történik a követel táblában is, hiszen a 20 ezer forintos nyitó állomány mellett 0 záró állomány szerepel (pozitív piaci értékű ügylet hiányában), a különbség átértékelésként jelentkezik. Mondhatjuk úgy is: átértékeléssel szemben 0-ig kivezettük az ügyletet a követelések táblájából és átvezettük a tartozások táblába, ahol a 0-tól a pozíció 10 ezres értékéig szintén átértékeléssel szemben vettük nyilvántartásba. </w:t>
      </w:r>
    </w:p>
    <w:p w:rsidR="0092684C" w:rsidRPr="003B7DA2" w:rsidRDefault="0092684C">
      <w:pPr>
        <w:pStyle w:val="BodyText"/>
        <w:rPr>
          <w:rFonts w:ascii="Calibri" w:hAnsi="Calibri"/>
          <w:bCs/>
          <w:sz w:val="22"/>
          <w:szCs w:val="22"/>
        </w:rPr>
      </w:pPr>
    </w:p>
    <w:p w:rsidR="0092684C" w:rsidRPr="003B7DA2" w:rsidRDefault="0092684C">
      <w:pPr>
        <w:pStyle w:val="BodyText"/>
        <w:rPr>
          <w:rFonts w:ascii="Calibri" w:hAnsi="Calibri"/>
          <w:bCs/>
          <w:sz w:val="22"/>
          <w:szCs w:val="22"/>
        </w:rPr>
      </w:pPr>
      <w:r w:rsidRPr="003B7DA2">
        <w:rPr>
          <w:rFonts w:ascii="Calibri" w:hAnsi="Calibri"/>
          <w:bCs/>
          <w:sz w:val="22"/>
          <w:szCs w:val="22"/>
        </w:rPr>
        <w:t>Április 10-én megtörténik az ügylet elszámolása. Alapesetben a rezidens cég átutalná a 2.500 ezer forintot és bevételezné a 10 ezer EUR összeget. Ekkor a piacon az azonnali árfolyam 200 Ft / 1 EUR, tehát ennek megfelelően 2 millió Ft (a 10 ezer EUR ellenértéke) szerepelne bevételként az elszámolásban, míg kiadási oldalon 2.5 millió forint. Az ügylet veszteséggel zárult, így a tartozás táblában kell feltüntetni a tranzakciót, vagyis az 500 ezer Ft értékkülönbözetet, kiadási oldalon (a cég végül is ezt a különbözetet utalja német partnerének).</w:t>
      </w:r>
    </w:p>
    <w:p w:rsidR="0092684C" w:rsidRPr="003B7DA2" w:rsidRDefault="0092684C">
      <w:pPr>
        <w:pStyle w:val="BodyText"/>
        <w:rPr>
          <w:rFonts w:ascii="Calibri" w:hAnsi="Calibri"/>
          <w:bCs/>
          <w:sz w:val="22"/>
          <w:szCs w:val="22"/>
        </w:rPr>
      </w:pPr>
      <w:r w:rsidRPr="003B7DA2">
        <w:rPr>
          <w:rFonts w:ascii="Calibri" w:hAnsi="Calibri"/>
          <w:bCs/>
          <w:sz w:val="22"/>
          <w:szCs w:val="22"/>
        </w:rPr>
        <w:t xml:space="preserve"> A záró állomány 0, mivel az ügylet a leszállítással lezárult. (Az előző időszakhoz hasonlóan előfordulhatott volna, hogy a záró egyenleg nem ugyanazon táblához tartozna, nevezetesen, hogy nem veszteséges, hanem nyereséges lenne lezáráskor az ügylet, ekkor ugyancsak 0-ig átértékeléssel szemben ki kellene vezetni és felvenni a másik táblába, ahol ezen időszakban a tranzakció és hozzá kapcsolódóan az átértékelés szerepelne…)</w:t>
      </w:r>
    </w:p>
    <w:p w:rsidR="00BE22CF" w:rsidRPr="003B7DA2" w:rsidRDefault="00BE22CF" w:rsidP="00BE22CF">
      <w:pPr>
        <w:pStyle w:val="BodyText"/>
        <w:rPr>
          <w:rFonts w:ascii="Calibri" w:hAnsi="Calibri"/>
          <w:bCs/>
          <w:sz w:val="22"/>
          <w:szCs w:val="22"/>
        </w:rPr>
      </w:pPr>
      <w:r w:rsidRPr="003B7DA2">
        <w:rPr>
          <w:rFonts w:ascii="Calibri" w:hAnsi="Calibri"/>
          <w:bCs/>
          <w:sz w:val="22"/>
          <w:szCs w:val="22"/>
        </w:rPr>
        <w:t>Az ügylet teljes mértékben megegyezik az előzővel, a rezidens adatszolgáltató cég január 10-én kötött egy megállapodást német partnerével, mely szerint: 10 ezer EUR-t fog venni 250-es Ft árfolyamon, vagyis 2.500 ezer forintért, április 10-én. Az ügylet lejáratakor azonban az értékkülönbözet kerül majd kiszámításra, rendezésre.</w:t>
      </w:r>
    </w:p>
    <w:p w:rsidR="00BE22CF" w:rsidRPr="003B7DA2" w:rsidRDefault="00BE22CF" w:rsidP="00BE22CF">
      <w:pPr>
        <w:pStyle w:val="BodyText"/>
        <w:rPr>
          <w:rFonts w:ascii="Calibri" w:hAnsi="Calibri"/>
          <w:bCs/>
          <w:sz w:val="22"/>
          <w:szCs w:val="22"/>
        </w:rPr>
      </w:pPr>
    </w:p>
    <w:p w:rsidR="00BE22CF" w:rsidRPr="003B7DA2" w:rsidRDefault="00BE22CF" w:rsidP="00BE22CF">
      <w:pPr>
        <w:pStyle w:val="BodyText"/>
        <w:rPr>
          <w:rFonts w:ascii="Calibri" w:hAnsi="Calibri"/>
          <w:bCs/>
          <w:sz w:val="22"/>
          <w:szCs w:val="22"/>
        </w:rPr>
      </w:pPr>
      <w:r w:rsidRPr="003B7DA2">
        <w:rPr>
          <w:rFonts w:ascii="Calibri" w:hAnsi="Calibri"/>
          <w:bCs/>
          <w:sz w:val="22"/>
          <w:szCs w:val="22"/>
        </w:rPr>
        <w:t>Az előbbiekhez képest különbség csak a rendezéskor, az áprilisi adatszolgáltatásban lesz, a következőképpen:</w:t>
      </w:r>
    </w:p>
    <w:p w:rsidR="00BE22CF" w:rsidRPr="003B7DA2" w:rsidRDefault="00BE22CF" w:rsidP="00BE22CF">
      <w:pPr>
        <w:pStyle w:val="BodyText"/>
        <w:rPr>
          <w:rFonts w:ascii="Calibri" w:hAnsi="Calibri"/>
          <w:bCs/>
          <w:sz w:val="22"/>
          <w:szCs w:val="22"/>
        </w:rPr>
      </w:pPr>
    </w:p>
    <w:p w:rsidR="00BE22CF" w:rsidRPr="003B7DA2" w:rsidRDefault="00BE22CF" w:rsidP="00BE22CF">
      <w:pPr>
        <w:pStyle w:val="BodyText"/>
        <w:rPr>
          <w:rFonts w:ascii="Calibri" w:hAnsi="Calibri"/>
          <w:bCs/>
          <w:sz w:val="22"/>
          <w:szCs w:val="22"/>
        </w:rPr>
      </w:pPr>
      <w:r w:rsidRPr="003B7DA2">
        <w:rPr>
          <w:rFonts w:ascii="Calibri" w:hAnsi="Calibri"/>
          <w:bCs/>
          <w:sz w:val="22"/>
          <w:szCs w:val="22"/>
        </w:rPr>
        <w:t>Április 10-én megtörténik az ügylet elszámolása. Alapesetben a rezidens cég átutalná a 2.500 ezer forintot és bevételezné a 10 ezer EUR összeget. Ekkor a piacon az azonnali árfolyam 200 Ft / 1 EUR, tehát ennek megfelelően 2 millió Ft (a 10 ezer EUR ellenértéke) szerepel az elszámolásban bevételként, míg kiadási oldalon 2.5 millió forint, a veszteség összege tehát 500 ezer Ft-ot tesz ki. Mivel az ügylet veszteséggel zárult, így a tranzakciót, vagyis az 500 ezer Ft értékkülönbözet átutalását a tartozás DERT táblában kell feltüntetni, mint a tartozást csökkentő (megszüntető) tranzakciót (a cég végül is ezt a különbözetet utalja német partnerének). Mivel az előző tárgyidőszakban is e táblában szerepelt az ügylet, így a DERK táblában nem kell adatot jelenteni. A DERT táblában tehát ezen ügylet miatt:</w:t>
      </w:r>
    </w:p>
    <w:p w:rsidR="00BE22CF" w:rsidRPr="003B7DA2" w:rsidRDefault="00BE22CF" w:rsidP="00BE22CF">
      <w:pPr>
        <w:pStyle w:val="BodyText"/>
        <w:rPr>
          <w:rFonts w:ascii="Calibri" w:hAnsi="Calibri"/>
          <w:bCs/>
          <w:sz w:val="22"/>
          <w:szCs w:val="22"/>
        </w:rPr>
      </w:pPr>
      <w:r w:rsidRPr="003B7DA2">
        <w:rPr>
          <w:rFonts w:ascii="Calibri" w:hAnsi="Calibri"/>
          <w:bCs/>
          <w:sz w:val="22"/>
          <w:szCs w:val="22"/>
        </w:rPr>
        <w:t xml:space="preserve">A záró állomány 0, mivel az ügylet a leszállítással lezárult. A nyitó állomány az előző időszak végi záró állománnyal egyenlő, tehát 10 000, a tartozást csökkenti az 500 ezres kiadás, az átértékelés összege pedig a különbözetből adódik: 490 000 Ft összegű… </w:t>
      </w:r>
    </w:p>
    <w:p w:rsidR="00BE22CF" w:rsidRPr="003B7DA2" w:rsidRDefault="00BE22CF" w:rsidP="00BE22CF">
      <w:pPr>
        <w:pStyle w:val="BodyText"/>
        <w:rPr>
          <w:rFonts w:ascii="Calibri" w:hAnsi="Calibri"/>
          <w:b/>
          <w:bCs/>
          <w:sz w:val="22"/>
          <w:szCs w:val="22"/>
          <w:u w:val="single"/>
        </w:rPr>
      </w:pPr>
    </w:p>
    <w:p w:rsidR="00BE22CF" w:rsidRPr="003B7DA2" w:rsidRDefault="00BE22CF" w:rsidP="00BE22CF">
      <w:pPr>
        <w:pStyle w:val="BodyText"/>
        <w:rPr>
          <w:rFonts w:ascii="Calibri" w:hAnsi="Calibri"/>
          <w:b/>
          <w:bCs/>
          <w:sz w:val="22"/>
          <w:szCs w:val="22"/>
          <w:u w:val="single"/>
        </w:rPr>
      </w:pPr>
      <w:r w:rsidRPr="003B7DA2">
        <w:rPr>
          <w:rFonts w:ascii="Calibri" w:hAnsi="Calibri"/>
          <w:b/>
          <w:bCs/>
          <w:sz w:val="22"/>
          <w:szCs w:val="22"/>
          <w:u w:val="single"/>
        </w:rPr>
        <w:t>DERT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1281"/>
        <w:gridCol w:w="918"/>
        <w:gridCol w:w="1022"/>
        <w:gridCol w:w="1131"/>
        <w:gridCol w:w="1242"/>
        <w:gridCol w:w="1156"/>
        <w:gridCol w:w="901"/>
      </w:tblGrid>
      <w:tr w:rsidR="00BE22CF" w:rsidRPr="003B7DA2" w:rsidTr="00D45209">
        <w:tc>
          <w:tcPr>
            <w:tcW w:w="913" w:type="dxa"/>
            <w:vMerge w:val="restart"/>
          </w:tcPr>
          <w:p w:rsidR="00BE22CF" w:rsidRPr="003B7DA2" w:rsidRDefault="00BE22CF" w:rsidP="00BE22CF">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BE22CF" w:rsidRPr="003B7DA2" w:rsidRDefault="00BE22CF" w:rsidP="00BE22CF">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918" w:type="dxa"/>
            <w:vMerge w:val="restart"/>
          </w:tcPr>
          <w:p w:rsidR="00BE22CF" w:rsidRPr="003B7DA2" w:rsidRDefault="00BE22CF" w:rsidP="00BE22CF">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1929" w:type="dxa"/>
            <w:gridSpan w:val="2"/>
          </w:tcPr>
          <w:p w:rsidR="00BE22CF" w:rsidRPr="003B7DA2" w:rsidRDefault="00BE22CF"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127" w:type="dxa"/>
            <w:vMerge w:val="restart"/>
          </w:tcPr>
          <w:p w:rsidR="00BE22CF" w:rsidRPr="003B7DA2" w:rsidRDefault="00BE22CF" w:rsidP="00BE22CF">
            <w:pPr>
              <w:pStyle w:val="BodyText"/>
              <w:rPr>
                <w:rFonts w:ascii="Calibri" w:hAnsi="Calibri" w:cs="Arial"/>
                <w:sz w:val="22"/>
                <w:szCs w:val="22"/>
              </w:rPr>
            </w:pPr>
            <w:r w:rsidRPr="003B7DA2">
              <w:rPr>
                <w:rFonts w:ascii="Calibri" w:hAnsi="Calibri" w:cs="Arial"/>
                <w:sz w:val="22"/>
                <w:szCs w:val="22"/>
              </w:rPr>
              <w:t>Átértékelés</w:t>
            </w:r>
          </w:p>
        </w:tc>
        <w:tc>
          <w:tcPr>
            <w:tcW w:w="1033" w:type="dxa"/>
            <w:vMerge w:val="restart"/>
            <w:vAlign w:val="center"/>
          </w:tcPr>
          <w:p w:rsidR="00BE22CF" w:rsidRPr="003B7DA2" w:rsidRDefault="00BE22CF" w:rsidP="00D45209">
            <w:pPr>
              <w:jc w:val="center"/>
              <w:rPr>
                <w:rFonts w:ascii="Calibri" w:hAnsi="Calibri" w:cs="Arial"/>
                <w:sz w:val="22"/>
                <w:szCs w:val="22"/>
              </w:rPr>
            </w:pPr>
            <w:r w:rsidRPr="003B7DA2">
              <w:rPr>
                <w:rFonts w:ascii="Calibri" w:hAnsi="Calibri" w:cs="Arial"/>
                <w:sz w:val="22"/>
                <w:szCs w:val="22"/>
              </w:rPr>
              <w:t>Egyéb változások</w:t>
            </w:r>
          </w:p>
        </w:tc>
        <w:tc>
          <w:tcPr>
            <w:tcW w:w="901" w:type="dxa"/>
            <w:vMerge w:val="restart"/>
            <w:vAlign w:val="center"/>
          </w:tcPr>
          <w:p w:rsidR="00BE22CF" w:rsidRPr="003B7DA2" w:rsidRDefault="00BE22CF"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BE22CF" w:rsidRPr="003B7DA2" w:rsidTr="00D45209">
        <w:tc>
          <w:tcPr>
            <w:tcW w:w="913" w:type="dxa"/>
            <w:vMerge/>
          </w:tcPr>
          <w:p w:rsidR="00BE22CF" w:rsidRPr="003B7DA2" w:rsidRDefault="00BE22CF" w:rsidP="00BE22CF">
            <w:pPr>
              <w:pStyle w:val="BodyText"/>
              <w:rPr>
                <w:rFonts w:ascii="Calibri" w:hAnsi="Calibri"/>
                <w:b/>
                <w:bCs/>
                <w:sz w:val="22"/>
                <w:szCs w:val="22"/>
                <w:u w:val="single"/>
              </w:rPr>
            </w:pPr>
          </w:p>
        </w:tc>
        <w:tc>
          <w:tcPr>
            <w:tcW w:w="1137" w:type="dxa"/>
            <w:vMerge/>
          </w:tcPr>
          <w:p w:rsidR="00BE22CF" w:rsidRPr="003B7DA2" w:rsidRDefault="00BE22CF" w:rsidP="00BE22CF">
            <w:pPr>
              <w:pStyle w:val="BodyText"/>
              <w:rPr>
                <w:rFonts w:ascii="Calibri" w:hAnsi="Calibri"/>
                <w:b/>
                <w:bCs/>
                <w:sz w:val="22"/>
                <w:szCs w:val="22"/>
                <w:u w:val="single"/>
              </w:rPr>
            </w:pPr>
          </w:p>
        </w:tc>
        <w:tc>
          <w:tcPr>
            <w:tcW w:w="918" w:type="dxa"/>
            <w:vMerge/>
          </w:tcPr>
          <w:p w:rsidR="00BE22CF" w:rsidRPr="003B7DA2" w:rsidRDefault="00BE22CF" w:rsidP="00BE22CF">
            <w:pPr>
              <w:pStyle w:val="BodyText"/>
              <w:rPr>
                <w:rFonts w:ascii="Calibri" w:hAnsi="Calibri"/>
                <w:b/>
                <w:bCs/>
                <w:sz w:val="22"/>
                <w:szCs w:val="22"/>
                <w:u w:val="single"/>
              </w:rPr>
            </w:pPr>
          </w:p>
        </w:tc>
        <w:tc>
          <w:tcPr>
            <w:tcW w:w="904" w:type="dxa"/>
          </w:tcPr>
          <w:p w:rsidR="00BE22CF" w:rsidRPr="003B7DA2" w:rsidRDefault="00BE22CF" w:rsidP="00D45209">
            <w:pPr>
              <w:pStyle w:val="BodyText"/>
              <w:ind w:right="-224"/>
              <w:rPr>
                <w:rFonts w:ascii="Calibri" w:hAnsi="Calibri" w:cs="Arial"/>
                <w:sz w:val="22"/>
                <w:szCs w:val="22"/>
              </w:rPr>
            </w:pPr>
            <w:r w:rsidRPr="003B7DA2">
              <w:rPr>
                <w:rFonts w:ascii="Calibri" w:hAnsi="Calibri" w:cs="Arial"/>
                <w:sz w:val="22"/>
                <w:szCs w:val="22"/>
              </w:rPr>
              <w:t>Állomány t növelő</w:t>
            </w:r>
          </w:p>
          <w:p w:rsidR="00BE22CF" w:rsidRPr="003B7DA2" w:rsidRDefault="00BE22CF" w:rsidP="00BE22CF">
            <w:pPr>
              <w:pStyle w:val="BodyText"/>
              <w:rPr>
                <w:rFonts w:ascii="Calibri" w:hAnsi="Calibri" w:cs="Arial"/>
                <w:sz w:val="22"/>
                <w:szCs w:val="22"/>
              </w:rPr>
            </w:pPr>
            <w:r w:rsidRPr="003B7DA2">
              <w:rPr>
                <w:rFonts w:ascii="Calibri" w:hAnsi="Calibri" w:cs="Arial"/>
                <w:sz w:val="22"/>
                <w:szCs w:val="22"/>
              </w:rPr>
              <w:t>(Bevétel)</w:t>
            </w:r>
          </w:p>
        </w:tc>
        <w:tc>
          <w:tcPr>
            <w:tcW w:w="1025" w:type="dxa"/>
          </w:tcPr>
          <w:p w:rsidR="00BE22CF" w:rsidRPr="003B7DA2" w:rsidRDefault="00BE22CF" w:rsidP="00BE22CF">
            <w:pPr>
              <w:pStyle w:val="BodyText"/>
              <w:rPr>
                <w:rFonts w:ascii="Calibri" w:hAnsi="Calibri" w:cs="Arial"/>
                <w:sz w:val="22"/>
                <w:szCs w:val="22"/>
              </w:rPr>
            </w:pPr>
            <w:r w:rsidRPr="003B7DA2">
              <w:rPr>
                <w:rFonts w:ascii="Calibri" w:hAnsi="Calibri" w:cs="Arial"/>
                <w:sz w:val="22"/>
                <w:szCs w:val="22"/>
              </w:rPr>
              <w:t>Állományt csökkentő</w:t>
            </w:r>
          </w:p>
          <w:p w:rsidR="00BE22CF" w:rsidRPr="003B7DA2" w:rsidRDefault="00BE22CF" w:rsidP="00BE22CF">
            <w:pPr>
              <w:pStyle w:val="BodyText"/>
              <w:rPr>
                <w:rFonts w:ascii="Calibri" w:hAnsi="Calibri" w:cs="Arial"/>
                <w:sz w:val="22"/>
                <w:szCs w:val="22"/>
              </w:rPr>
            </w:pPr>
            <w:r w:rsidRPr="003B7DA2">
              <w:rPr>
                <w:rFonts w:ascii="Calibri" w:hAnsi="Calibri" w:cs="Arial"/>
                <w:sz w:val="22"/>
                <w:szCs w:val="22"/>
              </w:rPr>
              <w:t xml:space="preserve"> (Kiadás)</w:t>
            </w:r>
          </w:p>
        </w:tc>
        <w:tc>
          <w:tcPr>
            <w:tcW w:w="1127" w:type="dxa"/>
            <w:vMerge/>
          </w:tcPr>
          <w:p w:rsidR="00BE22CF" w:rsidRPr="003B7DA2" w:rsidRDefault="00BE22CF" w:rsidP="00BE22CF">
            <w:pPr>
              <w:pStyle w:val="BodyText"/>
              <w:rPr>
                <w:rFonts w:ascii="Calibri" w:hAnsi="Calibri" w:cs="Arial"/>
                <w:sz w:val="22"/>
                <w:szCs w:val="22"/>
              </w:rPr>
            </w:pPr>
          </w:p>
        </w:tc>
        <w:tc>
          <w:tcPr>
            <w:tcW w:w="1033" w:type="dxa"/>
            <w:vMerge/>
          </w:tcPr>
          <w:p w:rsidR="00BE22CF" w:rsidRPr="003B7DA2" w:rsidRDefault="00BE22CF" w:rsidP="00BE22CF">
            <w:pPr>
              <w:pStyle w:val="BodyText"/>
              <w:rPr>
                <w:rFonts w:ascii="Calibri" w:hAnsi="Calibri" w:cs="Arial"/>
                <w:sz w:val="22"/>
                <w:szCs w:val="22"/>
              </w:rPr>
            </w:pPr>
          </w:p>
        </w:tc>
        <w:tc>
          <w:tcPr>
            <w:tcW w:w="901" w:type="dxa"/>
            <w:vMerge/>
          </w:tcPr>
          <w:p w:rsidR="00BE22CF" w:rsidRPr="003B7DA2" w:rsidRDefault="00BE22CF" w:rsidP="00BE22CF">
            <w:pPr>
              <w:pStyle w:val="BodyText"/>
              <w:rPr>
                <w:rFonts w:ascii="Calibri" w:hAnsi="Calibri" w:cs="Arial"/>
                <w:sz w:val="22"/>
                <w:szCs w:val="22"/>
              </w:rPr>
            </w:pPr>
          </w:p>
        </w:tc>
      </w:tr>
      <w:tr w:rsidR="00BE22CF" w:rsidRPr="003B7DA2" w:rsidTr="00D45209">
        <w:tc>
          <w:tcPr>
            <w:tcW w:w="913" w:type="dxa"/>
          </w:tcPr>
          <w:p w:rsidR="00BE22CF" w:rsidRPr="003B7DA2" w:rsidRDefault="00BE22CF" w:rsidP="00BE22CF">
            <w:pPr>
              <w:pStyle w:val="BodyText"/>
              <w:rPr>
                <w:rFonts w:ascii="Calibri" w:hAnsi="Calibri" w:cs="Arial"/>
                <w:sz w:val="22"/>
                <w:szCs w:val="22"/>
              </w:rPr>
            </w:pPr>
            <w:r w:rsidRPr="003B7DA2">
              <w:rPr>
                <w:rFonts w:ascii="Calibri" w:hAnsi="Calibri" w:cs="Arial"/>
                <w:sz w:val="22"/>
                <w:szCs w:val="22"/>
              </w:rPr>
              <w:t>FW</w:t>
            </w:r>
          </w:p>
        </w:tc>
        <w:tc>
          <w:tcPr>
            <w:tcW w:w="1137" w:type="dxa"/>
          </w:tcPr>
          <w:p w:rsidR="00BE22CF" w:rsidRPr="003B7DA2" w:rsidRDefault="00BE22CF" w:rsidP="00BE22CF">
            <w:pPr>
              <w:pStyle w:val="BodyText"/>
              <w:rPr>
                <w:rFonts w:ascii="Calibri" w:hAnsi="Calibri"/>
                <w:bCs/>
                <w:sz w:val="22"/>
                <w:szCs w:val="22"/>
              </w:rPr>
            </w:pPr>
            <w:r w:rsidRPr="003B7DA2">
              <w:rPr>
                <w:rFonts w:ascii="Calibri" w:hAnsi="Calibri" w:cs="Arial"/>
                <w:sz w:val="22"/>
                <w:szCs w:val="22"/>
              </w:rPr>
              <w:t>DE</w:t>
            </w:r>
          </w:p>
        </w:tc>
        <w:tc>
          <w:tcPr>
            <w:tcW w:w="918" w:type="dxa"/>
          </w:tcPr>
          <w:p w:rsidR="00BE22CF" w:rsidRPr="003B7DA2" w:rsidRDefault="00BE22CF" w:rsidP="00BE22CF">
            <w:pPr>
              <w:pStyle w:val="BodyText"/>
              <w:rPr>
                <w:rFonts w:ascii="Calibri" w:hAnsi="Calibri"/>
                <w:bCs/>
                <w:sz w:val="22"/>
                <w:szCs w:val="22"/>
              </w:rPr>
            </w:pPr>
            <w:r w:rsidRPr="003B7DA2">
              <w:rPr>
                <w:rFonts w:ascii="Calibri" w:hAnsi="Calibri"/>
                <w:bCs/>
                <w:sz w:val="22"/>
                <w:szCs w:val="22"/>
              </w:rPr>
              <w:t>10 000</w:t>
            </w:r>
          </w:p>
        </w:tc>
        <w:tc>
          <w:tcPr>
            <w:tcW w:w="904" w:type="dxa"/>
          </w:tcPr>
          <w:p w:rsidR="00BE22CF" w:rsidRPr="003B7DA2" w:rsidRDefault="00BE22CF" w:rsidP="00BE22CF">
            <w:pPr>
              <w:pStyle w:val="BodyText"/>
              <w:rPr>
                <w:rFonts w:ascii="Calibri" w:hAnsi="Calibri"/>
                <w:bCs/>
                <w:sz w:val="22"/>
                <w:szCs w:val="22"/>
              </w:rPr>
            </w:pPr>
            <w:r w:rsidRPr="003B7DA2">
              <w:rPr>
                <w:rFonts w:ascii="Calibri" w:hAnsi="Calibri"/>
                <w:bCs/>
                <w:sz w:val="22"/>
                <w:szCs w:val="22"/>
              </w:rPr>
              <w:t>0</w:t>
            </w:r>
          </w:p>
        </w:tc>
        <w:tc>
          <w:tcPr>
            <w:tcW w:w="1025" w:type="dxa"/>
          </w:tcPr>
          <w:p w:rsidR="00BE22CF" w:rsidRPr="003B7DA2" w:rsidRDefault="00BE22CF" w:rsidP="00BE22CF">
            <w:pPr>
              <w:pStyle w:val="BodyText"/>
              <w:rPr>
                <w:rFonts w:ascii="Calibri" w:hAnsi="Calibri"/>
                <w:bCs/>
                <w:sz w:val="22"/>
                <w:szCs w:val="22"/>
              </w:rPr>
            </w:pPr>
            <w:r w:rsidRPr="003B7DA2">
              <w:rPr>
                <w:rFonts w:ascii="Calibri" w:hAnsi="Calibri"/>
                <w:bCs/>
                <w:sz w:val="22"/>
                <w:szCs w:val="22"/>
              </w:rPr>
              <w:t>500 000</w:t>
            </w:r>
          </w:p>
        </w:tc>
        <w:tc>
          <w:tcPr>
            <w:tcW w:w="1127" w:type="dxa"/>
          </w:tcPr>
          <w:p w:rsidR="00BE22CF" w:rsidRPr="003B7DA2" w:rsidRDefault="00BE22CF" w:rsidP="00BE22CF">
            <w:pPr>
              <w:pStyle w:val="BodyText"/>
              <w:rPr>
                <w:rFonts w:ascii="Calibri" w:hAnsi="Calibri"/>
                <w:bCs/>
                <w:sz w:val="22"/>
                <w:szCs w:val="22"/>
              </w:rPr>
            </w:pPr>
            <w:r w:rsidRPr="003B7DA2">
              <w:rPr>
                <w:rFonts w:ascii="Calibri" w:hAnsi="Calibri"/>
                <w:bCs/>
                <w:sz w:val="22"/>
                <w:szCs w:val="22"/>
              </w:rPr>
              <w:t>490 000</w:t>
            </w:r>
          </w:p>
        </w:tc>
        <w:tc>
          <w:tcPr>
            <w:tcW w:w="1033" w:type="dxa"/>
          </w:tcPr>
          <w:p w:rsidR="00BE22CF" w:rsidRPr="003B7DA2" w:rsidRDefault="00BE22CF" w:rsidP="00BE22CF">
            <w:pPr>
              <w:pStyle w:val="BodyText"/>
              <w:rPr>
                <w:rFonts w:ascii="Calibri" w:hAnsi="Calibri"/>
                <w:bCs/>
                <w:sz w:val="22"/>
                <w:szCs w:val="22"/>
              </w:rPr>
            </w:pPr>
            <w:r w:rsidRPr="003B7DA2">
              <w:rPr>
                <w:rFonts w:ascii="Calibri" w:hAnsi="Calibri"/>
                <w:bCs/>
                <w:sz w:val="22"/>
                <w:szCs w:val="22"/>
              </w:rPr>
              <w:t>0</w:t>
            </w:r>
          </w:p>
        </w:tc>
        <w:tc>
          <w:tcPr>
            <w:tcW w:w="901" w:type="dxa"/>
          </w:tcPr>
          <w:p w:rsidR="00BE22CF" w:rsidRPr="003B7DA2" w:rsidRDefault="00BE22CF" w:rsidP="00BE22CF">
            <w:pPr>
              <w:pStyle w:val="BodyText"/>
              <w:rPr>
                <w:rFonts w:ascii="Calibri" w:hAnsi="Calibri"/>
                <w:bCs/>
                <w:sz w:val="22"/>
                <w:szCs w:val="22"/>
              </w:rPr>
            </w:pPr>
            <w:r w:rsidRPr="003B7DA2">
              <w:rPr>
                <w:rFonts w:ascii="Calibri" w:hAnsi="Calibri"/>
                <w:bCs/>
                <w:sz w:val="22"/>
                <w:szCs w:val="22"/>
              </w:rPr>
              <w:t>0</w:t>
            </w:r>
          </w:p>
        </w:tc>
      </w:tr>
    </w:tbl>
    <w:p w:rsidR="00BE22CF" w:rsidRPr="003B7DA2" w:rsidRDefault="00BE22CF" w:rsidP="00BE22CF">
      <w:pPr>
        <w:rPr>
          <w:rFonts w:ascii="Calibri" w:hAnsi="Calibri"/>
          <w:sz w:val="22"/>
          <w:szCs w:val="22"/>
        </w:rPr>
      </w:pPr>
    </w:p>
    <w:p w:rsidR="0092684C" w:rsidRPr="003B7DA2" w:rsidRDefault="0092684C">
      <w:pPr>
        <w:rPr>
          <w:rFonts w:ascii="Calibri" w:hAnsi="Calibri"/>
          <w:sz w:val="22"/>
          <w:szCs w:val="22"/>
        </w:rPr>
      </w:pPr>
    </w:p>
    <w:p w:rsidR="0092684C" w:rsidRPr="003B7DA2" w:rsidRDefault="0092684C">
      <w:pPr>
        <w:rPr>
          <w:rFonts w:ascii="Calibri" w:hAnsi="Calibri"/>
          <w:sz w:val="22"/>
          <w:szCs w:val="22"/>
        </w:rPr>
      </w:pPr>
    </w:p>
    <w:p w:rsidR="0092684C" w:rsidRPr="003B7DA2" w:rsidRDefault="0092684C">
      <w:pPr>
        <w:pStyle w:val="BodyText"/>
        <w:rPr>
          <w:rFonts w:ascii="Calibri" w:hAnsi="Calibri"/>
          <w:b/>
          <w:bCs/>
          <w:sz w:val="22"/>
          <w:szCs w:val="22"/>
        </w:rPr>
      </w:pPr>
      <w:r w:rsidRPr="003B7DA2">
        <w:rPr>
          <w:rFonts w:ascii="Calibri" w:hAnsi="Calibri"/>
          <w:b/>
          <w:bCs/>
          <w:sz w:val="22"/>
          <w:szCs w:val="22"/>
        </w:rPr>
        <w:t>2. Opciók:</w:t>
      </w:r>
    </w:p>
    <w:p w:rsidR="0092684C" w:rsidRPr="003B7DA2" w:rsidRDefault="0092684C">
      <w:pPr>
        <w:pStyle w:val="BodyText"/>
        <w:rPr>
          <w:rFonts w:ascii="Calibri" w:hAnsi="Calibri"/>
          <w:b/>
          <w:bCs/>
          <w:sz w:val="22"/>
          <w:szCs w:val="22"/>
        </w:rPr>
      </w:pPr>
    </w:p>
    <w:p w:rsidR="0092684C" w:rsidRPr="003B7DA2" w:rsidRDefault="0092684C">
      <w:pPr>
        <w:ind w:left="720"/>
        <w:jc w:val="both"/>
        <w:rPr>
          <w:rFonts w:ascii="Calibri" w:hAnsi="Calibri"/>
          <w:snapToGrid w:val="0"/>
          <w:sz w:val="22"/>
          <w:szCs w:val="22"/>
          <w:lang w:eastAsia="en-US"/>
        </w:rPr>
      </w:pPr>
      <w:r w:rsidRPr="003B7DA2">
        <w:rPr>
          <w:rFonts w:ascii="Calibri" w:hAnsi="Calibri"/>
          <w:snapToGrid w:val="0"/>
          <w:sz w:val="22"/>
          <w:szCs w:val="22"/>
          <w:lang w:eastAsia="en-US"/>
        </w:rPr>
        <w:t xml:space="preserve">Egy </w:t>
      </w:r>
      <w:r w:rsidRPr="003B7DA2">
        <w:rPr>
          <w:rFonts w:ascii="Calibri" w:hAnsi="Calibri"/>
          <w:b/>
          <w:snapToGrid w:val="0"/>
          <w:sz w:val="22"/>
          <w:szCs w:val="22"/>
          <w:lang w:eastAsia="en-US"/>
        </w:rPr>
        <w:t>opció</w:t>
      </w:r>
      <w:r w:rsidRPr="003B7DA2">
        <w:rPr>
          <w:rFonts w:ascii="Calibri" w:hAnsi="Calibri"/>
          <w:snapToGrid w:val="0"/>
          <w:sz w:val="22"/>
          <w:szCs w:val="22"/>
          <w:lang w:eastAsia="en-US"/>
        </w:rPr>
        <w:t xml:space="preserve"> megvásárlója prémiumot fizet az opció kiírójának (eladójának), amiért cserébe megkapja a kötelezettség nélküli jogot arra, hogy vegyen (</w:t>
      </w:r>
      <w:proofErr w:type="spellStart"/>
      <w:r w:rsidRPr="003B7DA2">
        <w:rPr>
          <w:rFonts w:ascii="Calibri" w:hAnsi="Calibri"/>
          <w:snapToGrid w:val="0"/>
          <w:sz w:val="22"/>
          <w:szCs w:val="22"/>
          <w:lang w:eastAsia="en-US"/>
        </w:rPr>
        <w:t>call</w:t>
      </w:r>
      <w:proofErr w:type="spellEnd"/>
      <w:r w:rsidRPr="003B7DA2">
        <w:rPr>
          <w:rFonts w:ascii="Calibri" w:hAnsi="Calibri"/>
          <w:snapToGrid w:val="0"/>
          <w:sz w:val="22"/>
          <w:szCs w:val="22"/>
          <w:lang w:eastAsia="en-US"/>
        </w:rPr>
        <w:t xml:space="preserve"> opció) vagy eladjon (</w:t>
      </w:r>
      <w:proofErr w:type="spellStart"/>
      <w:r w:rsidRPr="003B7DA2">
        <w:rPr>
          <w:rFonts w:ascii="Calibri" w:hAnsi="Calibri"/>
          <w:snapToGrid w:val="0"/>
          <w:sz w:val="22"/>
          <w:szCs w:val="22"/>
          <w:lang w:eastAsia="en-US"/>
        </w:rPr>
        <w:t>put</w:t>
      </w:r>
      <w:proofErr w:type="spellEnd"/>
      <w:r w:rsidRPr="003B7DA2">
        <w:rPr>
          <w:rFonts w:ascii="Calibri" w:hAnsi="Calibri"/>
          <w:snapToGrid w:val="0"/>
          <w:sz w:val="22"/>
          <w:szCs w:val="22"/>
          <w:lang w:eastAsia="en-US"/>
        </w:rPr>
        <w:t xml:space="preserve"> opció) egy meghatározott mögöttes terméket (reál, vagy pénzügyi) egy szerződésben meghatározott áron (kötési, vagy lehívási ár) egy meghatározott jövőbeli (tehát 2 értéknapon túli) időpontban, vagy időpontig. </w:t>
      </w:r>
    </w:p>
    <w:p w:rsidR="0092684C" w:rsidRPr="003B7DA2" w:rsidRDefault="0092684C">
      <w:pPr>
        <w:ind w:left="720"/>
        <w:jc w:val="both"/>
        <w:rPr>
          <w:rFonts w:ascii="Calibri" w:hAnsi="Calibri"/>
          <w:snapToGrid w:val="0"/>
          <w:sz w:val="22"/>
          <w:szCs w:val="22"/>
          <w:lang w:eastAsia="en-US"/>
        </w:rPr>
      </w:pPr>
    </w:p>
    <w:p w:rsidR="0092684C" w:rsidRPr="003B7DA2" w:rsidRDefault="0092684C">
      <w:pPr>
        <w:ind w:left="720"/>
        <w:jc w:val="both"/>
        <w:rPr>
          <w:rFonts w:ascii="Calibri" w:hAnsi="Calibri"/>
          <w:snapToGrid w:val="0"/>
          <w:sz w:val="22"/>
          <w:szCs w:val="22"/>
          <w:lang w:eastAsia="en-US"/>
        </w:rPr>
      </w:pPr>
      <w:r w:rsidRPr="003B7DA2">
        <w:rPr>
          <w:rFonts w:ascii="Calibri" w:hAnsi="Calibri"/>
          <w:snapToGrid w:val="0"/>
          <w:sz w:val="22"/>
          <w:szCs w:val="22"/>
          <w:lang w:eastAsia="en-US"/>
        </w:rPr>
        <w:t>A követelések, tartozások értékelése során természetesen figyelembe kell venni, hogy vételi, vagy eladási opcióról van-e szó (vagyis az opciós jog valamely mögöttes termék eladására, vagy vételére vonatkozik-e), adatszolgáltatási tábláinkban azonban csak az értékelés végeredményét kell feltüntetni</w:t>
      </w:r>
      <w:r w:rsidR="00BF7D76" w:rsidRPr="003B7DA2">
        <w:rPr>
          <w:rFonts w:ascii="Calibri" w:hAnsi="Calibri"/>
          <w:snapToGrid w:val="0"/>
          <w:sz w:val="22"/>
          <w:szCs w:val="22"/>
          <w:lang w:eastAsia="en-US"/>
        </w:rPr>
        <w:t>.</w:t>
      </w:r>
      <w:r w:rsidRPr="003B7DA2">
        <w:rPr>
          <w:rFonts w:ascii="Calibri" w:hAnsi="Calibri"/>
          <w:snapToGrid w:val="0"/>
          <w:sz w:val="22"/>
          <w:szCs w:val="22"/>
          <w:lang w:eastAsia="en-US"/>
        </w:rPr>
        <w:t xml:space="preserve"> </w:t>
      </w:r>
      <w:r w:rsidR="00BF7D76" w:rsidRPr="003B7DA2">
        <w:rPr>
          <w:rFonts w:ascii="Calibri" w:hAnsi="Calibri"/>
          <w:snapToGrid w:val="0"/>
          <w:sz w:val="22"/>
          <w:szCs w:val="22"/>
          <w:lang w:eastAsia="en-US"/>
        </w:rPr>
        <w:t>Így egy-egy</w:t>
      </w:r>
      <w:r w:rsidRPr="003B7DA2">
        <w:rPr>
          <w:rFonts w:ascii="Calibri" w:hAnsi="Calibri"/>
          <w:snapToGrid w:val="0"/>
          <w:sz w:val="22"/>
          <w:szCs w:val="22"/>
          <w:lang w:eastAsia="en-US"/>
        </w:rPr>
        <w:t xml:space="preserve"> sorban </w:t>
      </w:r>
      <w:r w:rsidR="00BF7D76" w:rsidRPr="003B7DA2">
        <w:rPr>
          <w:rFonts w:ascii="Calibri" w:hAnsi="Calibri"/>
          <w:snapToGrid w:val="0"/>
          <w:sz w:val="22"/>
          <w:szCs w:val="22"/>
          <w:lang w:eastAsia="en-US"/>
        </w:rPr>
        <w:t xml:space="preserve">országonként </w:t>
      </w:r>
      <w:r w:rsidRPr="003B7DA2">
        <w:rPr>
          <w:rFonts w:ascii="Calibri" w:hAnsi="Calibri"/>
          <w:snapToGrid w:val="0"/>
          <w:sz w:val="22"/>
          <w:szCs w:val="22"/>
          <w:lang w:eastAsia="en-US"/>
        </w:rPr>
        <w:t>összevontan jelenthetők, amennyiben piaci értékük az adott időpontban pozitív, vagy negatív, függetlenül a mögöttes termék mibenlététől is. A lényeg, hogy eladott (kiírt) opciós jogról van-e szó az adatszolgáltató szempontjából, vagy pedig megvásárolt opciós jogról. Előbbi esetben valamennyi adat a tartozás, utóbbi esetben valamennyi adat a követel táblában jelentendő, az alábbiak szerint:</w:t>
      </w:r>
    </w:p>
    <w:p w:rsidR="0092684C" w:rsidRPr="003B7DA2" w:rsidRDefault="0092684C">
      <w:pPr>
        <w:jc w:val="both"/>
        <w:rPr>
          <w:rFonts w:ascii="Calibri" w:hAnsi="Calibri"/>
          <w:b/>
          <w:snapToGrid w:val="0"/>
          <w:sz w:val="22"/>
          <w:szCs w:val="22"/>
          <w:lang w:eastAsia="en-US"/>
        </w:rPr>
      </w:pPr>
    </w:p>
    <w:p w:rsidR="00921A62" w:rsidRPr="003B7DA2" w:rsidRDefault="00921A62">
      <w:pPr>
        <w:jc w:val="both"/>
        <w:rPr>
          <w:rFonts w:ascii="Calibri" w:hAnsi="Calibri"/>
          <w:b/>
          <w:snapToGrid w:val="0"/>
          <w:sz w:val="22"/>
          <w:szCs w:val="22"/>
          <w:lang w:eastAsia="en-US"/>
        </w:rPr>
      </w:pPr>
    </w:p>
    <w:p w:rsidR="00921A62" w:rsidRPr="003B7DA2" w:rsidRDefault="00921A62">
      <w:pPr>
        <w:jc w:val="both"/>
        <w:rPr>
          <w:rFonts w:ascii="Calibri" w:hAnsi="Calibri"/>
          <w:b/>
          <w:snapToGrid w:val="0"/>
          <w:sz w:val="22"/>
          <w:szCs w:val="22"/>
          <w:lang w:eastAsia="en-US"/>
        </w:rPr>
      </w:pPr>
    </w:p>
    <w:p w:rsidR="00921A62" w:rsidRPr="003B7DA2" w:rsidRDefault="00921A62">
      <w:pPr>
        <w:jc w:val="both"/>
        <w:rPr>
          <w:rFonts w:ascii="Calibri" w:hAnsi="Calibri"/>
          <w:b/>
          <w:snapToGrid w:val="0"/>
          <w:sz w:val="22"/>
          <w:szCs w:val="22"/>
          <w:lang w:eastAsia="en-US"/>
        </w:rPr>
      </w:pPr>
    </w:p>
    <w:p w:rsidR="0092684C" w:rsidRPr="003B7DA2" w:rsidRDefault="0092684C">
      <w:pPr>
        <w:ind w:left="720"/>
        <w:jc w:val="both"/>
        <w:rPr>
          <w:rFonts w:ascii="Calibri" w:hAnsi="Calibri"/>
          <w:b/>
          <w:snapToGrid w:val="0"/>
          <w:sz w:val="22"/>
          <w:szCs w:val="22"/>
          <w:lang w:eastAsia="en-US"/>
        </w:rPr>
      </w:pPr>
      <w:r w:rsidRPr="003B7DA2">
        <w:rPr>
          <w:rFonts w:ascii="Calibri" w:hAnsi="Calibri"/>
          <w:b/>
          <w:snapToGrid w:val="0"/>
          <w:sz w:val="22"/>
          <w:szCs w:val="22"/>
          <w:lang w:eastAsia="en-US"/>
        </w:rPr>
        <w:t>Időszak eleji nyitó és időszak végi záró pozíció:</w:t>
      </w:r>
    </w:p>
    <w:p w:rsidR="0092684C" w:rsidRPr="003B7DA2" w:rsidRDefault="0092684C">
      <w:pPr>
        <w:ind w:left="720"/>
        <w:jc w:val="both"/>
        <w:rPr>
          <w:rFonts w:ascii="Calibri" w:hAnsi="Calibri"/>
          <w:snapToGrid w:val="0"/>
          <w:sz w:val="22"/>
          <w:szCs w:val="22"/>
          <w:lang w:eastAsia="en-US"/>
        </w:rPr>
      </w:pPr>
    </w:p>
    <w:p w:rsidR="0092684C" w:rsidRPr="003B7DA2" w:rsidRDefault="0092684C">
      <w:pPr>
        <w:ind w:left="720"/>
        <w:jc w:val="both"/>
        <w:rPr>
          <w:rFonts w:ascii="Calibri" w:hAnsi="Calibri"/>
          <w:snapToGrid w:val="0"/>
          <w:sz w:val="22"/>
          <w:szCs w:val="22"/>
          <w:lang w:eastAsia="en-US"/>
        </w:rPr>
      </w:pPr>
      <w:r w:rsidRPr="003B7DA2">
        <w:rPr>
          <w:rFonts w:ascii="Calibri" w:hAnsi="Calibri"/>
          <w:snapToGrid w:val="0"/>
          <w:sz w:val="22"/>
          <w:szCs w:val="22"/>
          <w:lang w:eastAsia="en-US"/>
        </w:rPr>
        <w:t xml:space="preserve">Az opciós kontraktus kötésekor az opció vevője mindig eszközhöz jut, tehát követelés pozícióba kerül, míg az opció kiíróját a prémium kézhezvételét követően kötelezettség </w:t>
      </w:r>
      <w:r w:rsidRPr="003B7DA2">
        <w:rPr>
          <w:rFonts w:ascii="Calibri" w:hAnsi="Calibri"/>
          <w:snapToGrid w:val="0"/>
          <w:sz w:val="22"/>
          <w:szCs w:val="22"/>
          <w:lang w:eastAsia="en-US"/>
        </w:rPr>
        <w:lastRenderedPageBreak/>
        <w:t>terheli. (Az opciók kezdeti értéke megegyezik az opció kiírójának fizetett prémiummal, értéke a későbbiek során a piaci árak függvényében változhat.)</w:t>
      </w:r>
    </w:p>
    <w:p w:rsidR="0092684C" w:rsidRPr="003B7DA2" w:rsidRDefault="0092684C">
      <w:pPr>
        <w:ind w:left="720"/>
        <w:jc w:val="both"/>
        <w:rPr>
          <w:rFonts w:ascii="Calibri" w:hAnsi="Calibri"/>
          <w:snapToGrid w:val="0"/>
          <w:sz w:val="22"/>
          <w:szCs w:val="22"/>
          <w:lang w:eastAsia="en-US"/>
        </w:rPr>
      </w:pPr>
      <w:r w:rsidRPr="003B7DA2">
        <w:rPr>
          <w:rFonts w:ascii="Calibri" w:hAnsi="Calibri"/>
          <w:snapToGrid w:val="0"/>
          <w:sz w:val="22"/>
          <w:szCs w:val="22"/>
          <w:lang w:eastAsia="en-US"/>
        </w:rPr>
        <w:t xml:space="preserve">A vevőnek mindig követelése lesz, hiszen jogot szerez, amelyet csak akkor érvényesít, ha az ügylet az ő szempontjából nyereséges lesz, különben nem hívja le az opciót, </w:t>
      </w:r>
      <w:proofErr w:type="gramStart"/>
      <w:r w:rsidRPr="003B7DA2">
        <w:rPr>
          <w:rFonts w:ascii="Calibri" w:hAnsi="Calibri"/>
          <w:snapToGrid w:val="0"/>
          <w:sz w:val="22"/>
          <w:szCs w:val="22"/>
          <w:lang w:eastAsia="en-US"/>
        </w:rPr>
        <w:t>az  további</w:t>
      </w:r>
      <w:proofErr w:type="gramEnd"/>
      <w:r w:rsidRPr="003B7DA2">
        <w:rPr>
          <w:rFonts w:ascii="Calibri" w:hAnsi="Calibri"/>
          <w:snapToGrid w:val="0"/>
          <w:sz w:val="22"/>
          <w:szCs w:val="22"/>
          <w:lang w:eastAsia="en-US"/>
        </w:rPr>
        <w:t xml:space="preserve"> tranzakció bekövetkezte nélkül lejár a lejárat időpontjában. Ekkor az opciós jog vevőjét csak az opciós díj terheli, kiadásként. </w:t>
      </w:r>
    </w:p>
    <w:p w:rsidR="0092684C" w:rsidRPr="003B7DA2" w:rsidRDefault="0092684C">
      <w:pPr>
        <w:ind w:left="720"/>
        <w:jc w:val="both"/>
        <w:rPr>
          <w:rFonts w:ascii="Calibri" w:hAnsi="Calibri"/>
          <w:snapToGrid w:val="0"/>
          <w:sz w:val="22"/>
          <w:szCs w:val="22"/>
          <w:lang w:eastAsia="en-US"/>
        </w:rPr>
      </w:pPr>
      <w:r w:rsidRPr="003B7DA2">
        <w:rPr>
          <w:rFonts w:ascii="Calibri" w:hAnsi="Calibri"/>
          <w:snapToGrid w:val="0"/>
          <w:sz w:val="22"/>
          <w:szCs w:val="22"/>
          <w:lang w:eastAsia="en-US"/>
        </w:rPr>
        <w:t>A kiírónak azonban kötelezettsége, hogy eleget tegyen a vevő kérésének, amennyiben az az opciós jogát érvényesíteni akarja, azaz eladjon, vagy vegyen az opcióban szereplő lehívási áron, akárhogy is alakulnak a piaci árak, így bár bevételhez jutott az opciós díj összegében, potenciális vesztesége az ügyleten akármekkora lehet.</w:t>
      </w:r>
    </w:p>
    <w:p w:rsidR="0092684C" w:rsidRPr="003B7DA2" w:rsidRDefault="0092684C">
      <w:pPr>
        <w:ind w:left="720"/>
        <w:jc w:val="both"/>
        <w:rPr>
          <w:rFonts w:ascii="Calibri" w:hAnsi="Calibri"/>
          <w:snapToGrid w:val="0"/>
          <w:sz w:val="22"/>
          <w:szCs w:val="22"/>
          <w:lang w:eastAsia="en-US"/>
        </w:rPr>
      </w:pPr>
      <w:r w:rsidRPr="003B7DA2">
        <w:rPr>
          <w:rFonts w:ascii="Calibri" w:hAnsi="Calibri"/>
          <w:snapToGrid w:val="0"/>
          <w:sz w:val="22"/>
          <w:szCs w:val="22"/>
          <w:lang w:eastAsia="en-US"/>
        </w:rPr>
        <w:t xml:space="preserve"> </w:t>
      </w:r>
    </w:p>
    <w:p w:rsidR="0092684C" w:rsidRPr="003B7DA2" w:rsidRDefault="0092684C">
      <w:pPr>
        <w:ind w:left="720"/>
        <w:jc w:val="both"/>
        <w:rPr>
          <w:rFonts w:ascii="Calibri" w:hAnsi="Calibri"/>
          <w:snapToGrid w:val="0"/>
          <w:sz w:val="22"/>
          <w:szCs w:val="22"/>
          <w:lang w:eastAsia="en-US"/>
        </w:rPr>
      </w:pPr>
      <w:r w:rsidRPr="003B7DA2">
        <w:rPr>
          <w:rFonts w:ascii="Calibri" w:hAnsi="Calibri"/>
          <w:snapToGrid w:val="0"/>
          <w:sz w:val="22"/>
          <w:szCs w:val="22"/>
          <w:lang w:eastAsia="en-US"/>
        </w:rPr>
        <w:t xml:space="preserve">Mivel egy opciós ügylet mindig a befektető (vagyis az opciót megvásárló fél) követelésének és az eladó tartozásának tekinthető, így a követelés táblában az adatszolgáltató rezidens által megvásárolt (nem rezidens által kiírt) opciók aktuális piaci értékét kell országonként összesíteni, míg a tartozás táblában minden, a rezidens adatszolgáltató által külföldi partnernek eladott opció országonként összesített piaci értékét kell megadni. Az ügyletek piaci értékét vagy konkrét jegyzett ár segítségével, ennek hiányában azt megközelítő, számított piaci ár segítségével lehet kiszámítani, ez utóbbi esetében valamely általánosan elfogadott értékelési módszert alkalmazhat a vállalat, </w:t>
      </w:r>
      <w:proofErr w:type="spellStart"/>
      <w:r w:rsidRPr="003B7DA2">
        <w:rPr>
          <w:rFonts w:ascii="Calibri" w:hAnsi="Calibri"/>
          <w:snapToGrid w:val="0"/>
          <w:sz w:val="22"/>
          <w:szCs w:val="22"/>
          <w:lang w:eastAsia="en-US"/>
        </w:rPr>
        <w:t>p</w:t>
      </w:r>
      <w:r w:rsidRPr="003B7DA2">
        <w:rPr>
          <w:rFonts w:ascii="Calibri" w:hAnsi="Calibri"/>
          <w:sz w:val="22"/>
          <w:szCs w:val="22"/>
        </w:rPr>
        <w:t>l</w:t>
      </w:r>
      <w:proofErr w:type="spellEnd"/>
      <w:r w:rsidRPr="003B7DA2">
        <w:rPr>
          <w:rFonts w:ascii="Calibri" w:hAnsi="Calibri"/>
          <w:sz w:val="22"/>
          <w:szCs w:val="22"/>
        </w:rPr>
        <w:t xml:space="preserve"> a Black-</w:t>
      </w:r>
      <w:proofErr w:type="spellStart"/>
      <w:r w:rsidRPr="003B7DA2">
        <w:rPr>
          <w:rFonts w:ascii="Calibri" w:hAnsi="Calibri"/>
          <w:sz w:val="22"/>
          <w:szCs w:val="22"/>
        </w:rPr>
        <w:t>Scholes</w:t>
      </w:r>
      <w:proofErr w:type="spellEnd"/>
      <w:r w:rsidRPr="003B7DA2">
        <w:rPr>
          <w:rFonts w:ascii="Calibri" w:hAnsi="Calibri"/>
          <w:sz w:val="22"/>
          <w:szCs w:val="22"/>
        </w:rPr>
        <w:t xml:space="preserve"> formulát</w:t>
      </w:r>
      <w:r w:rsidRPr="003B7DA2">
        <w:rPr>
          <w:rFonts w:ascii="Calibri" w:hAnsi="Calibri"/>
          <w:snapToGrid w:val="0"/>
          <w:sz w:val="22"/>
          <w:szCs w:val="22"/>
          <w:lang w:eastAsia="en-US"/>
        </w:rPr>
        <w:t xml:space="preserve">. </w:t>
      </w:r>
    </w:p>
    <w:p w:rsidR="0092684C" w:rsidRPr="003B7DA2" w:rsidRDefault="0092684C">
      <w:pPr>
        <w:ind w:left="720"/>
        <w:jc w:val="both"/>
        <w:rPr>
          <w:rFonts w:ascii="Calibri" w:hAnsi="Calibri"/>
          <w:snapToGrid w:val="0"/>
          <w:sz w:val="22"/>
          <w:szCs w:val="22"/>
          <w:lang w:eastAsia="en-US"/>
        </w:rPr>
      </w:pPr>
    </w:p>
    <w:p w:rsidR="0092684C" w:rsidRPr="003B7DA2" w:rsidRDefault="0092684C">
      <w:pPr>
        <w:ind w:left="720"/>
        <w:jc w:val="both"/>
        <w:rPr>
          <w:rFonts w:ascii="Calibri" w:hAnsi="Calibri"/>
          <w:snapToGrid w:val="0"/>
          <w:sz w:val="22"/>
          <w:szCs w:val="22"/>
          <w:lang w:eastAsia="en-US"/>
        </w:rPr>
      </w:pPr>
      <w:r w:rsidRPr="003B7DA2">
        <w:rPr>
          <w:rFonts w:ascii="Calibri" w:hAnsi="Calibri"/>
          <w:snapToGrid w:val="0"/>
          <w:sz w:val="22"/>
          <w:szCs w:val="22"/>
          <w:lang w:eastAsia="en-US"/>
        </w:rPr>
        <w:t xml:space="preserve">Az ugyanazon partnerrel kötött vásárolt és eladott opciók egymással szemben nem összevezethetők, s nem vezethetők össze ugyanazon mögöttes termékre vonatkozó vásárolt és eladott opciók sem. </w:t>
      </w:r>
    </w:p>
    <w:p w:rsidR="0092684C" w:rsidRPr="003B7DA2" w:rsidRDefault="0092684C">
      <w:pPr>
        <w:ind w:left="720"/>
        <w:jc w:val="both"/>
        <w:rPr>
          <w:rFonts w:ascii="Calibri" w:hAnsi="Calibri"/>
          <w:b/>
          <w:snapToGrid w:val="0"/>
          <w:sz w:val="22"/>
          <w:szCs w:val="22"/>
          <w:lang w:eastAsia="en-US"/>
        </w:rPr>
      </w:pPr>
    </w:p>
    <w:p w:rsidR="0092684C" w:rsidRPr="003B7DA2" w:rsidRDefault="0092684C">
      <w:pPr>
        <w:ind w:left="720"/>
        <w:jc w:val="both"/>
        <w:rPr>
          <w:rFonts w:ascii="Calibri" w:hAnsi="Calibri"/>
          <w:b/>
          <w:snapToGrid w:val="0"/>
          <w:sz w:val="22"/>
          <w:szCs w:val="22"/>
          <w:lang w:eastAsia="en-US"/>
        </w:rPr>
      </w:pPr>
      <w:r w:rsidRPr="003B7DA2">
        <w:rPr>
          <w:rFonts w:ascii="Calibri" w:hAnsi="Calibri"/>
          <w:b/>
          <w:snapToGrid w:val="0"/>
          <w:sz w:val="22"/>
          <w:szCs w:val="22"/>
          <w:lang w:eastAsia="en-US"/>
        </w:rPr>
        <w:t>Tranzakciók:</w:t>
      </w:r>
    </w:p>
    <w:p w:rsidR="0092684C" w:rsidRPr="003B7DA2" w:rsidRDefault="0092684C">
      <w:pPr>
        <w:ind w:left="720"/>
        <w:jc w:val="both"/>
        <w:rPr>
          <w:rFonts w:ascii="Calibri" w:hAnsi="Calibri"/>
          <w:b/>
          <w:snapToGrid w:val="0"/>
          <w:sz w:val="22"/>
          <w:szCs w:val="22"/>
          <w:lang w:eastAsia="en-US"/>
        </w:rPr>
      </w:pPr>
    </w:p>
    <w:p w:rsidR="0092684C" w:rsidRPr="003B7DA2" w:rsidRDefault="0092684C">
      <w:pPr>
        <w:ind w:left="720"/>
        <w:jc w:val="both"/>
        <w:rPr>
          <w:rFonts w:ascii="Calibri" w:hAnsi="Calibri"/>
          <w:sz w:val="22"/>
          <w:szCs w:val="22"/>
        </w:rPr>
      </w:pPr>
      <w:r w:rsidRPr="003B7DA2">
        <w:rPr>
          <w:rFonts w:ascii="Calibri" w:hAnsi="Calibri"/>
          <w:snapToGrid w:val="0"/>
          <w:sz w:val="22"/>
          <w:szCs w:val="22"/>
          <w:lang w:eastAsia="en-US"/>
        </w:rPr>
        <w:t>Ezen mezőkben kell jelenteni az o</w:t>
      </w:r>
      <w:r w:rsidRPr="003B7DA2">
        <w:rPr>
          <w:rFonts w:ascii="Calibri" w:hAnsi="Calibri"/>
          <w:sz w:val="22"/>
          <w:szCs w:val="22"/>
        </w:rPr>
        <w:t xml:space="preserve">pciós jog vételéért/eladásáért fizetett/kapott opciós díjat (prémiumot), továbbá az ügylet lezárásakor a pénzügyi rendezést is. Lezárás történhet az ügylet lehívásával, vagy ellenügylet kötésével, elszámolásos konstrukcióban és a mögöttes termék leszállításával egyaránt. </w:t>
      </w:r>
    </w:p>
    <w:p w:rsidR="0092684C" w:rsidRPr="003B7DA2" w:rsidRDefault="0092684C">
      <w:pPr>
        <w:ind w:left="720"/>
        <w:jc w:val="both"/>
        <w:rPr>
          <w:rFonts w:ascii="Calibri" w:hAnsi="Calibri"/>
          <w:sz w:val="22"/>
          <w:szCs w:val="22"/>
        </w:rPr>
      </w:pPr>
    </w:p>
    <w:p w:rsidR="0092684C" w:rsidRPr="003B7DA2" w:rsidRDefault="0092684C">
      <w:pPr>
        <w:ind w:left="720"/>
        <w:jc w:val="both"/>
        <w:rPr>
          <w:rFonts w:ascii="Calibri" w:hAnsi="Calibri"/>
          <w:sz w:val="22"/>
          <w:szCs w:val="22"/>
        </w:rPr>
      </w:pPr>
      <w:r w:rsidRPr="003B7DA2">
        <w:rPr>
          <w:rFonts w:ascii="Calibri" w:hAnsi="Calibri"/>
          <w:sz w:val="22"/>
          <w:szCs w:val="22"/>
        </w:rPr>
        <w:t xml:space="preserve">Elszámolásos konstrukcióban </w:t>
      </w:r>
      <w:r w:rsidR="002E01FF" w:rsidRPr="003B7DA2">
        <w:rPr>
          <w:rFonts w:ascii="Calibri" w:hAnsi="Calibri"/>
          <w:sz w:val="22"/>
          <w:szCs w:val="22"/>
        </w:rPr>
        <w:t>az ügylet</w:t>
      </w:r>
      <w:r w:rsidRPr="003B7DA2">
        <w:rPr>
          <w:rFonts w:ascii="Calibri" w:hAnsi="Calibri"/>
          <w:sz w:val="22"/>
          <w:szCs w:val="22"/>
        </w:rPr>
        <w:t xml:space="preserve"> lezárásakor, illetve lehívásakor kapott/fizetett nettó összegeket</w:t>
      </w:r>
      <w:r w:rsidR="002E01FF" w:rsidRPr="003B7DA2">
        <w:rPr>
          <w:rFonts w:ascii="Calibri" w:hAnsi="Calibri"/>
          <w:sz w:val="22"/>
          <w:szCs w:val="22"/>
        </w:rPr>
        <w:t xml:space="preserve"> kell tranzakcióként jelenteni</w:t>
      </w:r>
      <w:r w:rsidRPr="003B7DA2">
        <w:rPr>
          <w:rFonts w:ascii="Calibri" w:hAnsi="Calibri"/>
          <w:sz w:val="22"/>
          <w:szCs w:val="22"/>
        </w:rPr>
        <w:t xml:space="preserve">. Bizonyos tőzsdei opció-típusok (elsősorban kamatláb opciók) esetében néhány, az ügylet tartama alatt felmerülő, teljesített változó margin kifizetések, illetve bevételek is ebbe a körbe tartoznak. </w:t>
      </w:r>
    </w:p>
    <w:p w:rsidR="0092684C" w:rsidRPr="003B7DA2" w:rsidRDefault="0092684C">
      <w:pPr>
        <w:ind w:left="720"/>
        <w:jc w:val="both"/>
        <w:rPr>
          <w:rFonts w:ascii="Calibri" w:hAnsi="Calibri"/>
          <w:sz w:val="22"/>
          <w:szCs w:val="22"/>
        </w:rPr>
      </w:pPr>
    </w:p>
    <w:p w:rsidR="0092684C" w:rsidRPr="003B7DA2" w:rsidRDefault="0092684C">
      <w:pPr>
        <w:ind w:left="720"/>
        <w:jc w:val="both"/>
        <w:rPr>
          <w:rFonts w:ascii="Calibri" w:hAnsi="Calibri"/>
          <w:sz w:val="22"/>
          <w:szCs w:val="22"/>
        </w:rPr>
      </w:pPr>
      <w:r w:rsidRPr="003B7DA2">
        <w:rPr>
          <w:rFonts w:ascii="Calibri" w:hAnsi="Calibri"/>
          <w:sz w:val="22"/>
          <w:szCs w:val="22"/>
        </w:rPr>
        <w:t xml:space="preserve">Leszállításos lehívás esetében, amennyiben nem deviza, vagy valutaösszeg vételéről/eladásáról van szó, a mögöttes terméknek az opciós szerződés szerinti lehívási ára, valamint az aktuális piaci ára közötti különbözet tekintendő </w:t>
      </w:r>
      <w:r w:rsidR="002E01FF" w:rsidRPr="003B7DA2">
        <w:rPr>
          <w:rFonts w:ascii="Calibri" w:hAnsi="Calibri"/>
          <w:sz w:val="22"/>
          <w:szCs w:val="22"/>
        </w:rPr>
        <w:t xml:space="preserve">pénzügyi </w:t>
      </w:r>
      <w:proofErr w:type="spellStart"/>
      <w:r w:rsidR="002E01FF" w:rsidRPr="003B7DA2">
        <w:rPr>
          <w:rFonts w:ascii="Calibri" w:hAnsi="Calibri"/>
          <w:sz w:val="22"/>
          <w:szCs w:val="22"/>
        </w:rPr>
        <w:t>derivatíva</w:t>
      </w:r>
      <w:proofErr w:type="spellEnd"/>
      <w:r w:rsidR="002E01FF" w:rsidRPr="003B7DA2">
        <w:rPr>
          <w:rFonts w:ascii="Calibri" w:hAnsi="Calibri"/>
          <w:sz w:val="22"/>
          <w:szCs w:val="22"/>
        </w:rPr>
        <w:t xml:space="preserve"> </w:t>
      </w:r>
      <w:r w:rsidRPr="003B7DA2">
        <w:rPr>
          <w:rFonts w:ascii="Calibri" w:hAnsi="Calibri"/>
          <w:sz w:val="22"/>
          <w:szCs w:val="22"/>
        </w:rPr>
        <w:t xml:space="preserve">tranzakciónak. A deviza, valuta vételre/eladásra kötött opciók esetében a szerződés szerinti bruttó fizetések tüntethetők fel </w:t>
      </w:r>
      <w:proofErr w:type="spellStart"/>
      <w:r w:rsidR="00722D7A" w:rsidRPr="003B7DA2">
        <w:rPr>
          <w:rFonts w:ascii="Calibri" w:hAnsi="Calibri"/>
          <w:sz w:val="22"/>
          <w:szCs w:val="22"/>
        </w:rPr>
        <w:t>derivatíva</w:t>
      </w:r>
      <w:proofErr w:type="spellEnd"/>
      <w:r w:rsidR="00722D7A" w:rsidRPr="003B7DA2">
        <w:rPr>
          <w:rFonts w:ascii="Calibri" w:hAnsi="Calibri"/>
          <w:sz w:val="22"/>
          <w:szCs w:val="22"/>
        </w:rPr>
        <w:t xml:space="preserve"> </w:t>
      </w:r>
      <w:r w:rsidRPr="003B7DA2">
        <w:rPr>
          <w:rFonts w:ascii="Calibri" w:hAnsi="Calibri"/>
          <w:sz w:val="22"/>
          <w:szCs w:val="22"/>
        </w:rPr>
        <w:t xml:space="preserve">tranzakcióként.  </w:t>
      </w:r>
    </w:p>
    <w:p w:rsidR="0092684C" w:rsidRPr="003B7DA2" w:rsidRDefault="0092684C">
      <w:pPr>
        <w:ind w:left="720"/>
        <w:jc w:val="both"/>
        <w:rPr>
          <w:rFonts w:ascii="Calibri" w:hAnsi="Calibri"/>
          <w:sz w:val="22"/>
          <w:szCs w:val="22"/>
        </w:rPr>
      </w:pPr>
    </w:p>
    <w:p w:rsidR="0092684C" w:rsidRPr="003B7DA2" w:rsidRDefault="0092684C">
      <w:pPr>
        <w:pStyle w:val="BodyText"/>
        <w:rPr>
          <w:rFonts w:ascii="Calibri" w:hAnsi="Calibri"/>
          <w:b/>
          <w:bCs/>
          <w:sz w:val="22"/>
          <w:szCs w:val="22"/>
          <w:u w:val="single"/>
        </w:rPr>
      </w:pPr>
      <w:r w:rsidRPr="003B7DA2">
        <w:rPr>
          <w:rFonts w:ascii="Calibri" w:hAnsi="Calibri"/>
          <w:b/>
          <w:bCs/>
          <w:sz w:val="22"/>
          <w:szCs w:val="22"/>
          <w:u w:val="single"/>
        </w:rPr>
        <w:t>Péld</w:t>
      </w:r>
      <w:r w:rsidR="00874533" w:rsidRPr="003B7DA2">
        <w:rPr>
          <w:rFonts w:ascii="Calibri" w:hAnsi="Calibri"/>
          <w:b/>
          <w:bCs/>
          <w:sz w:val="22"/>
          <w:szCs w:val="22"/>
          <w:u w:val="single"/>
        </w:rPr>
        <w:t>ák</w:t>
      </w:r>
      <w:r w:rsidRPr="003B7DA2">
        <w:rPr>
          <w:rFonts w:ascii="Calibri" w:hAnsi="Calibri"/>
          <w:b/>
          <w:bCs/>
          <w:sz w:val="22"/>
          <w:szCs w:val="22"/>
          <w:u w:val="single"/>
        </w:rPr>
        <w:t>:</w:t>
      </w:r>
    </w:p>
    <w:p w:rsidR="0092684C" w:rsidRPr="003B7DA2" w:rsidRDefault="0092684C">
      <w:pPr>
        <w:pStyle w:val="BodyText"/>
        <w:rPr>
          <w:rFonts w:ascii="Calibri" w:hAnsi="Calibri"/>
          <w:bCs/>
          <w:sz w:val="22"/>
          <w:szCs w:val="22"/>
        </w:rPr>
      </w:pPr>
      <w:r w:rsidRPr="003B7DA2">
        <w:rPr>
          <w:rFonts w:ascii="Calibri" w:hAnsi="Calibri"/>
          <w:bCs/>
          <w:sz w:val="22"/>
          <w:szCs w:val="22"/>
        </w:rPr>
        <w:t xml:space="preserve">Itt egy-egy db. eladott, illetve vásárolt opció jelentéséről írunk, több ügylet esetében értelemszerűen kell az adatokat összesíteni, országonként. </w:t>
      </w:r>
    </w:p>
    <w:p w:rsidR="0092684C" w:rsidRPr="003B7DA2" w:rsidRDefault="0092684C">
      <w:pPr>
        <w:pStyle w:val="BodyText"/>
        <w:rPr>
          <w:rFonts w:ascii="Calibri" w:hAnsi="Calibri"/>
          <w:bCs/>
          <w:sz w:val="22"/>
          <w:szCs w:val="22"/>
        </w:rPr>
      </w:pPr>
    </w:p>
    <w:p w:rsidR="00874533" w:rsidRPr="003B7DA2" w:rsidRDefault="00874533" w:rsidP="00874533">
      <w:pPr>
        <w:pStyle w:val="BodyText"/>
        <w:rPr>
          <w:rFonts w:ascii="Calibri" w:hAnsi="Calibri"/>
          <w:bCs/>
          <w:sz w:val="22"/>
          <w:szCs w:val="22"/>
        </w:rPr>
      </w:pPr>
      <w:r w:rsidRPr="003B7DA2">
        <w:rPr>
          <w:rFonts w:ascii="Calibri" w:hAnsi="Calibri"/>
          <w:bCs/>
          <w:sz w:val="22"/>
          <w:szCs w:val="22"/>
        </w:rPr>
        <w:t xml:space="preserve">A rezidens cég német partnerétől vásárol január 10-én jogot arra, hogy április 20-án eladjon neki 1 millió EUR összeget 250 millió HUF ellenében. Ezért a jogért (a január 10-i árak figyelembe vételével) forintra átszámítva 20 millió HUF prémiumot kell fizetnie (a két fél ekkora összegben állapodott meg, ez az összeg a januári tárgyidőszak tranzakciója). </w:t>
      </w:r>
    </w:p>
    <w:p w:rsidR="00874533" w:rsidRPr="003B7DA2" w:rsidRDefault="00874533" w:rsidP="00874533">
      <w:pPr>
        <w:pStyle w:val="BodyText"/>
        <w:rPr>
          <w:rFonts w:ascii="Calibri" w:hAnsi="Calibri"/>
          <w:bCs/>
          <w:sz w:val="22"/>
          <w:szCs w:val="22"/>
        </w:rPr>
      </w:pPr>
      <w:r w:rsidRPr="003B7DA2">
        <w:rPr>
          <w:rFonts w:ascii="Calibri" w:hAnsi="Calibri"/>
          <w:bCs/>
          <w:sz w:val="22"/>
          <w:szCs w:val="22"/>
        </w:rPr>
        <w:lastRenderedPageBreak/>
        <w:t xml:space="preserve">Az árak alakulását figyelembe véve a cég havonta kiértékelte pozícióját, amelynek értéke január végén alacsonyabb, mint az induláskori, a prémiumfizetés miatti 20 millió HUF, ezen egyetlen ügylet január végén számított értéke 10 millió HUF. Mivel megvásárolt opcióról van szó, ez az összeg, hasonlóan a prémiumhoz (az követelést növelő kiadás), mint tranzakcióhoz a DERK táblába sorolandó. A nyitó állomány természetesen 0, az átértékelés összege különbözetként megállapítható. </w:t>
      </w:r>
    </w:p>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
          <w:bCs/>
          <w:sz w:val="22"/>
          <w:szCs w:val="22"/>
          <w:u w:val="single"/>
        </w:rPr>
      </w:pPr>
      <w:r w:rsidRPr="003B7DA2">
        <w:rPr>
          <w:rFonts w:ascii="Calibri" w:hAnsi="Calibri"/>
          <w:b/>
          <w:bCs/>
          <w:sz w:val="22"/>
          <w:szCs w:val="22"/>
          <w:u w:val="single"/>
        </w:rPr>
        <w:t>DERK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1137"/>
        <w:gridCol w:w="918"/>
        <w:gridCol w:w="1100"/>
        <w:gridCol w:w="1080"/>
        <w:gridCol w:w="1440"/>
        <w:gridCol w:w="720"/>
        <w:gridCol w:w="1080"/>
      </w:tblGrid>
      <w:tr w:rsidR="00874533" w:rsidRPr="003B7DA2" w:rsidTr="00D45209">
        <w:tc>
          <w:tcPr>
            <w:tcW w:w="913"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918"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180" w:type="dxa"/>
            <w:gridSpan w:val="2"/>
          </w:tcPr>
          <w:p w:rsidR="00874533" w:rsidRPr="003B7DA2" w:rsidRDefault="00874533"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440" w:type="dxa"/>
            <w:vMerge w:val="restart"/>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Átértékelés</w:t>
            </w:r>
          </w:p>
        </w:tc>
        <w:tc>
          <w:tcPr>
            <w:tcW w:w="720" w:type="dxa"/>
            <w:vMerge w:val="restart"/>
            <w:vAlign w:val="center"/>
          </w:tcPr>
          <w:p w:rsidR="00874533" w:rsidRPr="003B7DA2" w:rsidRDefault="00874533" w:rsidP="00D45209">
            <w:pPr>
              <w:jc w:val="center"/>
              <w:rPr>
                <w:rFonts w:ascii="Calibri" w:hAnsi="Calibri" w:cs="Arial"/>
                <w:sz w:val="22"/>
                <w:szCs w:val="22"/>
              </w:rPr>
            </w:pPr>
            <w:r w:rsidRPr="003B7DA2">
              <w:rPr>
                <w:rFonts w:ascii="Calibri" w:hAnsi="Calibri" w:cs="Arial"/>
                <w:sz w:val="22"/>
                <w:szCs w:val="22"/>
              </w:rPr>
              <w:t xml:space="preserve">Egyéb </w:t>
            </w:r>
            <w:proofErr w:type="spellStart"/>
            <w:r w:rsidRPr="003B7DA2">
              <w:rPr>
                <w:rFonts w:ascii="Calibri" w:hAnsi="Calibri" w:cs="Arial"/>
                <w:sz w:val="22"/>
                <w:szCs w:val="22"/>
              </w:rPr>
              <w:t>válto</w:t>
            </w:r>
            <w:proofErr w:type="spellEnd"/>
            <w:r w:rsidRPr="003B7DA2">
              <w:rPr>
                <w:rFonts w:ascii="Calibri" w:hAnsi="Calibri" w:cs="Arial"/>
                <w:sz w:val="22"/>
                <w:szCs w:val="22"/>
              </w:rPr>
              <w:t xml:space="preserve"> </w:t>
            </w:r>
            <w:proofErr w:type="spellStart"/>
            <w:r w:rsidRPr="003B7DA2">
              <w:rPr>
                <w:rFonts w:ascii="Calibri" w:hAnsi="Calibri" w:cs="Arial"/>
                <w:sz w:val="22"/>
                <w:szCs w:val="22"/>
              </w:rPr>
              <w:t>zások</w:t>
            </w:r>
            <w:proofErr w:type="spellEnd"/>
          </w:p>
        </w:tc>
        <w:tc>
          <w:tcPr>
            <w:tcW w:w="1080" w:type="dxa"/>
            <w:vMerge w:val="restart"/>
            <w:vAlign w:val="center"/>
          </w:tcPr>
          <w:p w:rsidR="00874533" w:rsidRPr="003B7DA2" w:rsidRDefault="00874533"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874533" w:rsidRPr="003B7DA2" w:rsidTr="00D45209">
        <w:tc>
          <w:tcPr>
            <w:tcW w:w="913" w:type="dxa"/>
            <w:vMerge/>
          </w:tcPr>
          <w:p w:rsidR="00874533" w:rsidRPr="003B7DA2" w:rsidRDefault="00874533" w:rsidP="00874533">
            <w:pPr>
              <w:pStyle w:val="BodyText"/>
              <w:rPr>
                <w:rFonts w:ascii="Calibri" w:hAnsi="Calibri"/>
                <w:b/>
                <w:bCs/>
                <w:sz w:val="22"/>
                <w:szCs w:val="22"/>
                <w:u w:val="single"/>
              </w:rPr>
            </w:pPr>
          </w:p>
        </w:tc>
        <w:tc>
          <w:tcPr>
            <w:tcW w:w="1137" w:type="dxa"/>
            <w:vMerge/>
          </w:tcPr>
          <w:p w:rsidR="00874533" w:rsidRPr="003B7DA2" w:rsidRDefault="00874533" w:rsidP="00874533">
            <w:pPr>
              <w:pStyle w:val="BodyText"/>
              <w:rPr>
                <w:rFonts w:ascii="Calibri" w:hAnsi="Calibri"/>
                <w:b/>
                <w:bCs/>
                <w:sz w:val="22"/>
                <w:szCs w:val="22"/>
                <w:u w:val="single"/>
              </w:rPr>
            </w:pPr>
          </w:p>
        </w:tc>
        <w:tc>
          <w:tcPr>
            <w:tcW w:w="918" w:type="dxa"/>
            <w:vMerge/>
          </w:tcPr>
          <w:p w:rsidR="00874533" w:rsidRPr="003B7DA2" w:rsidRDefault="00874533" w:rsidP="00874533">
            <w:pPr>
              <w:pStyle w:val="BodyText"/>
              <w:rPr>
                <w:rFonts w:ascii="Calibri" w:hAnsi="Calibri"/>
                <w:b/>
                <w:bCs/>
                <w:sz w:val="22"/>
                <w:szCs w:val="22"/>
                <w:u w:val="single"/>
              </w:rPr>
            </w:pPr>
          </w:p>
        </w:tc>
        <w:tc>
          <w:tcPr>
            <w:tcW w:w="110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Állományt növelő (Kiadás)</w:t>
            </w:r>
          </w:p>
        </w:tc>
        <w:tc>
          <w:tcPr>
            <w:tcW w:w="108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Állományt csökkentő (Bevétel)</w:t>
            </w:r>
          </w:p>
        </w:tc>
        <w:tc>
          <w:tcPr>
            <w:tcW w:w="1440" w:type="dxa"/>
            <w:vMerge/>
          </w:tcPr>
          <w:p w:rsidR="00874533" w:rsidRPr="003B7DA2" w:rsidRDefault="00874533" w:rsidP="00874533">
            <w:pPr>
              <w:pStyle w:val="BodyText"/>
              <w:rPr>
                <w:rFonts w:ascii="Calibri" w:hAnsi="Calibri" w:cs="Arial"/>
                <w:sz w:val="22"/>
                <w:szCs w:val="22"/>
              </w:rPr>
            </w:pPr>
          </w:p>
        </w:tc>
        <w:tc>
          <w:tcPr>
            <w:tcW w:w="720" w:type="dxa"/>
            <w:vMerge/>
          </w:tcPr>
          <w:p w:rsidR="00874533" w:rsidRPr="003B7DA2" w:rsidRDefault="00874533" w:rsidP="00874533">
            <w:pPr>
              <w:pStyle w:val="BodyText"/>
              <w:rPr>
                <w:rFonts w:ascii="Calibri" w:hAnsi="Calibri" w:cs="Arial"/>
                <w:sz w:val="22"/>
                <w:szCs w:val="22"/>
              </w:rPr>
            </w:pPr>
          </w:p>
        </w:tc>
        <w:tc>
          <w:tcPr>
            <w:tcW w:w="1080" w:type="dxa"/>
            <w:vMerge/>
          </w:tcPr>
          <w:p w:rsidR="00874533" w:rsidRPr="003B7DA2" w:rsidRDefault="00874533" w:rsidP="00874533">
            <w:pPr>
              <w:pStyle w:val="BodyText"/>
              <w:rPr>
                <w:rFonts w:ascii="Calibri" w:hAnsi="Calibri" w:cs="Arial"/>
                <w:sz w:val="22"/>
                <w:szCs w:val="22"/>
              </w:rPr>
            </w:pPr>
          </w:p>
        </w:tc>
      </w:tr>
      <w:tr w:rsidR="00874533" w:rsidRPr="003B7DA2" w:rsidTr="00D45209">
        <w:tc>
          <w:tcPr>
            <w:tcW w:w="913"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OV</w:t>
            </w:r>
          </w:p>
        </w:tc>
        <w:tc>
          <w:tcPr>
            <w:tcW w:w="1137" w:type="dxa"/>
          </w:tcPr>
          <w:p w:rsidR="00874533" w:rsidRPr="003B7DA2" w:rsidRDefault="00874533" w:rsidP="00874533">
            <w:pPr>
              <w:pStyle w:val="BodyText"/>
              <w:rPr>
                <w:rFonts w:ascii="Calibri" w:hAnsi="Calibri"/>
                <w:bCs/>
                <w:sz w:val="22"/>
                <w:szCs w:val="22"/>
              </w:rPr>
            </w:pPr>
            <w:r w:rsidRPr="003B7DA2">
              <w:rPr>
                <w:rFonts w:ascii="Calibri" w:hAnsi="Calibri" w:cs="Arial"/>
                <w:sz w:val="22"/>
                <w:szCs w:val="22"/>
              </w:rPr>
              <w:t>DE</w:t>
            </w:r>
          </w:p>
        </w:tc>
        <w:tc>
          <w:tcPr>
            <w:tcW w:w="918" w:type="dxa"/>
          </w:tcPr>
          <w:p w:rsidR="00874533" w:rsidRPr="003B7DA2" w:rsidRDefault="00874533" w:rsidP="00874533">
            <w:pPr>
              <w:pStyle w:val="BodyText"/>
              <w:rPr>
                <w:rFonts w:ascii="Calibri" w:hAnsi="Calibri"/>
                <w:bCs/>
                <w:sz w:val="22"/>
                <w:szCs w:val="22"/>
              </w:rPr>
            </w:pPr>
            <w:r w:rsidRPr="003B7DA2">
              <w:rPr>
                <w:rFonts w:ascii="Calibri" w:hAnsi="Calibri"/>
                <w:bCs/>
                <w:sz w:val="22"/>
                <w:szCs w:val="22"/>
              </w:rPr>
              <w:t>0</w:t>
            </w:r>
          </w:p>
        </w:tc>
        <w:tc>
          <w:tcPr>
            <w:tcW w:w="110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20 000 000</w:t>
            </w:r>
          </w:p>
        </w:tc>
        <w:tc>
          <w:tcPr>
            <w:tcW w:w="108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0</w:t>
            </w:r>
          </w:p>
        </w:tc>
        <w:tc>
          <w:tcPr>
            <w:tcW w:w="1440" w:type="dxa"/>
          </w:tcPr>
          <w:p w:rsidR="00874533" w:rsidRPr="003B7DA2" w:rsidRDefault="00874533" w:rsidP="00874533">
            <w:pPr>
              <w:pStyle w:val="BodyText"/>
              <w:rPr>
                <w:rFonts w:ascii="Calibri" w:hAnsi="Calibri"/>
                <w:bCs/>
                <w:sz w:val="22"/>
                <w:szCs w:val="22"/>
              </w:rPr>
            </w:pPr>
            <w:r w:rsidRPr="003B7DA2">
              <w:rPr>
                <w:rFonts w:ascii="Calibri" w:hAnsi="Calibri"/>
                <w:bCs/>
                <w:sz w:val="22"/>
                <w:szCs w:val="22"/>
              </w:rPr>
              <w:t xml:space="preserve"> - 10 000 000</w:t>
            </w:r>
          </w:p>
        </w:tc>
        <w:tc>
          <w:tcPr>
            <w:tcW w:w="72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0</w:t>
            </w:r>
          </w:p>
        </w:tc>
        <w:tc>
          <w:tcPr>
            <w:tcW w:w="1080" w:type="dxa"/>
          </w:tcPr>
          <w:p w:rsidR="00874533" w:rsidRPr="003B7DA2" w:rsidRDefault="00874533" w:rsidP="00874533">
            <w:pPr>
              <w:pStyle w:val="BodyText"/>
              <w:rPr>
                <w:rFonts w:ascii="Calibri" w:hAnsi="Calibri"/>
                <w:bCs/>
                <w:sz w:val="22"/>
                <w:szCs w:val="22"/>
              </w:rPr>
            </w:pPr>
            <w:r w:rsidRPr="003B7DA2">
              <w:rPr>
                <w:rFonts w:ascii="Calibri" w:hAnsi="Calibri"/>
                <w:bCs/>
                <w:sz w:val="22"/>
                <w:szCs w:val="22"/>
              </w:rPr>
              <w:t>10 000 000</w:t>
            </w:r>
          </w:p>
        </w:tc>
      </w:tr>
    </w:tbl>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Cs/>
          <w:sz w:val="22"/>
          <w:szCs w:val="22"/>
        </w:rPr>
      </w:pPr>
      <w:r w:rsidRPr="003B7DA2">
        <w:rPr>
          <w:rFonts w:ascii="Calibri" w:hAnsi="Calibri"/>
          <w:bCs/>
          <w:sz w:val="22"/>
          <w:szCs w:val="22"/>
        </w:rPr>
        <w:t xml:space="preserve">Február végére az ügylet értéke ismét 20 millió HUF-ra emelkedett, ez lesz a záró állomány, a nyitó és záró állomány közti különbözet az átértékelés, újabb tranzakció hiányában. </w:t>
      </w:r>
    </w:p>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
          <w:bCs/>
          <w:sz w:val="22"/>
          <w:szCs w:val="22"/>
          <w:u w:val="single"/>
        </w:rPr>
      </w:pPr>
      <w:r w:rsidRPr="003B7DA2">
        <w:rPr>
          <w:rFonts w:ascii="Calibri" w:hAnsi="Calibri"/>
          <w:b/>
          <w:bCs/>
          <w:sz w:val="22"/>
          <w:szCs w:val="22"/>
          <w:u w:val="single"/>
        </w:rPr>
        <w:t>DERK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1137"/>
        <w:gridCol w:w="1298"/>
        <w:gridCol w:w="1080"/>
        <w:gridCol w:w="1260"/>
        <w:gridCol w:w="1440"/>
        <w:gridCol w:w="720"/>
        <w:gridCol w:w="1260"/>
      </w:tblGrid>
      <w:tr w:rsidR="00874533" w:rsidRPr="003B7DA2" w:rsidTr="00D45209">
        <w:tc>
          <w:tcPr>
            <w:tcW w:w="913"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1298"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340" w:type="dxa"/>
            <w:gridSpan w:val="2"/>
          </w:tcPr>
          <w:p w:rsidR="00874533" w:rsidRPr="003B7DA2" w:rsidRDefault="00874533"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440" w:type="dxa"/>
            <w:vMerge w:val="restart"/>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Átértékelés</w:t>
            </w:r>
          </w:p>
        </w:tc>
        <w:tc>
          <w:tcPr>
            <w:tcW w:w="720" w:type="dxa"/>
            <w:vMerge w:val="restart"/>
            <w:vAlign w:val="center"/>
          </w:tcPr>
          <w:p w:rsidR="00874533" w:rsidRPr="003B7DA2" w:rsidRDefault="00874533" w:rsidP="00D45209">
            <w:pPr>
              <w:jc w:val="center"/>
              <w:rPr>
                <w:rFonts w:ascii="Calibri" w:hAnsi="Calibri" w:cs="Arial"/>
                <w:sz w:val="22"/>
                <w:szCs w:val="22"/>
              </w:rPr>
            </w:pPr>
            <w:r w:rsidRPr="003B7DA2">
              <w:rPr>
                <w:rFonts w:ascii="Calibri" w:hAnsi="Calibri" w:cs="Arial"/>
                <w:sz w:val="22"/>
                <w:szCs w:val="22"/>
              </w:rPr>
              <w:t xml:space="preserve">Egyéb </w:t>
            </w:r>
            <w:proofErr w:type="spellStart"/>
            <w:r w:rsidRPr="003B7DA2">
              <w:rPr>
                <w:rFonts w:ascii="Calibri" w:hAnsi="Calibri" w:cs="Arial"/>
                <w:sz w:val="22"/>
                <w:szCs w:val="22"/>
              </w:rPr>
              <w:t>válto</w:t>
            </w:r>
            <w:proofErr w:type="spellEnd"/>
            <w:r w:rsidRPr="003B7DA2">
              <w:rPr>
                <w:rFonts w:ascii="Calibri" w:hAnsi="Calibri" w:cs="Arial"/>
                <w:sz w:val="22"/>
                <w:szCs w:val="22"/>
              </w:rPr>
              <w:t xml:space="preserve"> </w:t>
            </w:r>
            <w:proofErr w:type="spellStart"/>
            <w:r w:rsidRPr="003B7DA2">
              <w:rPr>
                <w:rFonts w:ascii="Calibri" w:hAnsi="Calibri" w:cs="Arial"/>
                <w:sz w:val="22"/>
                <w:szCs w:val="22"/>
              </w:rPr>
              <w:t>zások</w:t>
            </w:r>
            <w:proofErr w:type="spellEnd"/>
          </w:p>
        </w:tc>
        <w:tc>
          <w:tcPr>
            <w:tcW w:w="1260" w:type="dxa"/>
            <w:vMerge w:val="restart"/>
            <w:vAlign w:val="center"/>
          </w:tcPr>
          <w:p w:rsidR="00874533" w:rsidRPr="003B7DA2" w:rsidRDefault="00874533"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874533" w:rsidRPr="003B7DA2" w:rsidTr="00D45209">
        <w:tc>
          <w:tcPr>
            <w:tcW w:w="913" w:type="dxa"/>
            <w:vMerge/>
          </w:tcPr>
          <w:p w:rsidR="00874533" w:rsidRPr="003B7DA2" w:rsidRDefault="00874533" w:rsidP="00874533">
            <w:pPr>
              <w:pStyle w:val="BodyText"/>
              <w:rPr>
                <w:rFonts w:ascii="Calibri" w:hAnsi="Calibri"/>
                <w:b/>
                <w:bCs/>
                <w:sz w:val="22"/>
                <w:szCs w:val="22"/>
                <w:u w:val="single"/>
              </w:rPr>
            </w:pPr>
          </w:p>
        </w:tc>
        <w:tc>
          <w:tcPr>
            <w:tcW w:w="1137" w:type="dxa"/>
            <w:vMerge/>
          </w:tcPr>
          <w:p w:rsidR="00874533" w:rsidRPr="003B7DA2" w:rsidRDefault="00874533" w:rsidP="00874533">
            <w:pPr>
              <w:pStyle w:val="BodyText"/>
              <w:rPr>
                <w:rFonts w:ascii="Calibri" w:hAnsi="Calibri"/>
                <w:b/>
                <w:bCs/>
                <w:sz w:val="22"/>
                <w:szCs w:val="22"/>
                <w:u w:val="single"/>
              </w:rPr>
            </w:pPr>
          </w:p>
        </w:tc>
        <w:tc>
          <w:tcPr>
            <w:tcW w:w="1298" w:type="dxa"/>
            <w:vMerge/>
          </w:tcPr>
          <w:p w:rsidR="00874533" w:rsidRPr="003B7DA2" w:rsidRDefault="00874533" w:rsidP="00874533">
            <w:pPr>
              <w:pStyle w:val="BodyText"/>
              <w:rPr>
                <w:rFonts w:ascii="Calibri" w:hAnsi="Calibri"/>
                <w:b/>
                <w:bCs/>
                <w:sz w:val="22"/>
                <w:szCs w:val="22"/>
                <w:u w:val="single"/>
              </w:rPr>
            </w:pPr>
          </w:p>
        </w:tc>
        <w:tc>
          <w:tcPr>
            <w:tcW w:w="108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Állományt növelő (Kiadás)</w:t>
            </w:r>
          </w:p>
        </w:tc>
        <w:tc>
          <w:tcPr>
            <w:tcW w:w="126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Állományt csökkentő (Bevétel)</w:t>
            </w:r>
          </w:p>
        </w:tc>
        <w:tc>
          <w:tcPr>
            <w:tcW w:w="1440" w:type="dxa"/>
            <w:vMerge/>
          </w:tcPr>
          <w:p w:rsidR="00874533" w:rsidRPr="003B7DA2" w:rsidRDefault="00874533" w:rsidP="00874533">
            <w:pPr>
              <w:pStyle w:val="BodyText"/>
              <w:rPr>
                <w:rFonts w:ascii="Calibri" w:hAnsi="Calibri" w:cs="Arial"/>
                <w:sz w:val="22"/>
                <w:szCs w:val="22"/>
              </w:rPr>
            </w:pPr>
          </w:p>
        </w:tc>
        <w:tc>
          <w:tcPr>
            <w:tcW w:w="720" w:type="dxa"/>
            <w:vMerge/>
          </w:tcPr>
          <w:p w:rsidR="00874533" w:rsidRPr="003B7DA2" w:rsidRDefault="00874533" w:rsidP="00874533">
            <w:pPr>
              <w:pStyle w:val="BodyText"/>
              <w:rPr>
                <w:rFonts w:ascii="Calibri" w:hAnsi="Calibri" w:cs="Arial"/>
                <w:sz w:val="22"/>
                <w:szCs w:val="22"/>
              </w:rPr>
            </w:pPr>
          </w:p>
        </w:tc>
        <w:tc>
          <w:tcPr>
            <w:tcW w:w="1260" w:type="dxa"/>
            <w:vMerge/>
          </w:tcPr>
          <w:p w:rsidR="00874533" w:rsidRPr="003B7DA2" w:rsidRDefault="00874533" w:rsidP="00874533">
            <w:pPr>
              <w:pStyle w:val="BodyText"/>
              <w:rPr>
                <w:rFonts w:ascii="Calibri" w:hAnsi="Calibri" w:cs="Arial"/>
                <w:sz w:val="22"/>
                <w:szCs w:val="22"/>
              </w:rPr>
            </w:pPr>
          </w:p>
        </w:tc>
      </w:tr>
      <w:tr w:rsidR="00874533" w:rsidRPr="003B7DA2" w:rsidTr="00D45209">
        <w:tc>
          <w:tcPr>
            <w:tcW w:w="913"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OV</w:t>
            </w:r>
          </w:p>
        </w:tc>
        <w:tc>
          <w:tcPr>
            <w:tcW w:w="1137" w:type="dxa"/>
          </w:tcPr>
          <w:p w:rsidR="00874533" w:rsidRPr="003B7DA2" w:rsidRDefault="00874533" w:rsidP="00874533">
            <w:pPr>
              <w:pStyle w:val="BodyText"/>
              <w:rPr>
                <w:rFonts w:ascii="Calibri" w:hAnsi="Calibri"/>
                <w:bCs/>
                <w:sz w:val="22"/>
                <w:szCs w:val="22"/>
              </w:rPr>
            </w:pPr>
            <w:r w:rsidRPr="003B7DA2">
              <w:rPr>
                <w:rFonts w:ascii="Calibri" w:hAnsi="Calibri" w:cs="Arial"/>
                <w:sz w:val="22"/>
                <w:szCs w:val="22"/>
              </w:rPr>
              <w:t>DE</w:t>
            </w:r>
          </w:p>
        </w:tc>
        <w:tc>
          <w:tcPr>
            <w:tcW w:w="1298" w:type="dxa"/>
          </w:tcPr>
          <w:p w:rsidR="00874533" w:rsidRPr="003B7DA2" w:rsidRDefault="00874533" w:rsidP="00874533">
            <w:pPr>
              <w:pStyle w:val="BodyText"/>
              <w:rPr>
                <w:rFonts w:ascii="Calibri" w:hAnsi="Calibri"/>
                <w:bCs/>
                <w:sz w:val="22"/>
                <w:szCs w:val="22"/>
              </w:rPr>
            </w:pPr>
            <w:r w:rsidRPr="003B7DA2">
              <w:rPr>
                <w:rFonts w:ascii="Calibri" w:hAnsi="Calibri"/>
                <w:bCs/>
                <w:sz w:val="22"/>
                <w:szCs w:val="22"/>
              </w:rPr>
              <w:t>10 000 000</w:t>
            </w:r>
          </w:p>
        </w:tc>
        <w:tc>
          <w:tcPr>
            <w:tcW w:w="108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0</w:t>
            </w:r>
          </w:p>
        </w:tc>
        <w:tc>
          <w:tcPr>
            <w:tcW w:w="126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0</w:t>
            </w:r>
          </w:p>
        </w:tc>
        <w:tc>
          <w:tcPr>
            <w:tcW w:w="1440" w:type="dxa"/>
          </w:tcPr>
          <w:p w:rsidR="00874533" w:rsidRPr="003B7DA2" w:rsidRDefault="00874533" w:rsidP="00874533">
            <w:pPr>
              <w:pStyle w:val="BodyText"/>
              <w:rPr>
                <w:rFonts w:ascii="Calibri" w:hAnsi="Calibri"/>
                <w:bCs/>
                <w:sz w:val="22"/>
                <w:szCs w:val="22"/>
              </w:rPr>
            </w:pPr>
            <w:r w:rsidRPr="003B7DA2">
              <w:rPr>
                <w:rFonts w:ascii="Calibri" w:hAnsi="Calibri"/>
                <w:bCs/>
                <w:sz w:val="22"/>
                <w:szCs w:val="22"/>
              </w:rPr>
              <w:t xml:space="preserve"> 10 000 000</w:t>
            </w:r>
          </w:p>
        </w:tc>
        <w:tc>
          <w:tcPr>
            <w:tcW w:w="72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0</w:t>
            </w:r>
          </w:p>
        </w:tc>
        <w:tc>
          <w:tcPr>
            <w:tcW w:w="1260" w:type="dxa"/>
          </w:tcPr>
          <w:p w:rsidR="00874533" w:rsidRPr="003B7DA2" w:rsidRDefault="00874533" w:rsidP="00874533">
            <w:pPr>
              <w:pStyle w:val="BodyText"/>
              <w:rPr>
                <w:rFonts w:ascii="Calibri" w:hAnsi="Calibri"/>
                <w:bCs/>
                <w:sz w:val="22"/>
                <w:szCs w:val="22"/>
              </w:rPr>
            </w:pPr>
            <w:r w:rsidRPr="003B7DA2">
              <w:rPr>
                <w:rFonts w:ascii="Calibri" w:hAnsi="Calibri"/>
                <w:bCs/>
                <w:sz w:val="22"/>
                <w:szCs w:val="22"/>
              </w:rPr>
              <w:t>20 000 000</w:t>
            </w:r>
          </w:p>
        </w:tc>
      </w:tr>
    </w:tbl>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Cs/>
          <w:sz w:val="22"/>
          <w:szCs w:val="22"/>
        </w:rPr>
      </w:pPr>
      <w:r w:rsidRPr="003B7DA2">
        <w:rPr>
          <w:rFonts w:ascii="Calibri" w:hAnsi="Calibri"/>
          <w:bCs/>
          <w:sz w:val="22"/>
          <w:szCs w:val="22"/>
        </w:rPr>
        <w:t>Március végén az ügylet értéke 35 millió HUF összeget tett ki.</w:t>
      </w:r>
    </w:p>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
          <w:bCs/>
          <w:sz w:val="22"/>
          <w:szCs w:val="22"/>
          <w:u w:val="single"/>
        </w:rPr>
      </w:pPr>
      <w:r w:rsidRPr="003B7DA2">
        <w:rPr>
          <w:rFonts w:ascii="Calibri" w:hAnsi="Calibri"/>
          <w:b/>
          <w:bCs/>
          <w:sz w:val="22"/>
          <w:szCs w:val="22"/>
          <w:u w:val="single"/>
        </w:rPr>
        <w:t>DERK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1137"/>
        <w:gridCol w:w="1298"/>
        <w:gridCol w:w="1080"/>
        <w:gridCol w:w="1260"/>
        <w:gridCol w:w="1440"/>
        <w:gridCol w:w="720"/>
        <w:gridCol w:w="1260"/>
      </w:tblGrid>
      <w:tr w:rsidR="00874533" w:rsidRPr="003B7DA2" w:rsidTr="00D45209">
        <w:tc>
          <w:tcPr>
            <w:tcW w:w="913"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1298"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340" w:type="dxa"/>
            <w:gridSpan w:val="2"/>
          </w:tcPr>
          <w:p w:rsidR="00874533" w:rsidRPr="003B7DA2" w:rsidRDefault="00874533"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440" w:type="dxa"/>
            <w:vMerge w:val="restart"/>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Átértékelés</w:t>
            </w:r>
          </w:p>
        </w:tc>
        <w:tc>
          <w:tcPr>
            <w:tcW w:w="720" w:type="dxa"/>
            <w:vMerge w:val="restart"/>
            <w:vAlign w:val="center"/>
          </w:tcPr>
          <w:p w:rsidR="00874533" w:rsidRPr="003B7DA2" w:rsidRDefault="00874533" w:rsidP="00D45209">
            <w:pPr>
              <w:jc w:val="center"/>
              <w:rPr>
                <w:rFonts w:ascii="Calibri" w:hAnsi="Calibri" w:cs="Arial"/>
                <w:sz w:val="22"/>
                <w:szCs w:val="22"/>
              </w:rPr>
            </w:pPr>
            <w:r w:rsidRPr="003B7DA2">
              <w:rPr>
                <w:rFonts w:ascii="Calibri" w:hAnsi="Calibri" w:cs="Arial"/>
                <w:sz w:val="22"/>
                <w:szCs w:val="22"/>
              </w:rPr>
              <w:t xml:space="preserve">Egyéb </w:t>
            </w:r>
            <w:proofErr w:type="spellStart"/>
            <w:r w:rsidRPr="003B7DA2">
              <w:rPr>
                <w:rFonts w:ascii="Calibri" w:hAnsi="Calibri" w:cs="Arial"/>
                <w:sz w:val="22"/>
                <w:szCs w:val="22"/>
              </w:rPr>
              <w:t>válto</w:t>
            </w:r>
            <w:proofErr w:type="spellEnd"/>
            <w:r w:rsidRPr="003B7DA2">
              <w:rPr>
                <w:rFonts w:ascii="Calibri" w:hAnsi="Calibri" w:cs="Arial"/>
                <w:sz w:val="22"/>
                <w:szCs w:val="22"/>
              </w:rPr>
              <w:t xml:space="preserve"> </w:t>
            </w:r>
            <w:proofErr w:type="spellStart"/>
            <w:r w:rsidRPr="003B7DA2">
              <w:rPr>
                <w:rFonts w:ascii="Calibri" w:hAnsi="Calibri" w:cs="Arial"/>
                <w:sz w:val="22"/>
                <w:szCs w:val="22"/>
              </w:rPr>
              <w:t>zások</w:t>
            </w:r>
            <w:proofErr w:type="spellEnd"/>
          </w:p>
        </w:tc>
        <w:tc>
          <w:tcPr>
            <w:tcW w:w="1260" w:type="dxa"/>
            <w:vMerge w:val="restart"/>
            <w:vAlign w:val="center"/>
          </w:tcPr>
          <w:p w:rsidR="00874533" w:rsidRPr="003B7DA2" w:rsidRDefault="00874533"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874533" w:rsidRPr="003B7DA2" w:rsidTr="00D45209">
        <w:tc>
          <w:tcPr>
            <w:tcW w:w="913" w:type="dxa"/>
            <w:vMerge/>
          </w:tcPr>
          <w:p w:rsidR="00874533" w:rsidRPr="003B7DA2" w:rsidRDefault="00874533" w:rsidP="00874533">
            <w:pPr>
              <w:pStyle w:val="BodyText"/>
              <w:rPr>
                <w:rFonts w:ascii="Calibri" w:hAnsi="Calibri"/>
                <w:b/>
                <w:bCs/>
                <w:sz w:val="22"/>
                <w:szCs w:val="22"/>
                <w:u w:val="single"/>
              </w:rPr>
            </w:pPr>
          </w:p>
        </w:tc>
        <w:tc>
          <w:tcPr>
            <w:tcW w:w="1137" w:type="dxa"/>
            <w:vMerge/>
          </w:tcPr>
          <w:p w:rsidR="00874533" w:rsidRPr="003B7DA2" w:rsidRDefault="00874533" w:rsidP="00874533">
            <w:pPr>
              <w:pStyle w:val="BodyText"/>
              <w:rPr>
                <w:rFonts w:ascii="Calibri" w:hAnsi="Calibri"/>
                <w:b/>
                <w:bCs/>
                <w:sz w:val="22"/>
                <w:szCs w:val="22"/>
                <w:u w:val="single"/>
              </w:rPr>
            </w:pPr>
          </w:p>
        </w:tc>
        <w:tc>
          <w:tcPr>
            <w:tcW w:w="1298" w:type="dxa"/>
            <w:vMerge/>
          </w:tcPr>
          <w:p w:rsidR="00874533" w:rsidRPr="003B7DA2" w:rsidRDefault="00874533" w:rsidP="00874533">
            <w:pPr>
              <w:pStyle w:val="BodyText"/>
              <w:rPr>
                <w:rFonts w:ascii="Calibri" w:hAnsi="Calibri"/>
                <w:b/>
                <w:bCs/>
                <w:sz w:val="22"/>
                <w:szCs w:val="22"/>
                <w:u w:val="single"/>
              </w:rPr>
            </w:pPr>
          </w:p>
        </w:tc>
        <w:tc>
          <w:tcPr>
            <w:tcW w:w="108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Állományt növelő (Kiadás)</w:t>
            </w:r>
          </w:p>
        </w:tc>
        <w:tc>
          <w:tcPr>
            <w:tcW w:w="126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Állományt csökkentő (Bevétel)</w:t>
            </w:r>
          </w:p>
        </w:tc>
        <w:tc>
          <w:tcPr>
            <w:tcW w:w="1440" w:type="dxa"/>
            <w:vMerge/>
          </w:tcPr>
          <w:p w:rsidR="00874533" w:rsidRPr="003B7DA2" w:rsidRDefault="00874533" w:rsidP="00874533">
            <w:pPr>
              <w:pStyle w:val="BodyText"/>
              <w:rPr>
                <w:rFonts w:ascii="Calibri" w:hAnsi="Calibri" w:cs="Arial"/>
                <w:sz w:val="22"/>
                <w:szCs w:val="22"/>
              </w:rPr>
            </w:pPr>
          </w:p>
        </w:tc>
        <w:tc>
          <w:tcPr>
            <w:tcW w:w="720" w:type="dxa"/>
            <w:vMerge/>
          </w:tcPr>
          <w:p w:rsidR="00874533" w:rsidRPr="003B7DA2" w:rsidRDefault="00874533" w:rsidP="00874533">
            <w:pPr>
              <w:pStyle w:val="BodyText"/>
              <w:rPr>
                <w:rFonts w:ascii="Calibri" w:hAnsi="Calibri" w:cs="Arial"/>
                <w:sz w:val="22"/>
                <w:szCs w:val="22"/>
              </w:rPr>
            </w:pPr>
          </w:p>
        </w:tc>
        <w:tc>
          <w:tcPr>
            <w:tcW w:w="1260" w:type="dxa"/>
            <w:vMerge/>
          </w:tcPr>
          <w:p w:rsidR="00874533" w:rsidRPr="003B7DA2" w:rsidRDefault="00874533" w:rsidP="00874533">
            <w:pPr>
              <w:pStyle w:val="BodyText"/>
              <w:rPr>
                <w:rFonts w:ascii="Calibri" w:hAnsi="Calibri" w:cs="Arial"/>
                <w:sz w:val="22"/>
                <w:szCs w:val="22"/>
              </w:rPr>
            </w:pPr>
          </w:p>
        </w:tc>
      </w:tr>
      <w:tr w:rsidR="00874533" w:rsidRPr="003B7DA2" w:rsidTr="00D45209">
        <w:tc>
          <w:tcPr>
            <w:tcW w:w="913"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OV</w:t>
            </w:r>
          </w:p>
        </w:tc>
        <w:tc>
          <w:tcPr>
            <w:tcW w:w="1137" w:type="dxa"/>
          </w:tcPr>
          <w:p w:rsidR="00874533" w:rsidRPr="003B7DA2" w:rsidRDefault="00874533" w:rsidP="00874533">
            <w:pPr>
              <w:pStyle w:val="BodyText"/>
              <w:rPr>
                <w:rFonts w:ascii="Calibri" w:hAnsi="Calibri"/>
                <w:bCs/>
                <w:sz w:val="22"/>
                <w:szCs w:val="22"/>
              </w:rPr>
            </w:pPr>
            <w:r w:rsidRPr="003B7DA2">
              <w:rPr>
                <w:rFonts w:ascii="Calibri" w:hAnsi="Calibri" w:cs="Arial"/>
                <w:sz w:val="22"/>
                <w:szCs w:val="22"/>
              </w:rPr>
              <w:t>DE</w:t>
            </w:r>
          </w:p>
        </w:tc>
        <w:tc>
          <w:tcPr>
            <w:tcW w:w="1298" w:type="dxa"/>
          </w:tcPr>
          <w:p w:rsidR="00874533" w:rsidRPr="003B7DA2" w:rsidRDefault="00874533" w:rsidP="00874533">
            <w:pPr>
              <w:pStyle w:val="BodyText"/>
              <w:rPr>
                <w:rFonts w:ascii="Calibri" w:hAnsi="Calibri"/>
                <w:bCs/>
                <w:sz w:val="22"/>
                <w:szCs w:val="22"/>
              </w:rPr>
            </w:pPr>
            <w:r w:rsidRPr="003B7DA2">
              <w:rPr>
                <w:rFonts w:ascii="Calibri" w:hAnsi="Calibri"/>
                <w:bCs/>
                <w:sz w:val="22"/>
                <w:szCs w:val="22"/>
              </w:rPr>
              <w:t>20 000 000</w:t>
            </w:r>
          </w:p>
        </w:tc>
        <w:tc>
          <w:tcPr>
            <w:tcW w:w="108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0</w:t>
            </w:r>
          </w:p>
        </w:tc>
        <w:tc>
          <w:tcPr>
            <w:tcW w:w="126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0</w:t>
            </w:r>
          </w:p>
        </w:tc>
        <w:tc>
          <w:tcPr>
            <w:tcW w:w="1440" w:type="dxa"/>
          </w:tcPr>
          <w:p w:rsidR="00874533" w:rsidRPr="003B7DA2" w:rsidRDefault="00874533" w:rsidP="00874533">
            <w:pPr>
              <w:pStyle w:val="BodyText"/>
              <w:rPr>
                <w:rFonts w:ascii="Calibri" w:hAnsi="Calibri"/>
                <w:bCs/>
                <w:sz w:val="22"/>
                <w:szCs w:val="22"/>
              </w:rPr>
            </w:pPr>
            <w:r w:rsidRPr="003B7DA2">
              <w:rPr>
                <w:rFonts w:ascii="Calibri" w:hAnsi="Calibri"/>
                <w:bCs/>
                <w:sz w:val="22"/>
                <w:szCs w:val="22"/>
              </w:rPr>
              <w:t xml:space="preserve"> 15 000 000</w:t>
            </w:r>
          </w:p>
        </w:tc>
        <w:tc>
          <w:tcPr>
            <w:tcW w:w="72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0</w:t>
            </w:r>
          </w:p>
        </w:tc>
        <w:tc>
          <w:tcPr>
            <w:tcW w:w="1260" w:type="dxa"/>
          </w:tcPr>
          <w:p w:rsidR="00874533" w:rsidRPr="003B7DA2" w:rsidRDefault="00874533" w:rsidP="00874533">
            <w:pPr>
              <w:pStyle w:val="BodyText"/>
              <w:rPr>
                <w:rFonts w:ascii="Calibri" w:hAnsi="Calibri"/>
                <w:bCs/>
                <w:sz w:val="22"/>
                <w:szCs w:val="22"/>
              </w:rPr>
            </w:pPr>
            <w:r w:rsidRPr="003B7DA2">
              <w:rPr>
                <w:rFonts w:ascii="Calibri" w:hAnsi="Calibri"/>
                <w:bCs/>
                <w:sz w:val="22"/>
                <w:szCs w:val="22"/>
              </w:rPr>
              <w:t>35 000 000</w:t>
            </w:r>
          </w:p>
        </w:tc>
      </w:tr>
    </w:tbl>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Cs/>
          <w:sz w:val="22"/>
          <w:szCs w:val="22"/>
        </w:rPr>
      </w:pPr>
      <w:r w:rsidRPr="003B7DA2">
        <w:rPr>
          <w:rFonts w:ascii="Calibri" w:hAnsi="Calibri"/>
          <w:bCs/>
          <w:sz w:val="22"/>
          <w:szCs w:val="22"/>
        </w:rPr>
        <w:t xml:space="preserve">Az árak áprilisban is úgy alakultak, hogy az üzlet a vevő cég számára a lehívás időpontjáig nyereséges maradt, ezért lehívta az opciót, vagyis április 20-án 1 millió EUR összeget utalt át a német partnere bankszámlájára, s ennek ellenében kapott 250 millió HUF összeget a szerződésnek megfelelően. (1 EUR ebben az időpontban 200 Ft ellenében volt megvásárolható a piacon, tehát a cég 200 millió forintért megvásárolhatta az 1 millió EUR összeget, amelyet átutalt és cserébe megkapta a 250 millió forintot. A táblában ekkor tranzakcióként a bevételezett 250 millió forintot és a kiadott EUR összeg aktuális piaci árfolyamon számított forint ellenértékét, azaz 200 millió forintot kell szerepeltetni). A nyitó és záró állományok különbözete a tranzakciókon túl az ár/árfolyamváltozások következtében alakult ki, ezért a különbözeti összeget átértékelésként kell jelenteni. </w:t>
      </w:r>
    </w:p>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
          <w:bCs/>
          <w:sz w:val="22"/>
          <w:szCs w:val="22"/>
          <w:u w:val="single"/>
        </w:rPr>
      </w:pPr>
      <w:r w:rsidRPr="003B7DA2">
        <w:rPr>
          <w:rFonts w:ascii="Calibri" w:hAnsi="Calibri"/>
          <w:b/>
          <w:bCs/>
          <w:sz w:val="22"/>
          <w:szCs w:val="22"/>
          <w:u w:val="single"/>
        </w:rPr>
        <w:t>DERK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1137"/>
        <w:gridCol w:w="1298"/>
        <w:gridCol w:w="1260"/>
        <w:gridCol w:w="1260"/>
        <w:gridCol w:w="1260"/>
        <w:gridCol w:w="720"/>
        <w:gridCol w:w="1260"/>
      </w:tblGrid>
      <w:tr w:rsidR="00874533" w:rsidRPr="003B7DA2" w:rsidTr="00D45209">
        <w:tc>
          <w:tcPr>
            <w:tcW w:w="913"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1298"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520" w:type="dxa"/>
            <w:gridSpan w:val="2"/>
          </w:tcPr>
          <w:p w:rsidR="00874533" w:rsidRPr="003B7DA2" w:rsidRDefault="00874533"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260" w:type="dxa"/>
            <w:vMerge w:val="restart"/>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Átértékelés</w:t>
            </w:r>
          </w:p>
        </w:tc>
        <w:tc>
          <w:tcPr>
            <w:tcW w:w="720" w:type="dxa"/>
            <w:vMerge w:val="restart"/>
            <w:vAlign w:val="center"/>
          </w:tcPr>
          <w:p w:rsidR="00874533" w:rsidRPr="003B7DA2" w:rsidRDefault="00874533" w:rsidP="00D45209">
            <w:pPr>
              <w:jc w:val="center"/>
              <w:rPr>
                <w:rFonts w:ascii="Calibri" w:hAnsi="Calibri" w:cs="Arial"/>
                <w:sz w:val="22"/>
                <w:szCs w:val="22"/>
              </w:rPr>
            </w:pPr>
            <w:r w:rsidRPr="003B7DA2">
              <w:rPr>
                <w:rFonts w:ascii="Calibri" w:hAnsi="Calibri" w:cs="Arial"/>
                <w:sz w:val="22"/>
                <w:szCs w:val="22"/>
              </w:rPr>
              <w:t xml:space="preserve">Egyéb </w:t>
            </w:r>
            <w:proofErr w:type="spellStart"/>
            <w:r w:rsidRPr="003B7DA2">
              <w:rPr>
                <w:rFonts w:ascii="Calibri" w:hAnsi="Calibri" w:cs="Arial"/>
                <w:sz w:val="22"/>
                <w:szCs w:val="22"/>
              </w:rPr>
              <w:t>válto</w:t>
            </w:r>
            <w:proofErr w:type="spellEnd"/>
            <w:r w:rsidRPr="003B7DA2">
              <w:rPr>
                <w:rFonts w:ascii="Calibri" w:hAnsi="Calibri" w:cs="Arial"/>
                <w:sz w:val="22"/>
                <w:szCs w:val="22"/>
              </w:rPr>
              <w:t xml:space="preserve"> </w:t>
            </w:r>
            <w:proofErr w:type="spellStart"/>
            <w:r w:rsidRPr="003B7DA2">
              <w:rPr>
                <w:rFonts w:ascii="Calibri" w:hAnsi="Calibri" w:cs="Arial"/>
                <w:sz w:val="22"/>
                <w:szCs w:val="22"/>
              </w:rPr>
              <w:t>zások</w:t>
            </w:r>
            <w:proofErr w:type="spellEnd"/>
          </w:p>
        </w:tc>
        <w:tc>
          <w:tcPr>
            <w:tcW w:w="1260" w:type="dxa"/>
            <w:vMerge w:val="restart"/>
            <w:vAlign w:val="center"/>
          </w:tcPr>
          <w:p w:rsidR="00874533" w:rsidRPr="003B7DA2" w:rsidRDefault="00874533"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874533" w:rsidRPr="003B7DA2" w:rsidTr="00D45209">
        <w:tc>
          <w:tcPr>
            <w:tcW w:w="913" w:type="dxa"/>
            <w:vMerge/>
          </w:tcPr>
          <w:p w:rsidR="00874533" w:rsidRPr="003B7DA2" w:rsidRDefault="00874533" w:rsidP="00874533">
            <w:pPr>
              <w:pStyle w:val="BodyText"/>
              <w:rPr>
                <w:rFonts w:ascii="Calibri" w:hAnsi="Calibri"/>
                <w:b/>
                <w:bCs/>
                <w:sz w:val="22"/>
                <w:szCs w:val="22"/>
                <w:u w:val="single"/>
              </w:rPr>
            </w:pPr>
          </w:p>
        </w:tc>
        <w:tc>
          <w:tcPr>
            <w:tcW w:w="1137" w:type="dxa"/>
            <w:vMerge/>
          </w:tcPr>
          <w:p w:rsidR="00874533" w:rsidRPr="003B7DA2" w:rsidRDefault="00874533" w:rsidP="00874533">
            <w:pPr>
              <w:pStyle w:val="BodyText"/>
              <w:rPr>
                <w:rFonts w:ascii="Calibri" w:hAnsi="Calibri"/>
                <w:b/>
                <w:bCs/>
                <w:sz w:val="22"/>
                <w:szCs w:val="22"/>
                <w:u w:val="single"/>
              </w:rPr>
            </w:pPr>
          </w:p>
        </w:tc>
        <w:tc>
          <w:tcPr>
            <w:tcW w:w="1298" w:type="dxa"/>
            <w:vMerge/>
          </w:tcPr>
          <w:p w:rsidR="00874533" w:rsidRPr="003B7DA2" w:rsidRDefault="00874533" w:rsidP="00874533">
            <w:pPr>
              <w:pStyle w:val="BodyText"/>
              <w:rPr>
                <w:rFonts w:ascii="Calibri" w:hAnsi="Calibri"/>
                <w:b/>
                <w:bCs/>
                <w:sz w:val="22"/>
                <w:szCs w:val="22"/>
                <w:u w:val="single"/>
              </w:rPr>
            </w:pPr>
          </w:p>
        </w:tc>
        <w:tc>
          <w:tcPr>
            <w:tcW w:w="126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Állományt növelő (Kiadás)</w:t>
            </w:r>
          </w:p>
        </w:tc>
        <w:tc>
          <w:tcPr>
            <w:tcW w:w="126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Állományt csökkentő (Bevétel)</w:t>
            </w:r>
          </w:p>
        </w:tc>
        <w:tc>
          <w:tcPr>
            <w:tcW w:w="1260" w:type="dxa"/>
            <w:vMerge/>
          </w:tcPr>
          <w:p w:rsidR="00874533" w:rsidRPr="003B7DA2" w:rsidRDefault="00874533" w:rsidP="00874533">
            <w:pPr>
              <w:pStyle w:val="BodyText"/>
              <w:rPr>
                <w:rFonts w:ascii="Calibri" w:hAnsi="Calibri" w:cs="Arial"/>
                <w:sz w:val="22"/>
                <w:szCs w:val="22"/>
              </w:rPr>
            </w:pPr>
          </w:p>
        </w:tc>
        <w:tc>
          <w:tcPr>
            <w:tcW w:w="720" w:type="dxa"/>
            <w:vMerge/>
          </w:tcPr>
          <w:p w:rsidR="00874533" w:rsidRPr="003B7DA2" w:rsidRDefault="00874533" w:rsidP="00874533">
            <w:pPr>
              <w:pStyle w:val="BodyText"/>
              <w:rPr>
                <w:rFonts w:ascii="Calibri" w:hAnsi="Calibri" w:cs="Arial"/>
                <w:sz w:val="22"/>
                <w:szCs w:val="22"/>
              </w:rPr>
            </w:pPr>
          </w:p>
        </w:tc>
        <w:tc>
          <w:tcPr>
            <w:tcW w:w="1260" w:type="dxa"/>
            <w:vMerge/>
          </w:tcPr>
          <w:p w:rsidR="00874533" w:rsidRPr="003B7DA2" w:rsidRDefault="00874533" w:rsidP="00874533">
            <w:pPr>
              <w:pStyle w:val="BodyText"/>
              <w:rPr>
                <w:rFonts w:ascii="Calibri" w:hAnsi="Calibri" w:cs="Arial"/>
                <w:sz w:val="22"/>
                <w:szCs w:val="22"/>
              </w:rPr>
            </w:pPr>
          </w:p>
        </w:tc>
      </w:tr>
      <w:tr w:rsidR="00874533" w:rsidRPr="003B7DA2" w:rsidTr="00D45209">
        <w:tc>
          <w:tcPr>
            <w:tcW w:w="913"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OV</w:t>
            </w:r>
          </w:p>
        </w:tc>
        <w:tc>
          <w:tcPr>
            <w:tcW w:w="1137" w:type="dxa"/>
          </w:tcPr>
          <w:p w:rsidR="00874533" w:rsidRPr="003B7DA2" w:rsidRDefault="00874533" w:rsidP="00874533">
            <w:pPr>
              <w:pStyle w:val="BodyText"/>
              <w:rPr>
                <w:rFonts w:ascii="Calibri" w:hAnsi="Calibri"/>
                <w:bCs/>
                <w:sz w:val="22"/>
                <w:szCs w:val="22"/>
              </w:rPr>
            </w:pPr>
            <w:r w:rsidRPr="003B7DA2">
              <w:rPr>
                <w:rFonts w:ascii="Calibri" w:hAnsi="Calibri" w:cs="Arial"/>
                <w:sz w:val="22"/>
                <w:szCs w:val="22"/>
              </w:rPr>
              <w:t>DE</w:t>
            </w:r>
          </w:p>
        </w:tc>
        <w:tc>
          <w:tcPr>
            <w:tcW w:w="1298" w:type="dxa"/>
          </w:tcPr>
          <w:p w:rsidR="00874533" w:rsidRPr="003B7DA2" w:rsidRDefault="00874533" w:rsidP="00874533">
            <w:pPr>
              <w:pStyle w:val="BodyText"/>
              <w:rPr>
                <w:rFonts w:ascii="Calibri" w:hAnsi="Calibri"/>
                <w:bCs/>
                <w:sz w:val="22"/>
                <w:szCs w:val="22"/>
              </w:rPr>
            </w:pPr>
            <w:r w:rsidRPr="003B7DA2">
              <w:rPr>
                <w:rFonts w:ascii="Calibri" w:hAnsi="Calibri"/>
                <w:bCs/>
                <w:sz w:val="22"/>
                <w:szCs w:val="22"/>
              </w:rPr>
              <w:t>35 000 000</w:t>
            </w:r>
          </w:p>
        </w:tc>
        <w:tc>
          <w:tcPr>
            <w:tcW w:w="126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200 000 000</w:t>
            </w:r>
          </w:p>
        </w:tc>
        <w:tc>
          <w:tcPr>
            <w:tcW w:w="126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250 000 000</w:t>
            </w:r>
          </w:p>
        </w:tc>
        <w:tc>
          <w:tcPr>
            <w:tcW w:w="1260" w:type="dxa"/>
          </w:tcPr>
          <w:p w:rsidR="00874533" w:rsidRPr="003B7DA2" w:rsidRDefault="00874533" w:rsidP="00874533">
            <w:pPr>
              <w:pStyle w:val="BodyText"/>
              <w:rPr>
                <w:rFonts w:ascii="Calibri" w:hAnsi="Calibri"/>
                <w:bCs/>
                <w:sz w:val="22"/>
                <w:szCs w:val="22"/>
              </w:rPr>
            </w:pPr>
            <w:r w:rsidRPr="003B7DA2">
              <w:rPr>
                <w:rFonts w:ascii="Calibri" w:hAnsi="Calibri"/>
                <w:bCs/>
                <w:sz w:val="22"/>
                <w:szCs w:val="22"/>
              </w:rPr>
              <w:t xml:space="preserve"> 15 000 000</w:t>
            </w:r>
          </w:p>
        </w:tc>
        <w:tc>
          <w:tcPr>
            <w:tcW w:w="72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0</w:t>
            </w:r>
          </w:p>
        </w:tc>
        <w:tc>
          <w:tcPr>
            <w:tcW w:w="1260" w:type="dxa"/>
          </w:tcPr>
          <w:p w:rsidR="00874533" w:rsidRPr="003B7DA2" w:rsidRDefault="00874533" w:rsidP="00874533">
            <w:pPr>
              <w:pStyle w:val="BodyText"/>
              <w:rPr>
                <w:rFonts w:ascii="Calibri" w:hAnsi="Calibri"/>
                <w:bCs/>
                <w:sz w:val="22"/>
                <w:szCs w:val="22"/>
              </w:rPr>
            </w:pPr>
            <w:r w:rsidRPr="003B7DA2">
              <w:rPr>
                <w:rFonts w:ascii="Calibri" w:hAnsi="Calibri"/>
                <w:bCs/>
                <w:sz w:val="22"/>
                <w:szCs w:val="22"/>
              </w:rPr>
              <w:t>0</w:t>
            </w:r>
          </w:p>
        </w:tc>
      </w:tr>
    </w:tbl>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Cs/>
          <w:sz w:val="22"/>
          <w:szCs w:val="22"/>
        </w:rPr>
      </w:pPr>
      <w:r w:rsidRPr="003B7DA2">
        <w:rPr>
          <w:rFonts w:ascii="Calibri" w:hAnsi="Calibri"/>
          <w:bCs/>
          <w:sz w:val="22"/>
          <w:szCs w:val="22"/>
        </w:rPr>
        <w:t xml:space="preserve">A másik példa, az egyszerűség kedvéért a fordítottja: </w:t>
      </w:r>
    </w:p>
    <w:p w:rsidR="00874533" w:rsidRPr="003B7DA2" w:rsidRDefault="00874533" w:rsidP="00874533">
      <w:pPr>
        <w:pStyle w:val="BodyText"/>
        <w:rPr>
          <w:rFonts w:ascii="Calibri" w:hAnsi="Calibri"/>
          <w:bCs/>
          <w:sz w:val="22"/>
          <w:szCs w:val="22"/>
        </w:rPr>
      </w:pPr>
      <w:r w:rsidRPr="003B7DA2">
        <w:rPr>
          <w:rFonts w:ascii="Calibri" w:hAnsi="Calibri"/>
          <w:bCs/>
          <w:sz w:val="22"/>
          <w:szCs w:val="22"/>
        </w:rPr>
        <w:t xml:space="preserve">A rezidens cég német partnerének eladja január 10-én a jogot arra, hogy április 20-án a német cég eladjon neki 1 millió EUR összeget 250 millió HUF ellenében. Ezért a jogért (a január 10-i árak figyelembe vételével) forintra átszámítva 20 millió HUF prémiumot kap a német féltől (januári tranzakció, tartozás állományát növelő), s a </w:t>
      </w:r>
      <w:proofErr w:type="gramStart"/>
      <w:r w:rsidRPr="003B7DA2">
        <w:rPr>
          <w:rFonts w:ascii="Calibri" w:hAnsi="Calibri"/>
          <w:bCs/>
          <w:sz w:val="22"/>
          <w:szCs w:val="22"/>
        </w:rPr>
        <w:t>szerződés kötéstől</w:t>
      </w:r>
      <w:proofErr w:type="gramEnd"/>
      <w:r w:rsidRPr="003B7DA2">
        <w:rPr>
          <w:rFonts w:ascii="Calibri" w:hAnsi="Calibri"/>
          <w:bCs/>
          <w:sz w:val="22"/>
          <w:szCs w:val="22"/>
        </w:rPr>
        <w:t xml:space="preserve"> kezdve kötelezettsége áll fenn, amellyel kapcsolatos minden tételt a DERT táblában jelent. </w:t>
      </w:r>
    </w:p>
    <w:p w:rsidR="00874533" w:rsidRPr="003B7DA2" w:rsidRDefault="00874533" w:rsidP="00874533">
      <w:pPr>
        <w:pStyle w:val="BodyText"/>
        <w:rPr>
          <w:rFonts w:ascii="Calibri" w:hAnsi="Calibri"/>
          <w:bCs/>
          <w:sz w:val="22"/>
          <w:szCs w:val="22"/>
        </w:rPr>
      </w:pPr>
      <w:r w:rsidRPr="003B7DA2">
        <w:rPr>
          <w:rFonts w:ascii="Calibri" w:hAnsi="Calibri"/>
          <w:bCs/>
          <w:sz w:val="22"/>
          <w:szCs w:val="22"/>
        </w:rPr>
        <w:t xml:space="preserve">Az árak alakulását figyelembe véve a cég havonta kiértékelte pozícióját. Ezen egyetlen ügylet január végén számított értéke 10 millió HUF tartozás. </w:t>
      </w:r>
    </w:p>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
          <w:bCs/>
          <w:sz w:val="22"/>
          <w:szCs w:val="22"/>
          <w:u w:val="single"/>
        </w:rPr>
      </w:pPr>
      <w:r w:rsidRPr="003B7DA2">
        <w:rPr>
          <w:rFonts w:ascii="Calibri" w:hAnsi="Calibri"/>
          <w:b/>
          <w:bCs/>
          <w:sz w:val="22"/>
          <w:szCs w:val="22"/>
          <w:u w:val="single"/>
        </w:rPr>
        <w:t>DERT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1137"/>
        <w:gridCol w:w="920"/>
        <w:gridCol w:w="1080"/>
        <w:gridCol w:w="1080"/>
        <w:gridCol w:w="1260"/>
        <w:gridCol w:w="788"/>
        <w:gridCol w:w="1192"/>
      </w:tblGrid>
      <w:tr w:rsidR="00874533" w:rsidRPr="003B7DA2" w:rsidTr="00D45209">
        <w:tc>
          <w:tcPr>
            <w:tcW w:w="913"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920"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160" w:type="dxa"/>
            <w:gridSpan w:val="2"/>
          </w:tcPr>
          <w:p w:rsidR="00874533" w:rsidRPr="003B7DA2" w:rsidRDefault="00874533"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260" w:type="dxa"/>
            <w:vMerge w:val="restart"/>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Átértékelés</w:t>
            </w:r>
          </w:p>
        </w:tc>
        <w:tc>
          <w:tcPr>
            <w:tcW w:w="788" w:type="dxa"/>
            <w:vMerge w:val="restart"/>
            <w:vAlign w:val="center"/>
          </w:tcPr>
          <w:p w:rsidR="00874533" w:rsidRPr="003B7DA2" w:rsidRDefault="00874533" w:rsidP="00D45209">
            <w:pPr>
              <w:jc w:val="center"/>
              <w:rPr>
                <w:rFonts w:ascii="Calibri" w:hAnsi="Calibri" w:cs="Arial"/>
                <w:sz w:val="22"/>
                <w:szCs w:val="22"/>
              </w:rPr>
            </w:pPr>
            <w:r w:rsidRPr="003B7DA2">
              <w:rPr>
                <w:rFonts w:ascii="Calibri" w:hAnsi="Calibri" w:cs="Arial"/>
                <w:sz w:val="22"/>
                <w:szCs w:val="22"/>
              </w:rPr>
              <w:t xml:space="preserve">Egyéb </w:t>
            </w:r>
            <w:proofErr w:type="spellStart"/>
            <w:r w:rsidRPr="003B7DA2">
              <w:rPr>
                <w:rFonts w:ascii="Calibri" w:hAnsi="Calibri" w:cs="Arial"/>
                <w:sz w:val="22"/>
                <w:szCs w:val="22"/>
              </w:rPr>
              <w:t>változá</w:t>
            </w:r>
            <w:proofErr w:type="spellEnd"/>
            <w:r w:rsidRPr="003B7DA2">
              <w:rPr>
                <w:rFonts w:ascii="Calibri" w:hAnsi="Calibri" w:cs="Arial"/>
                <w:sz w:val="22"/>
                <w:szCs w:val="22"/>
              </w:rPr>
              <w:t xml:space="preserve"> sok</w:t>
            </w:r>
          </w:p>
        </w:tc>
        <w:tc>
          <w:tcPr>
            <w:tcW w:w="1192" w:type="dxa"/>
            <w:vMerge w:val="restart"/>
            <w:vAlign w:val="center"/>
          </w:tcPr>
          <w:p w:rsidR="00874533" w:rsidRPr="003B7DA2" w:rsidRDefault="00874533"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874533" w:rsidRPr="003B7DA2" w:rsidTr="00D45209">
        <w:tc>
          <w:tcPr>
            <w:tcW w:w="913" w:type="dxa"/>
            <w:vMerge/>
          </w:tcPr>
          <w:p w:rsidR="00874533" w:rsidRPr="003B7DA2" w:rsidRDefault="00874533" w:rsidP="00874533">
            <w:pPr>
              <w:pStyle w:val="BodyText"/>
              <w:rPr>
                <w:rFonts w:ascii="Calibri" w:hAnsi="Calibri"/>
                <w:b/>
                <w:bCs/>
                <w:sz w:val="22"/>
                <w:szCs w:val="22"/>
                <w:u w:val="single"/>
              </w:rPr>
            </w:pPr>
          </w:p>
        </w:tc>
        <w:tc>
          <w:tcPr>
            <w:tcW w:w="1137" w:type="dxa"/>
            <w:vMerge/>
          </w:tcPr>
          <w:p w:rsidR="00874533" w:rsidRPr="003B7DA2" w:rsidRDefault="00874533" w:rsidP="00874533">
            <w:pPr>
              <w:pStyle w:val="BodyText"/>
              <w:rPr>
                <w:rFonts w:ascii="Calibri" w:hAnsi="Calibri"/>
                <w:b/>
                <w:bCs/>
                <w:sz w:val="22"/>
                <w:szCs w:val="22"/>
                <w:u w:val="single"/>
              </w:rPr>
            </w:pPr>
          </w:p>
        </w:tc>
        <w:tc>
          <w:tcPr>
            <w:tcW w:w="920" w:type="dxa"/>
            <w:vMerge/>
          </w:tcPr>
          <w:p w:rsidR="00874533" w:rsidRPr="003B7DA2" w:rsidRDefault="00874533" w:rsidP="00874533">
            <w:pPr>
              <w:pStyle w:val="BodyText"/>
              <w:rPr>
                <w:rFonts w:ascii="Calibri" w:hAnsi="Calibri"/>
                <w:b/>
                <w:bCs/>
                <w:sz w:val="22"/>
                <w:szCs w:val="22"/>
                <w:u w:val="single"/>
              </w:rPr>
            </w:pPr>
          </w:p>
        </w:tc>
        <w:tc>
          <w:tcPr>
            <w:tcW w:w="108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Állományt növelő (Bevétel)</w:t>
            </w:r>
          </w:p>
        </w:tc>
        <w:tc>
          <w:tcPr>
            <w:tcW w:w="108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Állományt csökkentő</w:t>
            </w:r>
          </w:p>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(Kiadás)</w:t>
            </w:r>
          </w:p>
        </w:tc>
        <w:tc>
          <w:tcPr>
            <w:tcW w:w="1260" w:type="dxa"/>
            <w:vMerge/>
          </w:tcPr>
          <w:p w:rsidR="00874533" w:rsidRPr="003B7DA2" w:rsidRDefault="00874533" w:rsidP="00874533">
            <w:pPr>
              <w:pStyle w:val="BodyText"/>
              <w:rPr>
                <w:rFonts w:ascii="Calibri" w:hAnsi="Calibri" w:cs="Arial"/>
                <w:sz w:val="22"/>
                <w:szCs w:val="22"/>
              </w:rPr>
            </w:pPr>
          </w:p>
        </w:tc>
        <w:tc>
          <w:tcPr>
            <w:tcW w:w="788" w:type="dxa"/>
            <w:vMerge/>
          </w:tcPr>
          <w:p w:rsidR="00874533" w:rsidRPr="003B7DA2" w:rsidRDefault="00874533" w:rsidP="00874533">
            <w:pPr>
              <w:pStyle w:val="BodyText"/>
              <w:rPr>
                <w:rFonts w:ascii="Calibri" w:hAnsi="Calibri" w:cs="Arial"/>
                <w:sz w:val="22"/>
                <w:szCs w:val="22"/>
              </w:rPr>
            </w:pPr>
          </w:p>
        </w:tc>
        <w:tc>
          <w:tcPr>
            <w:tcW w:w="1192" w:type="dxa"/>
            <w:vMerge/>
          </w:tcPr>
          <w:p w:rsidR="00874533" w:rsidRPr="003B7DA2" w:rsidRDefault="00874533" w:rsidP="00874533">
            <w:pPr>
              <w:pStyle w:val="BodyText"/>
              <w:rPr>
                <w:rFonts w:ascii="Calibri" w:hAnsi="Calibri" w:cs="Arial"/>
                <w:sz w:val="22"/>
                <w:szCs w:val="22"/>
              </w:rPr>
            </w:pPr>
          </w:p>
        </w:tc>
      </w:tr>
      <w:tr w:rsidR="00874533" w:rsidRPr="003B7DA2" w:rsidTr="00D45209">
        <w:tc>
          <w:tcPr>
            <w:tcW w:w="913"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OE</w:t>
            </w:r>
          </w:p>
        </w:tc>
        <w:tc>
          <w:tcPr>
            <w:tcW w:w="1137" w:type="dxa"/>
          </w:tcPr>
          <w:p w:rsidR="00874533" w:rsidRPr="003B7DA2" w:rsidRDefault="00874533" w:rsidP="00874533">
            <w:pPr>
              <w:pStyle w:val="BodyText"/>
              <w:rPr>
                <w:rFonts w:ascii="Calibri" w:hAnsi="Calibri"/>
                <w:bCs/>
                <w:sz w:val="22"/>
                <w:szCs w:val="22"/>
              </w:rPr>
            </w:pPr>
            <w:r w:rsidRPr="003B7DA2">
              <w:rPr>
                <w:rFonts w:ascii="Calibri" w:hAnsi="Calibri" w:cs="Arial"/>
                <w:sz w:val="22"/>
                <w:szCs w:val="22"/>
              </w:rPr>
              <w:t>DE</w:t>
            </w:r>
          </w:p>
        </w:tc>
        <w:tc>
          <w:tcPr>
            <w:tcW w:w="920" w:type="dxa"/>
          </w:tcPr>
          <w:p w:rsidR="00874533" w:rsidRPr="003B7DA2" w:rsidRDefault="00874533" w:rsidP="00874533">
            <w:pPr>
              <w:pStyle w:val="BodyText"/>
              <w:rPr>
                <w:rFonts w:ascii="Calibri" w:hAnsi="Calibri"/>
                <w:bCs/>
                <w:sz w:val="22"/>
                <w:szCs w:val="22"/>
              </w:rPr>
            </w:pPr>
            <w:r w:rsidRPr="003B7DA2">
              <w:rPr>
                <w:rFonts w:ascii="Calibri" w:hAnsi="Calibri"/>
                <w:bCs/>
                <w:sz w:val="22"/>
                <w:szCs w:val="22"/>
              </w:rPr>
              <w:t>0</w:t>
            </w:r>
          </w:p>
        </w:tc>
        <w:tc>
          <w:tcPr>
            <w:tcW w:w="108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20 000 000</w:t>
            </w:r>
          </w:p>
        </w:tc>
        <w:tc>
          <w:tcPr>
            <w:tcW w:w="1080" w:type="dxa"/>
          </w:tcPr>
          <w:p w:rsidR="00874533" w:rsidRPr="003B7DA2" w:rsidRDefault="00874533" w:rsidP="00874533">
            <w:pPr>
              <w:pStyle w:val="BodyText"/>
              <w:rPr>
                <w:rFonts w:ascii="Calibri" w:hAnsi="Calibri" w:cs="Arial"/>
                <w:sz w:val="22"/>
                <w:szCs w:val="22"/>
              </w:rPr>
            </w:pPr>
            <w:r w:rsidRPr="003B7DA2">
              <w:rPr>
                <w:rFonts w:ascii="Calibri" w:hAnsi="Calibri"/>
                <w:bCs/>
                <w:sz w:val="22"/>
                <w:szCs w:val="22"/>
              </w:rPr>
              <w:t>0</w:t>
            </w:r>
          </w:p>
        </w:tc>
        <w:tc>
          <w:tcPr>
            <w:tcW w:w="126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- 10 000 000</w:t>
            </w:r>
          </w:p>
        </w:tc>
        <w:tc>
          <w:tcPr>
            <w:tcW w:w="788" w:type="dxa"/>
          </w:tcPr>
          <w:p w:rsidR="00874533" w:rsidRPr="003B7DA2" w:rsidRDefault="00874533" w:rsidP="00874533">
            <w:pPr>
              <w:pStyle w:val="BodyText"/>
              <w:rPr>
                <w:rFonts w:ascii="Calibri" w:hAnsi="Calibri" w:cs="Arial"/>
                <w:sz w:val="22"/>
                <w:szCs w:val="22"/>
              </w:rPr>
            </w:pPr>
            <w:r w:rsidRPr="003B7DA2">
              <w:rPr>
                <w:rFonts w:ascii="Calibri" w:hAnsi="Calibri"/>
                <w:bCs/>
                <w:sz w:val="22"/>
                <w:szCs w:val="22"/>
              </w:rPr>
              <w:t>0</w:t>
            </w:r>
          </w:p>
        </w:tc>
        <w:tc>
          <w:tcPr>
            <w:tcW w:w="1192" w:type="dxa"/>
          </w:tcPr>
          <w:p w:rsidR="00874533" w:rsidRPr="003B7DA2" w:rsidRDefault="00874533" w:rsidP="00874533">
            <w:pPr>
              <w:pStyle w:val="BodyText"/>
              <w:rPr>
                <w:rFonts w:ascii="Calibri" w:hAnsi="Calibri"/>
                <w:bCs/>
                <w:sz w:val="22"/>
                <w:szCs w:val="22"/>
              </w:rPr>
            </w:pPr>
            <w:r w:rsidRPr="003B7DA2">
              <w:rPr>
                <w:rFonts w:ascii="Calibri" w:hAnsi="Calibri"/>
                <w:bCs/>
                <w:sz w:val="22"/>
                <w:szCs w:val="22"/>
              </w:rPr>
              <w:t>10 000 000</w:t>
            </w:r>
          </w:p>
        </w:tc>
      </w:tr>
    </w:tbl>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Cs/>
          <w:sz w:val="22"/>
          <w:szCs w:val="22"/>
        </w:rPr>
      </w:pPr>
      <w:r w:rsidRPr="003B7DA2">
        <w:rPr>
          <w:rFonts w:ascii="Calibri" w:hAnsi="Calibri"/>
          <w:bCs/>
          <w:sz w:val="22"/>
          <w:szCs w:val="22"/>
        </w:rPr>
        <w:t>Február végére az ügylet értéke 20 millió HUF tartozás, a nyitó és záró állomány közötti különbözet az átértékelés összege:</w:t>
      </w:r>
    </w:p>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
          <w:bCs/>
          <w:sz w:val="22"/>
          <w:szCs w:val="22"/>
          <w:u w:val="single"/>
        </w:rPr>
      </w:pPr>
      <w:r w:rsidRPr="003B7DA2">
        <w:rPr>
          <w:rFonts w:ascii="Calibri" w:hAnsi="Calibri"/>
          <w:b/>
          <w:bCs/>
          <w:sz w:val="22"/>
          <w:szCs w:val="22"/>
          <w:u w:val="single"/>
        </w:rPr>
        <w:t>DERT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1137"/>
        <w:gridCol w:w="1118"/>
        <w:gridCol w:w="1080"/>
        <w:gridCol w:w="1080"/>
        <w:gridCol w:w="1260"/>
        <w:gridCol w:w="900"/>
        <w:gridCol w:w="1260"/>
      </w:tblGrid>
      <w:tr w:rsidR="00874533" w:rsidRPr="003B7DA2" w:rsidTr="00D45209">
        <w:tc>
          <w:tcPr>
            <w:tcW w:w="913"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1118"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160" w:type="dxa"/>
            <w:gridSpan w:val="2"/>
          </w:tcPr>
          <w:p w:rsidR="00874533" w:rsidRPr="003B7DA2" w:rsidRDefault="00874533"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260" w:type="dxa"/>
            <w:vMerge w:val="restart"/>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Átértékelés</w:t>
            </w:r>
          </w:p>
        </w:tc>
        <w:tc>
          <w:tcPr>
            <w:tcW w:w="900" w:type="dxa"/>
            <w:vMerge w:val="restart"/>
            <w:vAlign w:val="center"/>
          </w:tcPr>
          <w:p w:rsidR="00874533" w:rsidRPr="003B7DA2" w:rsidRDefault="00874533" w:rsidP="00D45209">
            <w:pPr>
              <w:jc w:val="center"/>
              <w:rPr>
                <w:rFonts w:ascii="Calibri" w:hAnsi="Calibri" w:cs="Arial"/>
                <w:sz w:val="22"/>
                <w:szCs w:val="22"/>
              </w:rPr>
            </w:pPr>
            <w:r w:rsidRPr="003B7DA2">
              <w:rPr>
                <w:rFonts w:ascii="Calibri" w:hAnsi="Calibri" w:cs="Arial"/>
                <w:sz w:val="22"/>
                <w:szCs w:val="22"/>
              </w:rPr>
              <w:t xml:space="preserve">Egyéb </w:t>
            </w:r>
            <w:proofErr w:type="spellStart"/>
            <w:r w:rsidRPr="003B7DA2">
              <w:rPr>
                <w:rFonts w:ascii="Calibri" w:hAnsi="Calibri" w:cs="Arial"/>
                <w:sz w:val="22"/>
                <w:szCs w:val="22"/>
              </w:rPr>
              <w:t>változá</w:t>
            </w:r>
            <w:proofErr w:type="spellEnd"/>
            <w:r w:rsidRPr="003B7DA2">
              <w:rPr>
                <w:rFonts w:ascii="Calibri" w:hAnsi="Calibri" w:cs="Arial"/>
                <w:sz w:val="22"/>
                <w:szCs w:val="22"/>
              </w:rPr>
              <w:t xml:space="preserve"> sok</w:t>
            </w:r>
          </w:p>
        </w:tc>
        <w:tc>
          <w:tcPr>
            <w:tcW w:w="1260" w:type="dxa"/>
            <w:vMerge w:val="restart"/>
            <w:vAlign w:val="center"/>
          </w:tcPr>
          <w:p w:rsidR="00874533" w:rsidRPr="003B7DA2" w:rsidRDefault="00874533"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874533" w:rsidRPr="003B7DA2" w:rsidTr="00D45209">
        <w:tc>
          <w:tcPr>
            <w:tcW w:w="913" w:type="dxa"/>
            <w:vMerge/>
          </w:tcPr>
          <w:p w:rsidR="00874533" w:rsidRPr="003B7DA2" w:rsidRDefault="00874533" w:rsidP="00874533">
            <w:pPr>
              <w:pStyle w:val="BodyText"/>
              <w:rPr>
                <w:rFonts w:ascii="Calibri" w:hAnsi="Calibri"/>
                <w:b/>
                <w:bCs/>
                <w:sz w:val="22"/>
                <w:szCs w:val="22"/>
                <w:u w:val="single"/>
              </w:rPr>
            </w:pPr>
          </w:p>
        </w:tc>
        <w:tc>
          <w:tcPr>
            <w:tcW w:w="1137" w:type="dxa"/>
            <w:vMerge/>
          </w:tcPr>
          <w:p w:rsidR="00874533" w:rsidRPr="003B7DA2" w:rsidRDefault="00874533" w:rsidP="00874533">
            <w:pPr>
              <w:pStyle w:val="BodyText"/>
              <w:rPr>
                <w:rFonts w:ascii="Calibri" w:hAnsi="Calibri"/>
                <w:b/>
                <w:bCs/>
                <w:sz w:val="22"/>
                <w:szCs w:val="22"/>
                <w:u w:val="single"/>
              </w:rPr>
            </w:pPr>
          </w:p>
        </w:tc>
        <w:tc>
          <w:tcPr>
            <w:tcW w:w="1118" w:type="dxa"/>
            <w:vMerge/>
          </w:tcPr>
          <w:p w:rsidR="00874533" w:rsidRPr="003B7DA2" w:rsidRDefault="00874533" w:rsidP="00874533">
            <w:pPr>
              <w:pStyle w:val="BodyText"/>
              <w:rPr>
                <w:rFonts w:ascii="Calibri" w:hAnsi="Calibri"/>
                <w:b/>
                <w:bCs/>
                <w:sz w:val="22"/>
                <w:szCs w:val="22"/>
                <w:u w:val="single"/>
              </w:rPr>
            </w:pPr>
          </w:p>
        </w:tc>
        <w:tc>
          <w:tcPr>
            <w:tcW w:w="108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Állományt növelő (Bevétel)</w:t>
            </w:r>
          </w:p>
        </w:tc>
        <w:tc>
          <w:tcPr>
            <w:tcW w:w="108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Állományt csökkentő</w:t>
            </w:r>
          </w:p>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(Kiadás)</w:t>
            </w:r>
          </w:p>
        </w:tc>
        <w:tc>
          <w:tcPr>
            <w:tcW w:w="1260" w:type="dxa"/>
            <w:vMerge/>
          </w:tcPr>
          <w:p w:rsidR="00874533" w:rsidRPr="003B7DA2" w:rsidRDefault="00874533" w:rsidP="00874533">
            <w:pPr>
              <w:pStyle w:val="BodyText"/>
              <w:rPr>
                <w:rFonts w:ascii="Calibri" w:hAnsi="Calibri" w:cs="Arial"/>
                <w:sz w:val="22"/>
                <w:szCs w:val="22"/>
              </w:rPr>
            </w:pPr>
          </w:p>
        </w:tc>
        <w:tc>
          <w:tcPr>
            <w:tcW w:w="900" w:type="dxa"/>
            <w:vMerge/>
          </w:tcPr>
          <w:p w:rsidR="00874533" w:rsidRPr="003B7DA2" w:rsidRDefault="00874533" w:rsidP="00874533">
            <w:pPr>
              <w:pStyle w:val="BodyText"/>
              <w:rPr>
                <w:rFonts w:ascii="Calibri" w:hAnsi="Calibri" w:cs="Arial"/>
                <w:sz w:val="22"/>
                <w:szCs w:val="22"/>
              </w:rPr>
            </w:pPr>
          </w:p>
        </w:tc>
        <w:tc>
          <w:tcPr>
            <w:tcW w:w="1260" w:type="dxa"/>
            <w:vMerge/>
          </w:tcPr>
          <w:p w:rsidR="00874533" w:rsidRPr="003B7DA2" w:rsidRDefault="00874533" w:rsidP="00874533">
            <w:pPr>
              <w:pStyle w:val="BodyText"/>
              <w:rPr>
                <w:rFonts w:ascii="Calibri" w:hAnsi="Calibri" w:cs="Arial"/>
                <w:sz w:val="22"/>
                <w:szCs w:val="22"/>
              </w:rPr>
            </w:pPr>
          </w:p>
        </w:tc>
      </w:tr>
      <w:tr w:rsidR="00874533" w:rsidRPr="003B7DA2" w:rsidTr="00D45209">
        <w:tc>
          <w:tcPr>
            <w:tcW w:w="913"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OE</w:t>
            </w:r>
          </w:p>
        </w:tc>
        <w:tc>
          <w:tcPr>
            <w:tcW w:w="1137" w:type="dxa"/>
          </w:tcPr>
          <w:p w:rsidR="00874533" w:rsidRPr="003B7DA2" w:rsidRDefault="00874533" w:rsidP="00874533">
            <w:pPr>
              <w:pStyle w:val="BodyText"/>
              <w:rPr>
                <w:rFonts w:ascii="Calibri" w:hAnsi="Calibri"/>
                <w:bCs/>
                <w:sz w:val="22"/>
                <w:szCs w:val="22"/>
              </w:rPr>
            </w:pPr>
            <w:r w:rsidRPr="003B7DA2">
              <w:rPr>
                <w:rFonts w:ascii="Calibri" w:hAnsi="Calibri" w:cs="Arial"/>
                <w:sz w:val="22"/>
                <w:szCs w:val="22"/>
              </w:rPr>
              <w:t>DE</w:t>
            </w:r>
          </w:p>
        </w:tc>
        <w:tc>
          <w:tcPr>
            <w:tcW w:w="1118" w:type="dxa"/>
          </w:tcPr>
          <w:p w:rsidR="00874533" w:rsidRPr="003B7DA2" w:rsidRDefault="00874533" w:rsidP="00874533">
            <w:pPr>
              <w:pStyle w:val="BodyText"/>
              <w:rPr>
                <w:rFonts w:ascii="Calibri" w:hAnsi="Calibri"/>
                <w:bCs/>
                <w:sz w:val="22"/>
                <w:szCs w:val="22"/>
              </w:rPr>
            </w:pPr>
            <w:r w:rsidRPr="003B7DA2">
              <w:rPr>
                <w:rFonts w:ascii="Calibri" w:hAnsi="Calibri" w:cs="Arial"/>
                <w:sz w:val="22"/>
                <w:szCs w:val="22"/>
              </w:rPr>
              <w:t>10 000 000</w:t>
            </w:r>
          </w:p>
        </w:tc>
        <w:tc>
          <w:tcPr>
            <w:tcW w:w="108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0</w:t>
            </w:r>
          </w:p>
        </w:tc>
        <w:tc>
          <w:tcPr>
            <w:tcW w:w="1080" w:type="dxa"/>
          </w:tcPr>
          <w:p w:rsidR="00874533" w:rsidRPr="003B7DA2" w:rsidRDefault="00874533" w:rsidP="00874533">
            <w:pPr>
              <w:pStyle w:val="BodyText"/>
              <w:rPr>
                <w:rFonts w:ascii="Calibri" w:hAnsi="Calibri" w:cs="Arial"/>
                <w:sz w:val="22"/>
                <w:szCs w:val="22"/>
              </w:rPr>
            </w:pPr>
            <w:r w:rsidRPr="003B7DA2">
              <w:rPr>
                <w:rFonts w:ascii="Calibri" w:hAnsi="Calibri"/>
                <w:bCs/>
                <w:sz w:val="22"/>
                <w:szCs w:val="22"/>
              </w:rPr>
              <w:t>0</w:t>
            </w:r>
          </w:p>
        </w:tc>
        <w:tc>
          <w:tcPr>
            <w:tcW w:w="126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10 000 000</w:t>
            </w:r>
          </w:p>
        </w:tc>
        <w:tc>
          <w:tcPr>
            <w:tcW w:w="900" w:type="dxa"/>
          </w:tcPr>
          <w:p w:rsidR="00874533" w:rsidRPr="003B7DA2" w:rsidRDefault="00874533" w:rsidP="00874533">
            <w:pPr>
              <w:pStyle w:val="BodyText"/>
              <w:rPr>
                <w:rFonts w:ascii="Calibri" w:hAnsi="Calibri" w:cs="Arial"/>
                <w:sz w:val="22"/>
                <w:szCs w:val="22"/>
              </w:rPr>
            </w:pPr>
            <w:r w:rsidRPr="003B7DA2">
              <w:rPr>
                <w:rFonts w:ascii="Calibri" w:hAnsi="Calibri"/>
                <w:bCs/>
                <w:sz w:val="22"/>
                <w:szCs w:val="22"/>
              </w:rPr>
              <w:t>0</w:t>
            </w:r>
          </w:p>
        </w:tc>
        <w:tc>
          <w:tcPr>
            <w:tcW w:w="1260" w:type="dxa"/>
          </w:tcPr>
          <w:p w:rsidR="00874533" w:rsidRPr="003B7DA2" w:rsidRDefault="00874533" w:rsidP="00874533">
            <w:pPr>
              <w:pStyle w:val="BodyText"/>
              <w:rPr>
                <w:rFonts w:ascii="Calibri" w:hAnsi="Calibri"/>
                <w:bCs/>
                <w:sz w:val="22"/>
                <w:szCs w:val="22"/>
              </w:rPr>
            </w:pPr>
            <w:r w:rsidRPr="003B7DA2">
              <w:rPr>
                <w:rFonts w:ascii="Calibri" w:hAnsi="Calibri"/>
                <w:bCs/>
                <w:sz w:val="22"/>
                <w:szCs w:val="22"/>
              </w:rPr>
              <w:t>20 000 000</w:t>
            </w:r>
          </w:p>
        </w:tc>
      </w:tr>
    </w:tbl>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Cs/>
          <w:sz w:val="22"/>
          <w:szCs w:val="22"/>
        </w:rPr>
      </w:pPr>
      <w:r w:rsidRPr="003B7DA2">
        <w:rPr>
          <w:rFonts w:ascii="Calibri" w:hAnsi="Calibri"/>
          <w:bCs/>
          <w:sz w:val="22"/>
          <w:szCs w:val="22"/>
        </w:rPr>
        <w:lastRenderedPageBreak/>
        <w:t xml:space="preserve">Március végén a tartozás 35 millió HUF összeget tett ki. </w:t>
      </w:r>
    </w:p>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
          <w:bCs/>
          <w:sz w:val="22"/>
          <w:szCs w:val="22"/>
          <w:u w:val="single"/>
        </w:rPr>
      </w:pPr>
      <w:r w:rsidRPr="003B7DA2">
        <w:rPr>
          <w:rFonts w:ascii="Calibri" w:hAnsi="Calibri"/>
          <w:b/>
          <w:bCs/>
          <w:sz w:val="22"/>
          <w:szCs w:val="22"/>
          <w:u w:val="single"/>
        </w:rPr>
        <w:t>DERT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1137"/>
        <w:gridCol w:w="1118"/>
        <w:gridCol w:w="1080"/>
        <w:gridCol w:w="1080"/>
        <w:gridCol w:w="1260"/>
        <w:gridCol w:w="900"/>
        <w:gridCol w:w="1260"/>
      </w:tblGrid>
      <w:tr w:rsidR="00874533" w:rsidRPr="003B7DA2" w:rsidTr="00D45209">
        <w:tc>
          <w:tcPr>
            <w:tcW w:w="913"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1118"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160" w:type="dxa"/>
            <w:gridSpan w:val="2"/>
          </w:tcPr>
          <w:p w:rsidR="00874533" w:rsidRPr="003B7DA2" w:rsidRDefault="00874533"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260" w:type="dxa"/>
            <w:vMerge w:val="restart"/>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Átértékelés</w:t>
            </w:r>
          </w:p>
        </w:tc>
        <w:tc>
          <w:tcPr>
            <w:tcW w:w="900" w:type="dxa"/>
            <w:vMerge w:val="restart"/>
            <w:vAlign w:val="center"/>
          </w:tcPr>
          <w:p w:rsidR="00874533" w:rsidRPr="003B7DA2" w:rsidRDefault="00874533" w:rsidP="00D45209">
            <w:pPr>
              <w:jc w:val="center"/>
              <w:rPr>
                <w:rFonts w:ascii="Calibri" w:hAnsi="Calibri" w:cs="Arial"/>
                <w:sz w:val="22"/>
                <w:szCs w:val="22"/>
              </w:rPr>
            </w:pPr>
            <w:r w:rsidRPr="003B7DA2">
              <w:rPr>
                <w:rFonts w:ascii="Calibri" w:hAnsi="Calibri" w:cs="Arial"/>
                <w:sz w:val="22"/>
                <w:szCs w:val="22"/>
              </w:rPr>
              <w:t xml:space="preserve">Egyéb </w:t>
            </w:r>
            <w:proofErr w:type="spellStart"/>
            <w:r w:rsidRPr="003B7DA2">
              <w:rPr>
                <w:rFonts w:ascii="Calibri" w:hAnsi="Calibri" w:cs="Arial"/>
                <w:sz w:val="22"/>
                <w:szCs w:val="22"/>
              </w:rPr>
              <w:t>változá</w:t>
            </w:r>
            <w:proofErr w:type="spellEnd"/>
            <w:r w:rsidRPr="003B7DA2">
              <w:rPr>
                <w:rFonts w:ascii="Calibri" w:hAnsi="Calibri" w:cs="Arial"/>
                <w:sz w:val="22"/>
                <w:szCs w:val="22"/>
              </w:rPr>
              <w:t xml:space="preserve"> sok</w:t>
            </w:r>
          </w:p>
        </w:tc>
        <w:tc>
          <w:tcPr>
            <w:tcW w:w="1260" w:type="dxa"/>
            <w:vMerge w:val="restart"/>
            <w:vAlign w:val="center"/>
          </w:tcPr>
          <w:p w:rsidR="00874533" w:rsidRPr="003B7DA2" w:rsidRDefault="00874533"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874533" w:rsidRPr="003B7DA2" w:rsidTr="00D45209">
        <w:tc>
          <w:tcPr>
            <w:tcW w:w="913" w:type="dxa"/>
            <w:vMerge/>
          </w:tcPr>
          <w:p w:rsidR="00874533" w:rsidRPr="003B7DA2" w:rsidRDefault="00874533" w:rsidP="00874533">
            <w:pPr>
              <w:pStyle w:val="BodyText"/>
              <w:rPr>
                <w:rFonts w:ascii="Calibri" w:hAnsi="Calibri"/>
                <w:b/>
                <w:bCs/>
                <w:sz w:val="22"/>
                <w:szCs w:val="22"/>
                <w:u w:val="single"/>
              </w:rPr>
            </w:pPr>
          </w:p>
        </w:tc>
        <w:tc>
          <w:tcPr>
            <w:tcW w:w="1137" w:type="dxa"/>
            <w:vMerge/>
          </w:tcPr>
          <w:p w:rsidR="00874533" w:rsidRPr="003B7DA2" w:rsidRDefault="00874533" w:rsidP="00874533">
            <w:pPr>
              <w:pStyle w:val="BodyText"/>
              <w:rPr>
                <w:rFonts w:ascii="Calibri" w:hAnsi="Calibri"/>
                <w:b/>
                <w:bCs/>
                <w:sz w:val="22"/>
                <w:szCs w:val="22"/>
                <w:u w:val="single"/>
              </w:rPr>
            </w:pPr>
          </w:p>
        </w:tc>
        <w:tc>
          <w:tcPr>
            <w:tcW w:w="1118" w:type="dxa"/>
            <w:vMerge/>
          </w:tcPr>
          <w:p w:rsidR="00874533" w:rsidRPr="003B7DA2" w:rsidRDefault="00874533" w:rsidP="00874533">
            <w:pPr>
              <w:pStyle w:val="BodyText"/>
              <w:rPr>
                <w:rFonts w:ascii="Calibri" w:hAnsi="Calibri"/>
                <w:b/>
                <w:bCs/>
                <w:sz w:val="22"/>
                <w:szCs w:val="22"/>
                <w:u w:val="single"/>
              </w:rPr>
            </w:pPr>
          </w:p>
        </w:tc>
        <w:tc>
          <w:tcPr>
            <w:tcW w:w="108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Állományt növelő (Bevétel)</w:t>
            </w:r>
          </w:p>
        </w:tc>
        <w:tc>
          <w:tcPr>
            <w:tcW w:w="108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Állományt csökkentő</w:t>
            </w:r>
          </w:p>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(Kiadás)</w:t>
            </w:r>
          </w:p>
        </w:tc>
        <w:tc>
          <w:tcPr>
            <w:tcW w:w="1260" w:type="dxa"/>
            <w:vMerge/>
          </w:tcPr>
          <w:p w:rsidR="00874533" w:rsidRPr="003B7DA2" w:rsidRDefault="00874533" w:rsidP="00874533">
            <w:pPr>
              <w:pStyle w:val="BodyText"/>
              <w:rPr>
                <w:rFonts w:ascii="Calibri" w:hAnsi="Calibri" w:cs="Arial"/>
                <w:sz w:val="22"/>
                <w:szCs w:val="22"/>
              </w:rPr>
            </w:pPr>
          </w:p>
        </w:tc>
        <w:tc>
          <w:tcPr>
            <w:tcW w:w="900" w:type="dxa"/>
            <w:vMerge/>
          </w:tcPr>
          <w:p w:rsidR="00874533" w:rsidRPr="003B7DA2" w:rsidRDefault="00874533" w:rsidP="00874533">
            <w:pPr>
              <w:pStyle w:val="BodyText"/>
              <w:rPr>
                <w:rFonts w:ascii="Calibri" w:hAnsi="Calibri" w:cs="Arial"/>
                <w:sz w:val="22"/>
                <w:szCs w:val="22"/>
              </w:rPr>
            </w:pPr>
          </w:p>
        </w:tc>
        <w:tc>
          <w:tcPr>
            <w:tcW w:w="1260" w:type="dxa"/>
            <w:vMerge/>
          </w:tcPr>
          <w:p w:rsidR="00874533" w:rsidRPr="003B7DA2" w:rsidRDefault="00874533" w:rsidP="00874533">
            <w:pPr>
              <w:pStyle w:val="BodyText"/>
              <w:rPr>
                <w:rFonts w:ascii="Calibri" w:hAnsi="Calibri" w:cs="Arial"/>
                <w:sz w:val="22"/>
                <w:szCs w:val="22"/>
              </w:rPr>
            </w:pPr>
          </w:p>
        </w:tc>
      </w:tr>
      <w:tr w:rsidR="00874533" w:rsidRPr="003B7DA2" w:rsidTr="00D45209">
        <w:tc>
          <w:tcPr>
            <w:tcW w:w="913"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OE</w:t>
            </w:r>
          </w:p>
        </w:tc>
        <w:tc>
          <w:tcPr>
            <w:tcW w:w="1137" w:type="dxa"/>
          </w:tcPr>
          <w:p w:rsidR="00874533" w:rsidRPr="003B7DA2" w:rsidRDefault="00874533" w:rsidP="00874533">
            <w:pPr>
              <w:pStyle w:val="BodyText"/>
              <w:rPr>
                <w:rFonts w:ascii="Calibri" w:hAnsi="Calibri"/>
                <w:bCs/>
                <w:sz w:val="22"/>
                <w:szCs w:val="22"/>
              </w:rPr>
            </w:pPr>
            <w:r w:rsidRPr="003B7DA2">
              <w:rPr>
                <w:rFonts w:ascii="Calibri" w:hAnsi="Calibri" w:cs="Arial"/>
                <w:sz w:val="22"/>
                <w:szCs w:val="22"/>
              </w:rPr>
              <w:t>DE</w:t>
            </w:r>
          </w:p>
        </w:tc>
        <w:tc>
          <w:tcPr>
            <w:tcW w:w="1118" w:type="dxa"/>
          </w:tcPr>
          <w:p w:rsidR="00874533" w:rsidRPr="003B7DA2" w:rsidRDefault="00874533" w:rsidP="00874533">
            <w:pPr>
              <w:pStyle w:val="BodyText"/>
              <w:rPr>
                <w:rFonts w:ascii="Calibri" w:hAnsi="Calibri"/>
                <w:bCs/>
                <w:sz w:val="22"/>
                <w:szCs w:val="22"/>
              </w:rPr>
            </w:pPr>
            <w:r w:rsidRPr="003B7DA2">
              <w:rPr>
                <w:rFonts w:ascii="Calibri" w:hAnsi="Calibri" w:cs="Arial"/>
                <w:sz w:val="22"/>
                <w:szCs w:val="22"/>
              </w:rPr>
              <w:t>20 000 000</w:t>
            </w:r>
          </w:p>
        </w:tc>
        <w:tc>
          <w:tcPr>
            <w:tcW w:w="108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0</w:t>
            </w:r>
          </w:p>
        </w:tc>
        <w:tc>
          <w:tcPr>
            <w:tcW w:w="1080" w:type="dxa"/>
          </w:tcPr>
          <w:p w:rsidR="00874533" w:rsidRPr="003B7DA2" w:rsidRDefault="00874533" w:rsidP="00874533">
            <w:pPr>
              <w:pStyle w:val="BodyText"/>
              <w:rPr>
                <w:rFonts w:ascii="Calibri" w:hAnsi="Calibri" w:cs="Arial"/>
                <w:sz w:val="22"/>
                <w:szCs w:val="22"/>
              </w:rPr>
            </w:pPr>
            <w:r w:rsidRPr="003B7DA2">
              <w:rPr>
                <w:rFonts w:ascii="Calibri" w:hAnsi="Calibri"/>
                <w:bCs/>
                <w:sz w:val="22"/>
                <w:szCs w:val="22"/>
              </w:rPr>
              <w:t>0</w:t>
            </w:r>
          </w:p>
        </w:tc>
        <w:tc>
          <w:tcPr>
            <w:tcW w:w="126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15 000 000</w:t>
            </w:r>
          </w:p>
        </w:tc>
        <w:tc>
          <w:tcPr>
            <w:tcW w:w="900" w:type="dxa"/>
          </w:tcPr>
          <w:p w:rsidR="00874533" w:rsidRPr="003B7DA2" w:rsidRDefault="00874533" w:rsidP="00874533">
            <w:pPr>
              <w:pStyle w:val="BodyText"/>
              <w:rPr>
                <w:rFonts w:ascii="Calibri" w:hAnsi="Calibri" w:cs="Arial"/>
                <w:sz w:val="22"/>
                <w:szCs w:val="22"/>
              </w:rPr>
            </w:pPr>
            <w:r w:rsidRPr="003B7DA2">
              <w:rPr>
                <w:rFonts w:ascii="Calibri" w:hAnsi="Calibri"/>
                <w:bCs/>
                <w:sz w:val="22"/>
                <w:szCs w:val="22"/>
              </w:rPr>
              <w:t>0</w:t>
            </w:r>
          </w:p>
        </w:tc>
        <w:tc>
          <w:tcPr>
            <w:tcW w:w="1260" w:type="dxa"/>
          </w:tcPr>
          <w:p w:rsidR="00874533" w:rsidRPr="003B7DA2" w:rsidRDefault="00874533" w:rsidP="00874533">
            <w:pPr>
              <w:pStyle w:val="BodyText"/>
              <w:rPr>
                <w:rFonts w:ascii="Calibri" w:hAnsi="Calibri"/>
                <w:bCs/>
                <w:sz w:val="22"/>
                <w:szCs w:val="22"/>
              </w:rPr>
            </w:pPr>
            <w:r w:rsidRPr="003B7DA2">
              <w:rPr>
                <w:rFonts w:ascii="Calibri" w:hAnsi="Calibri"/>
                <w:bCs/>
                <w:sz w:val="22"/>
                <w:szCs w:val="22"/>
              </w:rPr>
              <w:t>35 000 000</w:t>
            </w:r>
          </w:p>
        </w:tc>
      </w:tr>
    </w:tbl>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Cs/>
          <w:sz w:val="22"/>
          <w:szCs w:val="22"/>
        </w:rPr>
      </w:pPr>
      <w:r w:rsidRPr="003B7DA2">
        <w:rPr>
          <w:rFonts w:ascii="Calibri" w:hAnsi="Calibri"/>
          <w:bCs/>
          <w:sz w:val="22"/>
          <w:szCs w:val="22"/>
        </w:rPr>
        <w:t xml:space="preserve">Az árak áprilisban is úgy alakultak, hogy az üzlet veszteséges, a vevő lehívja az opciót, vagyis él a jogával. Így április 20-án az adatszolgáltató rezidens cég kénytelen megvenni az 1 millió EUR összeget, ennyit bevételezett tehát, s ennek ellenében fizetett 250 millió HUF összeget. A táblában ekkor tranzakcióként a bevételezett EUR napi árfolyamon számított forint ellenértéke, 200 millió forint szerepel, kiadásként pedig az átutalt 250 millió Ft. A nyitó és záró állományok különbözete a tranzakciókon túl az ár/árfolyamváltozások következtében alakult ki, ezért a különbözeti összeget átértékelésként kell jelenteni. </w:t>
      </w:r>
    </w:p>
    <w:p w:rsidR="00874533" w:rsidRPr="003B7DA2" w:rsidRDefault="00874533" w:rsidP="00874533">
      <w:pPr>
        <w:pStyle w:val="BodyText"/>
        <w:rPr>
          <w:rFonts w:ascii="Calibri" w:hAnsi="Calibri"/>
          <w:bCs/>
          <w:sz w:val="22"/>
          <w:szCs w:val="22"/>
        </w:rPr>
      </w:pPr>
    </w:p>
    <w:p w:rsidR="00874533" w:rsidRPr="003B7DA2" w:rsidRDefault="00874533" w:rsidP="00874533">
      <w:pPr>
        <w:pStyle w:val="BodyText"/>
        <w:rPr>
          <w:rFonts w:ascii="Calibri" w:hAnsi="Calibri"/>
          <w:b/>
          <w:bCs/>
          <w:sz w:val="22"/>
          <w:szCs w:val="22"/>
          <w:u w:val="single"/>
        </w:rPr>
      </w:pPr>
      <w:r w:rsidRPr="003B7DA2">
        <w:rPr>
          <w:rFonts w:ascii="Calibri" w:hAnsi="Calibri"/>
          <w:b/>
          <w:bCs/>
          <w:sz w:val="22"/>
          <w:szCs w:val="22"/>
          <w:u w:val="single"/>
        </w:rPr>
        <w:t>DERT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1137"/>
        <w:gridCol w:w="1118"/>
        <w:gridCol w:w="1260"/>
        <w:gridCol w:w="1260"/>
        <w:gridCol w:w="1260"/>
        <w:gridCol w:w="900"/>
        <w:gridCol w:w="900"/>
      </w:tblGrid>
      <w:tr w:rsidR="00874533" w:rsidRPr="003B7DA2" w:rsidTr="00D45209">
        <w:tc>
          <w:tcPr>
            <w:tcW w:w="913"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1118" w:type="dxa"/>
            <w:vMerge w:val="restart"/>
          </w:tcPr>
          <w:p w:rsidR="00874533" w:rsidRPr="003B7DA2" w:rsidRDefault="00874533" w:rsidP="00874533">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520" w:type="dxa"/>
            <w:gridSpan w:val="2"/>
          </w:tcPr>
          <w:p w:rsidR="00874533" w:rsidRPr="003B7DA2" w:rsidRDefault="00874533"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260" w:type="dxa"/>
            <w:vMerge w:val="restart"/>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Átértékelés</w:t>
            </w:r>
          </w:p>
        </w:tc>
        <w:tc>
          <w:tcPr>
            <w:tcW w:w="900" w:type="dxa"/>
            <w:vMerge w:val="restart"/>
            <w:vAlign w:val="center"/>
          </w:tcPr>
          <w:p w:rsidR="00874533" w:rsidRPr="003B7DA2" w:rsidRDefault="00874533" w:rsidP="00D45209">
            <w:pPr>
              <w:jc w:val="center"/>
              <w:rPr>
                <w:rFonts w:ascii="Calibri" w:hAnsi="Calibri" w:cs="Arial"/>
                <w:sz w:val="22"/>
                <w:szCs w:val="22"/>
              </w:rPr>
            </w:pPr>
            <w:r w:rsidRPr="003B7DA2">
              <w:rPr>
                <w:rFonts w:ascii="Calibri" w:hAnsi="Calibri" w:cs="Arial"/>
                <w:sz w:val="22"/>
                <w:szCs w:val="22"/>
              </w:rPr>
              <w:t xml:space="preserve">Egyéb </w:t>
            </w:r>
            <w:proofErr w:type="spellStart"/>
            <w:r w:rsidRPr="003B7DA2">
              <w:rPr>
                <w:rFonts w:ascii="Calibri" w:hAnsi="Calibri" w:cs="Arial"/>
                <w:sz w:val="22"/>
                <w:szCs w:val="22"/>
              </w:rPr>
              <w:t>változá</w:t>
            </w:r>
            <w:proofErr w:type="spellEnd"/>
            <w:r w:rsidRPr="003B7DA2">
              <w:rPr>
                <w:rFonts w:ascii="Calibri" w:hAnsi="Calibri" w:cs="Arial"/>
                <w:sz w:val="22"/>
                <w:szCs w:val="22"/>
              </w:rPr>
              <w:t xml:space="preserve"> sok</w:t>
            </w:r>
          </w:p>
        </w:tc>
        <w:tc>
          <w:tcPr>
            <w:tcW w:w="900" w:type="dxa"/>
            <w:vMerge w:val="restart"/>
            <w:vAlign w:val="center"/>
          </w:tcPr>
          <w:p w:rsidR="00874533" w:rsidRPr="003B7DA2" w:rsidRDefault="00874533"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874533" w:rsidRPr="003B7DA2" w:rsidTr="00D45209">
        <w:tc>
          <w:tcPr>
            <w:tcW w:w="913" w:type="dxa"/>
            <w:vMerge/>
          </w:tcPr>
          <w:p w:rsidR="00874533" w:rsidRPr="003B7DA2" w:rsidRDefault="00874533" w:rsidP="00874533">
            <w:pPr>
              <w:pStyle w:val="BodyText"/>
              <w:rPr>
                <w:rFonts w:ascii="Calibri" w:hAnsi="Calibri"/>
                <w:b/>
                <w:bCs/>
                <w:sz w:val="22"/>
                <w:szCs w:val="22"/>
                <w:u w:val="single"/>
              </w:rPr>
            </w:pPr>
          </w:p>
        </w:tc>
        <w:tc>
          <w:tcPr>
            <w:tcW w:w="1137" w:type="dxa"/>
            <w:vMerge/>
          </w:tcPr>
          <w:p w:rsidR="00874533" w:rsidRPr="003B7DA2" w:rsidRDefault="00874533" w:rsidP="00874533">
            <w:pPr>
              <w:pStyle w:val="BodyText"/>
              <w:rPr>
                <w:rFonts w:ascii="Calibri" w:hAnsi="Calibri"/>
                <w:b/>
                <w:bCs/>
                <w:sz w:val="22"/>
                <w:szCs w:val="22"/>
                <w:u w:val="single"/>
              </w:rPr>
            </w:pPr>
          </w:p>
        </w:tc>
        <w:tc>
          <w:tcPr>
            <w:tcW w:w="1118" w:type="dxa"/>
            <w:vMerge/>
          </w:tcPr>
          <w:p w:rsidR="00874533" w:rsidRPr="003B7DA2" w:rsidRDefault="00874533" w:rsidP="00874533">
            <w:pPr>
              <w:pStyle w:val="BodyText"/>
              <w:rPr>
                <w:rFonts w:ascii="Calibri" w:hAnsi="Calibri"/>
                <w:b/>
                <w:bCs/>
                <w:sz w:val="22"/>
                <w:szCs w:val="22"/>
                <w:u w:val="single"/>
              </w:rPr>
            </w:pPr>
          </w:p>
        </w:tc>
        <w:tc>
          <w:tcPr>
            <w:tcW w:w="126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Állományt növelő (Bevétel)</w:t>
            </w:r>
          </w:p>
        </w:tc>
        <w:tc>
          <w:tcPr>
            <w:tcW w:w="126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Állományt csökkentő</w:t>
            </w:r>
          </w:p>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(Kiadás)</w:t>
            </w:r>
          </w:p>
        </w:tc>
        <w:tc>
          <w:tcPr>
            <w:tcW w:w="1260" w:type="dxa"/>
            <w:vMerge/>
          </w:tcPr>
          <w:p w:rsidR="00874533" w:rsidRPr="003B7DA2" w:rsidRDefault="00874533" w:rsidP="00874533">
            <w:pPr>
              <w:pStyle w:val="BodyText"/>
              <w:rPr>
                <w:rFonts w:ascii="Calibri" w:hAnsi="Calibri" w:cs="Arial"/>
                <w:sz w:val="22"/>
                <w:szCs w:val="22"/>
              </w:rPr>
            </w:pPr>
          </w:p>
        </w:tc>
        <w:tc>
          <w:tcPr>
            <w:tcW w:w="900" w:type="dxa"/>
            <w:vMerge/>
          </w:tcPr>
          <w:p w:rsidR="00874533" w:rsidRPr="003B7DA2" w:rsidRDefault="00874533" w:rsidP="00874533">
            <w:pPr>
              <w:pStyle w:val="BodyText"/>
              <w:rPr>
                <w:rFonts w:ascii="Calibri" w:hAnsi="Calibri" w:cs="Arial"/>
                <w:sz w:val="22"/>
                <w:szCs w:val="22"/>
              </w:rPr>
            </w:pPr>
          </w:p>
        </w:tc>
        <w:tc>
          <w:tcPr>
            <w:tcW w:w="900" w:type="dxa"/>
            <w:vMerge/>
          </w:tcPr>
          <w:p w:rsidR="00874533" w:rsidRPr="003B7DA2" w:rsidRDefault="00874533" w:rsidP="00874533">
            <w:pPr>
              <w:pStyle w:val="BodyText"/>
              <w:rPr>
                <w:rFonts w:ascii="Calibri" w:hAnsi="Calibri" w:cs="Arial"/>
                <w:sz w:val="22"/>
                <w:szCs w:val="22"/>
              </w:rPr>
            </w:pPr>
          </w:p>
        </w:tc>
      </w:tr>
      <w:tr w:rsidR="00874533" w:rsidRPr="003B7DA2" w:rsidTr="00D45209">
        <w:tc>
          <w:tcPr>
            <w:tcW w:w="913"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OE</w:t>
            </w:r>
          </w:p>
        </w:tc>
        <w:tc>
          <w:tcPr>
            <w:tcW w:w="1137" w:type="dxa"/>
          </w:tcPr>
          <w:p w:rsidR="00874533" w:rsidRPr="003B7DA2" w:rsidRDefault="00874533" w:rsidP="00874533">
            <w:pPr>
              <w:pStyle w:val="BodyText"/>
              <w:rPr>
                <w:rFonts w:ascii="Calibri" w:hAnsi="Calibri"/>
                <w:bCs/>
                <w:sz w:val="22"/>
                <w:szCs w:val="22"/>
              </w:rPr>
            </w:pPr>
            <w:r w:rsidRPr="003B7DA2">
              <w:rPr>
                <w:rFonts w:ascii="Calibri" w:hAnsi="Calibri" w:cs="Arial"/>
                <w:sz w:val="22"/>
                <w:szCs w:val="22"/>
              </w:rPr>
              <w:t>DE</w:t>
            </w:r>
          </w:p>
        </w:tc>
        <w:tc>
          <w:tcPr>
            <w:tcW w:w="1118" w:type="dxa"/>
          </w:tcPr>
          <w:p w:rsidR="00874533" w:rsidRPr="003B7DA2" w:rsidRDefault="00874533" w:rsidP="00874533">
            <w:pPr>
              <w:pStyle w:val="BodyText"/>
              <w:rPr>
                <w:rFonts w:ascii="Calibri" w:hAnsi="Calibri"/>
                <w:bCs/>
                <w:sz w:val="22"/>
                <w:szCs w:val="22"/>
              </w:rPr>
            </w:pPr>
            <w:r w:rsidRPr="003B7DA2">
              <w:rPr>
                <w:rFonts w:ascii="Calibri" w:hAnsi="Calibri" w:cs="Arial"/>
                <w:sz w:val="22"/>
                <w:szCs w:val="22"/>
              </w:rPr>
              <w:t>35 000 000</w:t>
            </w:r>
          </w:p>
        </w:tc>
        <w:tc>
          <w:tcPr>
            <w:tcW w:w="126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200 000 000</w:t>
            </w:r>
          </w:p>
        </w:tc>
        <w:tc>
          <w:tcPr>
            <w:tcW w:w="1260" w:type="dxa"/>
          </w:tcPr>
          <w:p w:rsidR="00874533" w:rsidRPr="003B7DA2" w:rsidRDefault="00874533" w:rsidP="00874533">
            <w:pPr>
              <w:pStyle w:val="BodyText"/>
              <w:rPr>
                <w:rFonts w:ascii="Calibri" w:hAnsi="Calibri" w:cs="Arial"/>
                <w:sz w:val="22"/>
                <w:szCs w:val="22"/>
              </w:rPr>
            </w:pPr>
            <w:r w:rsidRPr="003B7DA2">
              <w:rPr>
                <w:rFonts w:ascii="Calibri" w:hAnsi="Calibri"/>
                <w:bCs/>
                <w:sz w:val="22"/>
                <w:szCs w:val="22"/>
              </w:rPr>
              <w:t>250 000 000</w:t>
            </w:r>
          </w:p>
        </w:tc>
        <w:tc>
          <w:tcPr>
            <w:tcW w:w="1260" w:type="dxa"/>
          </w:tcPr>
          <w:p w:rsidR="00874533" w:rsidRPr="003B7DA2" w:rsidRDefault="00874533" w:rsidP="00874533">
            <w:pPr>
              <w:pStyle w:val="BodyText"/>
              <w:rPr>
                <w:rFonts w:ascii="Calibri" w:hAnsi="Calibri" w:cs="Arial"/>
                <w:sz w:val="22"/>
                <w:szCs w:val="22"/>
              </w:rPr>
            </w:pPr>
            <w:r w:rsidRPr="003B7DA2">
              <w:rPr>
                <w:rFonts w:ascii="Calibri" w:hAnsi="Calibri" w:cs="Arial"/>
                <w:sz w:val="22"/>
                <w:szCs w:val="22"/>
              </w:rPr>
              <w:t>15 000 000</w:t>
            </w:r>
          </w:p>
        </w:tc>
        <w:tc>
          <w:tcPr>
            <w:tcW w:w="900" w:type="dxa"/>
          </w:tcPr>
          <w:p w:rsidR="00874533" w:rsidRPr="003B7DA2" w:rsidRDefault="00874533" w:rsidP="00874533">
            <w:pPr>
              <w:pStyle w:val="BodyText"/>
              <w:rPr>
                <w:rFonts w:ascii="Calibri" w:hAnsi="Calibri" w:cs="Arial"/>
                <w:sz w:val="22"/>
                <w:szCs w:val="22"/>
              </w:rPr>
            </w:pPr>
            <w:r w:rsidRPr="003B7DA2">
              <w:rPr>
                <w:rFonts w:ascii="Calibri" w:hAnsi="Calibri"/>
                <w:bCs/>
                <w:sz w:val="22"/>
                <w:szCs w:val="22"/>
              </w:rPr>
              <w:t>0</w:t>
            </w:r>
          </w:p>
        </w:tc>
        <w:tc>
          <w:tcPr>
            <w:tcW w:w="900" w:type="dxa"/>
          </w:tcPr>
          <w:p w:rsidR="00874533" w:rsidRPr="003B7DA2" w:rsidRDefault="00874533" w:rsidP="00874533">
            <w:pPr>
              <w:pStyle w:val="BodyText"/>
              <w:rPr>
                <w:rFonts w:ascii="Calibri" w:hAnsi="Calibri"/>
                <w:bCs/>
                <w:sz w:val="22"/>
                <w:szCs w:val="22"/>
              </w:rPr>
            </w:pPr>
            <w:r w:rsidRPr="003B7DA2">
              <w:rPr>
                <w:rFonts w:ascii="Calibri" w:hAnsi="Calibri"/>
                <w:bCs/>
                <w:sz w:val="22"/>
                <w:szCs w:val="22"/>
              </w:rPr>
              <w:t>0</w:t>
            </w:r>
          </w:p>
        </w:tc>
      </w:tr>
    </w:tbl>
    <w:p w:rsidR="0092684C" w:rsidRPr="003B7DA2" w:rsidRDefault="0092684C">
      <w:pPr>
        <w:pStyle w:val="BodyText"/>
        <w:rPr>
          <w:rFonts w:ascii="Calibri" w:hAnsi="Calibri"/>
          <w:bCs/>
          <w:sz w:val="22"/>
          <w:szCs w:val="22"/>
        </w:rPr>
      </w:pPr>
    </w:p>
    <w:p w:rsidR="0092684C" w:rsidRPr="003B7DA2" w:rsidRDefault="0092684C">
      <w:pPr>
        <w:rPr>
          <w:rFonts w:ascii="Calibri" w:hAnsi="Calibri"/>
          <w:sz w:val="22"/>
          <w:szCs w:val="22"/>
        </w:rPr>
      </w:pPr>
    </w:p>
    <w:p w:rsidR="0092684C" w:rsidRPr="003B7DA2" w:rsidRDefault="0092684C">
      <w:pPr>
        <w:pStyle w:val="BodyText"/>
        <w:rPr>
          <w:rFonts w:ascii="Calibri" w:hAnsi="Calibri"/>
          <w:b/>
          <w:bCs/>
          <w:sz w:val="22"/>
          <w:szCs w:val="22"/>
        </w:rPr>
      </w:pPr>
      <w:bookmarkStart w:id="10" w:name="_Toc120612691"/>
      <w:bookmarkStart w:id="11" w:name="_Toc122850670"/>
      <w:r w:rsidRPr="003B7DA2">
        <w:rPr>
          <w:rFonts w:ascii="Calibri" w:hAnsi="Calibri"/>
          <w:b/>
          <w:bCs/>
          <w:sz w:val="22"/>
          <w:szCs w:val="22"/>
        </w:rPr>
        <w:t xml:space="preserve">3. Nem rezidensekkel kötött </w:t>
      </w:r>
      <w:proofErr w:type="spellStart"/>
      <w:r w:rsidRPr="003B7DA2">
        <w:rPr>
          <w:rFonts w:ascii="Calibri" w:hAnsi="Calibri"/>
          <w:b/>
          <w:bCs/>
          <w:sz w:val="22"/>
          <w:szCs w:val="22"/>
        </w:rPr>
        <w:t>swapok</w:t>
      </w:r>
      <w:proofErr w:type="spellEnd"/>
      <w:r w:rsidRPr="003B7DA2">
        <w:rPr>
          <w:rFonts w:ascii="Calibri" w:hAnsi="Calibri"/>
          <w:b/>
          <w:bCs/>
          <w:sz w:val="22"/>
          <w:szCs w:val="22"/>
        </w:rPr>
        <w:t>:</w:t>
      </w:r>
      <w:bookmarkEnd w:id="10"/>
      <w:bookmarkEnd w:id="11"/>
    </w:p>
    <w:p w:rsidR="0092684C" w:rsidRPr="003B7DA2" w:rsidRDefault="0092684C">
      <w:pPr>
        <w:pStyle w:val="BodyText"/>
        <w:rPr>
          <w:rFonts w:ascii="Calibri" w:hAnsi="Calibri"/>
          <w:b/>
          <w:bCs/>
          <w:sz w:val="22"/>
          <w:szCs w:val="22"/>
        </w:rPr>
      </w:pPr>
    </w:p>
    <w:p w:rsidR="0092684C" w:rsidRPr="003B7DA2" w:rsidRDefault="0092684C">
      <w:pPr>
        <w:ind w:left="540"/>
        <w:jc w:val="both"/>
        <w:rPr>
          <w:rFonts w:ascii="Calibri" w:hAnsi="Calibri"/>
          <w:snapToGrid w:val="0"/>
          <w:sz w:val="22"/>
          <w:szCs w:val="22"/>
          <w:lang w:eastAsia="en-US"/>
        </w:rPr>
      </w:pPr>
      <w:r w:rsidRPr="003B7DA2">
        <w:rPr>
          <w:rFonts w:ascii="Calibri" w:hAnsi="Calibri"/>
          <w:snapToGrid w:val="0"/>
          <w:sz w:val="22"/>
          <w:szCs w:val="22"/>
          <w:lang w:eastAsia="en-US"/>
        </w:rPr>
        <w:t>A</w:t>
      </w:r>
      <w:r w:rsidRPr="003B7DA2">
        <w:rPr>
          <w:rFonts w:ascii="Calibri" w:hAnsi="Calibri"/>
          <w:b/>
          <w:snapToGrid w:val="0"/>
          <w:sz w:val="22"/>
          <w:szCs w:val="22"/>
          <w:lang w:eastAsia="en-US"/>
        </w:rPr>
        <w:t xml:space="preserve"> </w:t>
      </w:r>
      <w:proofErr w:type="spellStart"/>
      <w:r w:rsidRPr="003B7DA2">
        <w:rPr>
          <w:rFonts w:ascii="Calibri" w:hAnsi="Calibri"/>
          <w:b/>
          <w:snapToGrid w:val="0"/>
          <w:sz w:val="22"/>
          <w:szCs w:val="22"/>
          <w:lang w:eastAsia="en-US"/>
        </w:rPr>
        <w:t>swapok</w:t>
      </w:r>
      <w:proofErr w:type="spellEnd"/>
      <w:r w:rsidRPr="003B7DA2">
        <w:rPr>
          <w:rFonts w:ascii="Calibri" w:hAnsi="Calibri"/>
          <w:snapToGrid w:val="0"/>
          <w:sz w:val="22"/>
          <w:szCs w:val="22"/>
          <w:lang w:eastAsia="en-US"/>
        </w:rPr>
        <w:t xml:space="preserve"> esetében a partnerek fizetések cseréjében állapodnak meg, azaz a szerződésben előre meghatározott feltételek szerint cash flow cserét/cseréket hajtanak végre. A fizetések meghatározott jövőbeli időpontokban, vagy periódusonként történnek, meghatározott névleges összegekre vonatkoztatva, a ténylegesen fizetendő cash flow összegek, pedig a mögöttes termék referencia árán, hozamán alapulnak. </w:t>
      </w:r>
    </w:p>
    <w:p w:rsidR="0092684C" w:rsidRPr="003B7DA2" w:rsidRDefault="0092684C">
      <w:pPr>
        <w:ind w:left="540"/>
        <w:jc w:val="both"/>
        <w:rPr>
          <w:rFonts w:ascii="Calibri" w:hAnsi="Calibri"/>
          <w:snapToGrid w:val="0"/>
          <w:sz w:val="22"/>
          <w:szCs w:val="22"/>
          <w:lang w:eastAsia="en-US"/>
        </w:rPr>
      </w:pPr>
      <w:proofErr w:type="spellStart"/>
      <w:r w:rsidRPr="003B7DA2">
        <w:rPr>
          <w:rFonts w:ascii="Calibri" w:hAnsi="Calibri"/>
          <w:snapToGrid w:val="0"/>
          <w:sz w:val="22"/>
          <w:szCs w:val="22"/>
          <w:lang w:eastAsia="en-US"/>
        </w:rPr>
        <w:t>Swapokat</w:t>
      </w:r>
      <w:proofErr w:type="spellEnd"/>
      <w:r w:rsidRPr="003B7DA2">
        <w:rPr>
          <w:rFonts w:ascii="Calibri" w:hAnsi="Calibri"/>
          <w:snapToGrid w:val="0"/>
          <w:sz w:val="22"/>
          <w:szCs w:val="22"/>
          <w:lang w:eastAsia="en-US"/>
        </w:rPr>
        <w:t xml:space="preserve"> általában OTC piacon kötnek, s a kontraktusból eredő fizetési kötelezettségek teljesítése általában „leszállítással” történik.</w:t>
      </w:r>
    </w:p>
    <w:p w:rsidR="0092684C" w:rsidRPr="003B7DA2" w:rsidRDefault="0092684C">
      <w:pPr>
        <w:ind w:left="540"/>
        <w:jc w:val="both"/>
        <w:rPr>
          <w:rFonts w:ascii="Calibri" w:hAnsi="Calibri"/>
          <w:snapToGrid w:val="0"/>
          <w:sz w:val="22"/>
          <w:szCs w:val="22"/>
          <w:lang w:eastAsia="en-US"/>
        </w:rPr>
      </w:pPr>
    </w:p>
    <w:p w:rsidR="0092684C" w:rsidRPr="003B7DA2" w:rsidRDefault="0092684C">
      <w:pPr>
        <w:ind w:left="720"/>
        <w:jc w:val="both"/>
        <w:rPr>
          <w:rFonts w:ascii="Calibri" w:hAnsi="Calibri"/>
          <w:b/>
          <w:snapToGrid w:val="0"/>
          <w:sz w:val="22"/>
          <w:szCs w:val="22"/>
          <w:lang w:eastAsia="en-US"/>
        </w:rPr>
      </w:pPr>
      <w:r w:rsidRPr="003B7DA2">
        <w:rPr>
          <w:rFonts w:ascii="Calibri" w:hAnsi="Calibri"/>
          <w:b/>
          <w:snapToGrid w:val="0"/>
          <w:sz w:val="22"/>
          <w:szCs w:val="22"/>
          <w:lang w:eastAsia="en-US"/>
        </w:rPr>
        <w:t>Időszak eleji nyitó és időszak végi záró pozíció:</w:t>
      </w:r>
    </w:p>
    <w:p w:rsidR="0092684C" w:rsidRPr="003B7DA2" w:rsidRDefault="0092684C">
      <w:pPr>
        <w:rPr>
          <w:rFonts w:ascii="Calibri" w:hAnsi="Calibri"/>
          <w:sz w:val="22"/>
          <w:szCs w:val="22"/>
        </w:rPr>
      </w:pPr>
    </w:p>
    <w:p w:rsidR="0092684C" w:rsidRPr="003B7DA2" w:rsidRDefault="0092684C">
      <w:pPr>
        <w:numPr>
          <w:ilvl w:val="0"/>
          <w:numId w:val="3"/>
        </w:numPr>
        <w:ind w:hanging="180"/>
        <w:jc w:val="both"/>
        <w:rPr>
          <w:rFonts w:ascii="Calibri" w:hAnsi="Calibri" w:cs="Arial"/>
          <w:sz w:val="22"/>
          <w:szCs w:val="22"/>
        </w:rPr>
      </w:pPr>
      <w:r w:rsidRPr="003B7DA2">
        <w:rPr>
          <w:rFonts w:ascii="Calibri" w:hAnsi="Calibri"/>
          <w:snapToGrid w:val="0"/>
          <w:sz w:val="22"/>
          <w:szCs w:val="22"/>
          <w:lang w:eastAsia="en-US"/>
        </w:rPr>
        <w:t xml:space="preserve">A </w:t>
      </w:r>
      <w:proofErr w:type="spellStart"/>
      <w:r w:rsidRPr="003B7DA2">
        <w:rPr>
          <w:rFonts w:ascii="Calibri" w:hAnsi="Calibri"/>
          <w:snapToGrid w:val="0"/>
          <w:sz w:val="22"/>
          <w:szCs w:val="22"/>
          <w:lang w:eastAsia="en-US"/>
        </w:rPr>
        <w:t>devizaswap</w:t>
      </w:r>
      <w:proofErr w:type="spellEnd"/>
      <w:r w:rsidRPr="003B7DA2">
        <w:rPr>
          <w:rFonts w:ascii="Calibri" w:hAnsi="Calibri"/>
          <w:snapToGrid w:val="0"/>
          <w:sz w:val="22"/>
          <w:szCs w:val="22"/>
          <w:lang w:eastAsia="en-US"/>
        </w:rPr>
        <w:t xml:space="preserve"> megállapodások (egy devizakonverziót hajtanak végre a szerződő felek a megállapodás szerinti árfolyamon, ezt nevezzük rövid lábnak, és egy későbbi időpontban, meghatározott árfolyamon ezzel ellentétes konverziót hajtanak végre, ezt nevezzük hosszú lábnak, vagy határidős lábnak) határidős lábának bruttó piaci értékét kell itt országonként a </w:t>
      </w:r>
      <w:r w:rsidRPr="003B7DA2">
        <w:rPr>
          <w:rFonts w:ascii="Calibri" w:hAnsi="Calibri"/>
          <w:snapToGrid w:val="0"/>
          <w:sz w:val="22"/>
          <w:szCs w:val="22"/>
          <w:lang w:eastAsia="en-US"/>
        </w:rPr>
        <w:lastRenderedPageBreak/>
        <w:t xml:space="preserve">megfelelő táblában jelenteni, a </w:t>
      </w:r>
      <w:proofErr w:type="spellStart"/>
      <w:r w:rsidRPr="003B7DA2">
        <w:rPr>
          <w:rFonts w:ascii="Calibri" w:hAnsi="Calibri"/>
          <w:snapToGrid w:val="0"/>
          <w:sz w:val="22"/>
          <w:szCs w:val="22"/>
          <w:lang w:eastAsia="en-US"/>
        </w:rPr>
        <w:t>forward</w:t>
      </w:r>
      <w:proofErr w:type="spellEnd"/>
      <w:r w:rsidRPr="003B7DA2">
        <w:rPr>
          <w:rFonts w:ascii="Calibri" w:hAnsi="Calibri"/>
          <w:snapToGrid w:val="0"/>
          <w:sz w:val="22"/>
          <w:szCs w:val="22"/>
          <w:lang w:eastAsia="en-US"/>
        </w:rPr>
        <w:t xml:space="preserve"> ügyleteknél alkalmazott kiértékelési módszer segítségével. </w:t>
      </w:r>
    </w:p>
    <w:p w:rsidR="0092684C" w:rsidRPr="003B7DA2" w:rsidRDefault="0092684C">
      <w:pPr>
        <w:ind w:left="360"/>
        <w:jc w:val="both"/>
        <w:rPr>
          <w:rFonts w:ascii="Calibri" w:hAnsi="Calibri"/>
          <w:snapToGrid w:val="0"/>
          <w:sz w:val="22"/>
          <w:szCs w:val="22"/>
          <w:lang w:eastAsia="en-US"/>
        </w:rPr>
      </w:pPr>
    </w:p>
    <w:p w:rsidR="0092684C" w:rsidRPr="003B7DA2" w:rsidRDefault="0092684C">
      <w:pPr>
        <w:numPr>
          <w:ilvl w:val="0"/>
          <w:numId w:val="3"/>
        </w:numPr>
        <w:ind w:hanging="180"/>
        <w:jc w:val="both"/>
        <w:rPr>
          <w:rFonts w:ascii="Calibri" w:hAnsi="Calibri"/>
          <w:snapToGrid w:val="0"/>
          <w:sz w:val="22"/>
          <w:szCs w:val="22"/>
          <w:lang w:eastAsia="en-US"/>
        </w:rPr>
      </w:pPr>
      <w:r w:rsidRPr="003B7DA2">
        <w:rPr>
          <w:rFonts w:ascii="Calibri" w:hAnsi="Calibri"/>
          <w:snapToGrid w:val="0"/>
          <w:sz w:val="22"/>
          <w:szCs w:val="22"/>
          <w:lang w:eastAsia="en-US"/>
        </w:rPr>
        <w:t xml:space="preserve">Az egydevizás kamatláb </w:t>
      </w:r>
      <w:proofErr w:type="spellStart"/>
      <w:r w:rsidRPr="003B7DA2">
        <w:rPr>
          <w:rFonts w:ascii="Calibri" w:hAnsi="Calibri"/>
          <w:snapToGrid w:val="0"/>
          <w:sz w:val="22"/>
          <w:szCs w:val="22"/>
          <w:lang w:eastAsia="en-US"/>
        </w:rPr>
        <w:t>swap</w:t>
      </w:r>
      <w:proofErr w:type="spellEnd"/>
      <w:r w:rsidRPr="003B7DA2">
        <w:rPr>
          <w:rFonts w:ascii="Calibri" w:hAnsi="Calibri"/>
          <w:snapToGrid w:val="0"/>
          <w:sz w:val="22"/>
          <w:szCs w:val="22"/>
          <w:lang w:eastAsia="en-US"/>
        </w:rPr>
        <w:t xml:space="preserve"> megállapodás alapján egy devizanemhez kapcsolódó periodikus kamatfizetéseket cserélnek el a szerződő felek, akár fixet változóra, akár változót egy más indexhez kötött másik változó kamatra. A kamatláb </w:t>
      </w:r>
      <w:proofErr w:type="spellStart"/>
      <w:r w:rsidRPr="003B7DA2">
        <w:rPr>
          <w:rFonts w:ascii="Calibri" w:hAnsi="Calibri"/>
          <w:snapToGrid w:val="0"/>
          <w:sz w:val="22"/>
          <w:szCs w:val="22"/>
          <w:lang w:eastAsia="en-US"/>
        </w:rPr>
        <w:t>swap</w:t>
      </w:r>
      <w:proofErr w:type="spellEnd"/>
      <w:r w:rsidRPr="003B7DA2">
        <w:rPr>
          <w:rFonts w:ascii="Calibri" w:hAnsi="Calibri"/>
          <w:snapToGrid w:val="0"/>
          <w:sz w:val="22"/>
          <w:szCs w:val="22"/>
          <w:lang w:eastAsia="en-US"/>
        </w:rPr>
        <w:t xml:space="preserve"> ügyletek bruttó piaci értékét kell itt országonként, a kiértékelés eredményének megfelelő táblában szerepeltetni, a szerződés teljes időtartama alatt várható fizetett és kapott kamatok közötti különbség nettó jelenértéke számításával. </w:t>
      </w:r>
    </w:p>
    <w:p w:rsidR="0092684C" w:rsidRPr="003B7DA2" w:rsidRDefault="0092684C">
      <w:pPr>
        <w:jc w:val="both"/>
        <w:rPr>
          <w:rFonts w:ascii="Calibri" w:hAnsi="Calibri"/>
          <w:snapToGrid w:val="0"/>
          <w:sz w:val="22"/>
          <w:szCs w:val="22"/>
          <w:lang w:eastAsia="en-US"/>
        </w:rPr>
      </w:pPr>
    </w:p>
    <w:p w:rsidR="0092684C" w:rsidRPr="003B7DA2" w:rsidRDefault="0092684C">
      <w:pPr>
        <w:numPr>
          <w:ilvl w:val="0"/>
          <w:numId w:val="3"/>
        </w:numPr>
        <w:ind w:hanging="180"/>
        <w:jc w:val="both"/>
        <w:rPr>
          <w:rFonts w:ascii="Calibri" w:hAnsi="Calibri"/>
          <w:snapToGrid w:val="0"/>
          <w:sz w:val="22"/>
          <w:szCs w:val="22"/>
          <w:lang w:eastAsia="en-US"/>
        </w:rPr>
      </w:pPr>
      <w:r w:rsidRPr="003B7DA2">
        <w:rPr>
          <w:rFonts w:ascii="Calibri" w:hAnsi="Calibri"/>
          <w:snapToGrid w:val="0"/>
          <w:sz w:val="22"/>
          <w:szCs w:val="22"/>
          <w:lang w:eastAsia="en-US"/>
        </w:rPr>
        <w:t xml:space="preserve">Keresztdevizás </w:t>
      </w:r>
      <w:proofErr w:type="spellStart"/>
      <w:r w:rsidRPr="003B7DA2">
        <w:rPr>
          <w:rFonts w:ascii="Calibri" w:hAnsi="Calibri"/>
          <w:snapToGrid w:val="0"/>
          <w:sz w:val="22"/>
          <w:szCs w:val="22"/>
          <w:lang w:eastAsia="en-US"/>
        </w:rPr>
        <w:t>kamatlábswap</w:t>
      </w:r>
      <w:proofErr w:type="spellEnd"/>
      <w:r w:rsidRPr="003B7DA2">
        <w:rPr>
          <w:rFonts w:ascii="Calibri" w:hAnsi="Calibri"/>
          <w:snapToGrid w:val="0"/>
          <w:sz w:val="22"/>
          <w:szCs w:val="22"/>
          <w:lang w:eastAsia="en-US"/>
        </w:rPr>
        <w:t xml:space="preserve"> során a partnerek a szerződésben megállapodott időintervallumban, eltérő devizanemben történő kamatfizetéseket cserélnek el, valamint lejáratkor kicserélik az eltérő devizában meghatározott tőke összegeket is egy előre megállapodott devizaárfolyamon. A kereszt devizás </w:t>
      </w:r>
      <w:proofErr w:type="spellStart"/>
      <w:r w:rsidRPr="003B7DA2">
        <w:rPr>
          <w:rFonts w:ascii="Calibri" w:hAnsi="Calibri"/>
          <w:snapToGrid w:val="0"/>
          <w:sz w:val="22"/>
          <w:szCs w:val="22"/>
          <w:lang w:eastAsia="en-US"/>
        </w:rPr>
        <w:t>kamatswap</w:t>
      </w:r>
      <w:proofErr w:type="spellEnd"/>
      <w:r w:rsidRPr="003B7DA2">
        <w:rPr>
          <w:rFonts w:ascii="Calibri" w:hAnsi="Calibri"/>
          <w:snapToGrid w:val="0"/>
          <w:sz w:val="22"/>
          <w:szCs w:val="22"/>
          <w:lang w:eastAsia="en-US"/>
        </w:rPr>
        <w:t xml:space="preserve"> és egyéb hasonló összetett </w:t>
      </w:r>
      <w:proofErr w:type="spellStart"/>
      <w:r w:rsidRPr="003B7DA2">
        <w:rPr>
          <w:rFonts w:ascii="Calibri" w:hAnsi="Calibri"/>
          <w:snapToGrid w:val="0"/>
          <w:sz w:val="22"/>
          <w:szCs w:val="22"/>
          <w:lang w:eastAsia="en-US"/>
        </w:rPr>
        <w:t>swap</w:t>
      </w:r>
      <w:proofErr w:type="spellEnd"/>
      <w:r w:rsidRPr="003B7DA2">
        <w:rPr>
          <w:rFonts w:ascii="Calibri" w:hAnsi="Calibri"/>
          <w:snapToGrid w:val="0"/>
          <w:sz w:val="22"/>
          <w:szCs w:val="22"/>
          <w:lang w:eastAsia="en-US"/>
        </w:rPr>
        <w:t xml:space="preserve"> típusú ügyletek piaci értékének kiszámításánál a valutaárfolyamok és egyéb árak várható értékét is figyelembe kell venni.</w:t>
      </w:r>
    </w:p>
    <w:p w:rsidR="0092684C" w:rsidRPr="003B7DA2" w:rsidRDefault="0092684C">
      <w:pPr>
        <w:ind w:left="720"/>
        <w:jc w:val="both"/>
        <w:rPr>
          <w:rFonts w:ascii="Calibri" w:hAnsi="Calibri"/>
          <w:b/>
          <w:snapToGrid w:val="0"/>
          <w:sz w:val="22"/>
          <w:szCs w:val="22"/>
          <w:lang w:eastAsia="en-US"/>
        </w:rPr>
      </w:pPr>
    </w:p>
    <w:p w:rsidR="0092684C" w:rsidRPr="003B7DA2" w:rsidRDefault="0092684C">
      <w:pPr>
        <w:ind w:left="720"/>
        <w:jc w:val="both"/>
        <w:rPr>
          <w:rFonts w:ascii="Calibri" w:hAnsi="Calibri"/>
          <w:b/>
          <w:snapToGrid w:val="0"/>
          <w:sz w:val="22"/>
          <w:szCs w:val="22"/>
          <w:lang w:eastAsia="en-US"/>
        </w:rPr>
      </w:pPr>
    </w:p>
    <w:p w:rsidR="0092684C" w:rsidRPr="003B7DA2" w:rsidRDefault="0092684C">
      <w:pPr>
        <w:jc w:val="both"/>
        <w:rPr>
          <w:rFonts w:ascii="Calibri" w:hAnsi="Calibri"/>
          <w:b/>
          <w:snapToGrid w:val="0"/>
          <w:sz w:val="22"/>
          <w:szCs w:val="22"/>
          <w:lang w:eastAsia="en-US"/>
        </w:rPr>
      </w:pPr>
      <w:r w:rsidRPr="003B7DA2">
        <w:rPr>
          <w:rFonts w:ascii="Calibri" w:hAnsi="Calibri"/>
          <w:b/>
          <w:snapToGrid w:val="0"/>
          <w:sz w:val="22"/>
          <w:szCs w:val="22"/>
          <w:lang w:eastAsia="en-US"/>
        </w:rPr>
        <w:t xml:space="preserve">      Tranzakciók:</w:t>
      </w:r>
    </w:p>
    <w:p w:rsidR="0092684C" w:rsidRPr="003B7DA2" w:rsidRDefault="0092684C">
      <w:pPr>
        <w:ind w:left="360"/>
        <w:jc w:val="both"/>
        <w:rPr>
          <w:rFonts w:ascii="Calibri" w:hAnsi="Calibri"/>
          <w:snapToGrid w:val="0"/>
          <w:sz w:val="22"/>
          <w:szCs w:val="22"/>
          <w:lang w:eastAsia="en-US"/>
        </w:rPr>
      </w:pPr>
    </w:p>
    <w:p w:rsidR="0092684C" w:rsidRPr="003B7DA2" w:rsidRDefault="0092684C">
      <w:pPr>
        <w:numPr>
          <w:ilvl w:val="0"/>
          <w:numId w:val="3"/>
        </w:numPr>
        <w:ind w:hanging="180"/>
        <w:jc w:val="both"/>
        <w:rPr>
          <w:rFonts w:ascii="Calibri" w:hAnsi="Calibri"/>
          <w:snapToGrid w:val="0"/>
          <w:sz w:val="22"/>
          <w:szCs w:val="22"/>
          <w:lang w:eastAsia="en-US"/>
        </w:rPr>
      </w:pPr>
      <w:proofErr w:type="spellStart"/>
      <w:r w:rsidRPr="003B7DA2">
        <w:rPr>
          <w:rFonts w:ascii="Calibri" w:hAnsi="Calibri"/>
          <w:snapToGrid w:val="0"/>
          <w:sz w:val="22"/>
          <w:szCs w:val="22"/>
          <w:lang w:eastAsia="en-US"/>
        </w:rPr>
        <w:t>Devizaswap</w:t>
      </w:r>
      <w:proofErr w:type="spellEnd"/>
      <w:r w:rsidRPr="003B7DA2">
        <w:rPr>
          <w:rFonts w:ascii="Calibri" w:hAnsi="Calibri"/>
          <w:snapToGrid w:val="0"/>
          <w:sz w:val="22"/>
          <w:szCs w:val="22"/>
          <w:lang w:eastAsia="en-US"/>
        </w:rPr>
        <w:t xml:space="preserve"> ügyletek esetében a tranzakciókat a </w:t>
      </w:r>
      <w:proofErr w:type="spellStart"/>
      <w:r w:rsidRPr="003B7DA2">
        <w:rPr>
          <w:rFonts w:ascii="Calibri" w:hAnsi="Calibri"/>
          <w:snapToGrid w:val="0"/>
          <w:sz w:val="22"/>
          <w:szCs w:val="22"/>
          <w:lang w:eastAsia="en-US"/>
        </w:rPr>
        <w:t>forward</w:t>
      </w:r>
      <w:proofErr w:type="spellEnd"/>
      <w:r w:rsidRPr="003B7DA2">
        <w:rPr>
          <w:rFonts w:ascii="Calibri" w:hAnsi="Calibri"/>
          <w:snapToGrid w:val="0"/>
          <w:sz w:val="22"/>
          <w:szCs w:val="22"/>
          <w:lang w:eastAsia="en-US"/>
        </w:rPr>
        <w:t xml:space="preserve"> ügyleteknél leírtak szerint kell jelenteni. A forgalmi adatok között csak az ügylet második (hosszú) lábát kell jelenteni. Az ügylet indulásakor teljesített első konverziót (rövid lábat) egyáltalán nem kell jelenteni a derivatív táblákban. A „</w:t>
      </w:r>
      <w:proofErr w:type="spellStart"/>
      <w:r w:rsidRPr="003B7DA2">
        <w:rPr>
          <w:rFonts w:ascii="Calibri" w:hAnsi="Calibri"/>
          <w:snapToGrid w:val="0"/>
          <w:sz w:val="22"/>
          <w:szCs w:val="22"/>
          <w:lang w:eastAsia="en-US"/>
        </w:rPr>
        <w:t>tomorrow</w:t>
      </w:r>
      <w:proofErr w:type="spellEnd"/>
      <w:r w:rsidRPr="003B7DA2">
        <w:rPr>
          <w:rFonts w:ascii="Calibri" w:hAnsi="Calibri"/>
          <w:snapToGrid w:val="0"/>
          <w:sz w:val="22"/>
          <w:szCs w:val="22"/>
          <w:lang w:eastAsia="en-US"/>
        </w:rPr>
        <w:t>/</w:t>
      </w:r>
      <w:proofErr w:type="spellStart"/>
      <w:r w:rsidRPr="003B7DA2">
        <w:rPr>
          <w:rFonts w:ascii="Calibri" w:hAnsi="Calibri"/>
          <w:snapToGrid w:val="0"/>
          <w:sz w:val="22"/>
          <w:szCs w:val="22"/>
          <w:lang w:eastAsia="en-US"/>
        </w:rPr>
        <w:t>next</w:t>
      </w:r>
      <w:proofErr w:type="spellEnd"/>
      <w:r w:rsidRPr="003B7DA2">
        <w:rPr>
          <w:rFonts w:ascii="Calibri" w:hAnsi="Calibri"/>
          <w:snapToGrid w:val="0"/>
          <w:sz w:val="22"/>
          <w:szCs w:val="22"/>
          <w:lang w:eastAsia="en-US"/>
        </w:rPr>
        <w:t xml:space="preserve"> </w:t>
      </w:r>
      <w:proofErr w:type="spellStart"/>
      <w:r w:rsidRPr="003B7DA2">
        <w:rPr>
          <w:rFonts w:ascii="Calibri" w:hAnsi="Calibri"/>
          <w:snapToGrid w:val="0"/>
          <w:sz w:val="22"/>
          <w:szCs w:val="22"/>
          <w:lang w:eastAsia="en-US"/>
        </w:rPr>
        <w:t>day</w:t>
      </w:r>
      <w:proofErr w:type="spellEnd"/>
      <w:r w:rsidRPr="003B7DA2">
        <w:rPr>
          <w:rFonts w:ascii="Calibri" w:hAnsi="Calibri"/>
          <w:snapToGrid w:val="0"/>
          <w:sz w:val="22"/>
          <w:szCs w:val="22"/>
          <w:lang w:eastAsia="en-US"/>
        </w:rPr>
        <w:t>” (vagyis az üzletkötést követő napon: rövid láb, valamint az azt követő napon: hosszú láb) végrehajtott tranzakciók szintén e kategóriába tartoznak.</w:t>
      </w:r>
    </w:p>
    <w:p w:rsidR="0092684C" w:rsidRPr="003B7DA2" w:rsidRDefault="0092684C">
      <w:pPr>
        <w:ind w:left="180"/>
        <w:jc w:val="both"/>
        <w:rPr>
          <w:rFonts w:ascii="Calibri" w:hAnsi="Calibri"/>
          <w:snapToGrid w:val="0"/>
          <w:sz w:val="22"/>
          <w:szCs w:val="22"/>
          <w:lang w:eastAsia="en-US"/>
        </w:rPr>
      </w:pPr>
    </w:p>
    <w:p w:rsidR="0092684C" w:rsidRPr="003B7DA2" w:rsidRDefault="0092684C">
      <w:pPr>
        <w:numPr>
          <w:ilvl w:val="0"/>
          <w:numId w:val="3"/>
        </w:numPr>
        <w:ind w:hanging="180"/>
        <w:jc w:val="both"/>
        <w:rPr>
          <w:rFonts w:ascii="Calibri" w:hAnsi="Calibri"/>
          <w:snapToGrid w:val="0"/>
          <w:sz w:val="22"/>
          <w:szCs w:val="22"/>
          <w:lang w:eastAsia="en-US"/>
        </w:rPr>
      </w:pPr>
      <w:r w:rsidRPr="003B7DA2">
        <w:rPr>
          <w:rFonts w:ascii="Calibri" w:hAnsi="Calibri"/>
          <w:snapToGrid w:val="0"/>
          <w:sz w:val="22"/>
          <w:szCs w:val="22"/>
          <w:lang w:eastAsia="en-US"/>
        </w:rPr>
        <w:t xml:space="preserve">A kamat </w:t>
      </w:r>
      <w:proofErr w:type="spellStart"/>
      <w:r w:rsidRPr="003B7DA2">
        <w:rPr>
          <w:rFonts w:ascii="Calibri" w:hAnsi="Calibri"/>
          <w:snapToGrid w:val="0"/>
          <w:sz w:val="22"/>
          <w:szCs w:val="22"/>
          <w:lang w:eastAsia="en-US"/>
        </w:rPr>
        <w:t>swap</w:t>
      </w:r>
      <w:proofErr w:type="spellEnd"/>
      <w:r w:rsidRPr="003B7DA2">
        <w:rPr>
          <w:rFonts w:ascii="Calibri" w:hAnsi="Calibri"/>
          <w:snapToGrid w:val="0"/>
          <w:sz w:val="22"/>
          <w:szCs w:val="22"/>
          <w:lang w:eastAsia="en-US"/>
        </w:rPr>
        <w:t xml:space="preserve"> és kereszt-deviza kamatláb </w:t>
      </w:r>
      <w:proofErr w:type="spellStart"/>
      <w:r w:rsidRPr="003B7DA2">
        <w:rPr>
          <w:rFonts w:ascii="Calibri" w:hAnsi="Calibri"/>
          <w:snapToGrid w:val="0"/>
          <w:sz w:val="22"/>
          <w:szCs w:val="22"/>
          <w:lang w:eastAsia="en-US"/>
        </w:rPr>
        <w:t>swap</w:t>
      </w:r>
      <w:proofErr w:type="spellEnd"/>
      <w:r w:rsidRPr="003B7DA2">
        <w:rPr>
          <w:rFonts w:ascii="Calibri" w:hAnsi="Calibri"/>
          <w:snapToGrid w:val="0"/>
          <w:sz w:val="22"/>
          <w:szCs w:val="22"/>
          <w:lang w:eastAsia="en-US"/>
        </w:rPr>
        <w:t xml:space="preserve"> esetében az ügylet élettartama alatt a kamatfizetést és a kamat bevételt a jelentésben a tranzakciók alatt kell jelenteni, megengedett a tranzakciónak az ügylet kamatfizetéskori kiértékelése helyett az ügylet nyitó pozíciójának megfelelő táblában való szerepeltetése. </w:t>
      </w:r>
    </w:p>
    <w:p w:rsidR="0092684C" w:rsidRPr="003B7DA2" w:rsidRDefault="0092684C">
      <w:pPr>
        <w:autoSpaceDE w:val="0"/>
        <w:autoSpaceDN w:val="0"/>
        <w:adjustRightInd w:val="0"/>
        <w:ind w:left="708"/>
        <w:jc w:val="both"/>
        <w:rPr>
          <w:rFonts w:ascii="Calibri" w:hAnsi="Calibri"/>
          <w:sz w:val="22"/>
          <w:szCs w:val="22"/>
        </w:rPr>
      </w:pPr>
    </w:p>
    <w:p w:rsidR="0092684C" w:rsidRPr="003B7DA2" w:rsidRDefault="0092684C">
      <w:pPr>
        <w:autoSpaceDE w:val="0"/>
        <w:autoSpaceDN w:val="0"/>
        <w:adjustRightInd w:val="0"/>
        <w:ind w:left="540"/>
        <w:jc w:val="both"/>
        <w:rPr>
          <w:rFonts w:ascii="Calibri" w:hAnsi="Calibri" w:cs="Arial"/>
          <w:sz w:val="22"/>
          <w:szCs w:val="22"/>
        </w:rPr>
      </w:pPr>
      <w:r w:rsidRPr="003B7DA2">
        <w:rPr>
          <w:rFonts w:ascii="Calibri" w:hAnsi="Calibri"/>
          <w:sz w:val="22"/>
          <w:szCs w:val="22"/>
        </w:rPr>
        <w:t xml:space="preserve">Ugyancsak a tranzakciók között kell jelenteni minden egyéb, a </w:t>
      </w:r>
      <w:proofErr w:type="spellStart"/>
      <w:r w:rsidRPr="003B7DA2">
        <w:rPr>
          <w:rFonts w:ascii="Calibri" w:hAnsi="Calibri"/>
          <w:sz w:val="22"/>
          <w:szCs w:val="22"/>
        </w:rPr>
        <w:t>swap</w:t>
      </w:r>
      <w:proofErr w:type="spellEnd"/>
      <w:r w:rsidRPr="003B7DA2">
        <w:rPr>
          <w:rFonts w:ascii="Calibri" w:hAnsi="Calibri"/>
          <w:sz w:val="22"/>
          <w:szCs w:val="22"/>
        </w:rPr>
        <w:t xml:space="preserve"> ügyletek futamideje alatt a megállapodás alapján teljesített fizetést is. </w:t>
      </w:r>
    </w:p>
    <w:p w:rsidR="0092684C" w:rsidRPr="003B7DA2" w:rsidRDefault="0092684C">
      <w:pPr>
        <w:ind w:left="360"/>
        <w:jc w:val="both"/>
        <w:rPr>
          <w:rFonts w:ascii="Calibri" w:hAnsi="Calibri" w:cs="Garamond"/>
          <w:b/>
          <w:i/>
          <w:sz w:val="22"/>
          <w:szCs w:val="22"/>
          <w:u w:val="single"/>
        </w:rPr>
      </w:pPr>
    </w:p>
    <w:p w:rsidR="0092684C" w:rsidRPr="003B7DA2" w:rsidRDefault="0092684C">
      <w:pPr>
        <w:pStyle w:val="BodyText"/>
        <w:rPr>
          <w:rFonts w:ascii="Calibri" w:hAnsi="Calibri"/>
          <w:snapToGrid w:val="0"/>
          <w:sz w:val="22"/>
          <w:szCs w:val="22"/>
          <w:lang w:eastAsia="en-US"/>
        </w:rPr>
      </w:pPr>
      <w:bookmarkStart w:id="12" w:name="_Toc122850671"/>
      <w:r w:rsidRPr="003B7DA2">
        <w:rPr>
          <w:rFonts w:ascii="Calibri" w:hAnsi="Calibri"/>
          <w:snapToGrid w:val="0"/>
          <w:sz w:val="22"/>
          <w:szCs w:val="22"/>
          <w:lang w:eastAsia="en-US"/>
        </w:rPr>
        <w:t>A</w:t>
      </w:r>
      <w:r w:rsidRPr="003B7DA2">
        <w:rPr>
          <w:rFonts w:ascii="Calibri" w:hAnsi="Calibri"/>
          <w:snapToGrid w:val="0"/>
          <w:sz w:val="22"/>
          <w:szCs w:val="22"/>
          <w:u w:val="single"/>
          <w:lang w:eastAsia="en-US"/>
        </w:rPr>
        <w:t xml:space="preserve"> </w:t>
      </w:r>
      <w:r w:rsidRPr="003B7DA2">
        <w:rPr>
          <w:rFonts w:ascii="Calibri" w:hAnsi="Calibri"/>
          <w:b/>
          <w:snapToGrid w:val="0"/>
          <w:sz w:val="22"/>
          <w:szCs w:val="22"/>
          <w:u w:val="single"/>
          <w:lang w:eastAsia="en-US"/>
        </w:rPr>
        <w:t xml:space="preserve">példa </w:t>
      </w:r>
      <w:proofErr w:type="spellStart"/>
      <w:r w:rsidRPr="003B7DA2">
        <w:rPr>
          <w:rFonts w:ascii="Calibri" w:hAnsi="Calibri"/>
          <w:b/>
          <w:snapToGrid w:val="0"/>
          <w:sz w:val="22"/>
          <w:szCs w:val="22"/>
          <w:u w:val="single"/>
          <w:lang w:eastAsia="en-US"/>
        </w:rPr>
        <w:t>devizaswap</w:t>
      </w:r>
      <w:proofErr w:type="spellEnd"/>
      <w:r w:rsidRPr="003B7DA2">
        <w:rPr>
          <w:rFonts w:ascii="Calibri" w:hAnsi="Calibri"/>
          <w:b/>
          <w:snapToGrid w:val="0"/>
          <w:sz w:val="22"/>
          <w:szCs w:val="22"/>
          <w:u w:val="single"/>
          <w:lang w:eastAsia="en-US"/>
        </w:rPr>
        <w:t xml:space="preserve"> ügylet esetén</w:t>
      </w:r>
      <w:r w:rsidRPr="003B7DA2">
        <w:rPr>
          <w:rFonts w:ascii="Calibri" w:hAnsi="Calibri"/>
          <w:snapToGrid w:val="0"/>
          <w:sz w:val="22"/>
          <w:szCs w:val="22"/>
          <w:lang w:eastAsia="en-US"/>
        </w:rPr>
        <w:t xml:space="preserve"> azonos lenne a </w:t>
      </w:r>
      <w:proofErr w:type="spellStart"/>
      <w:r w:rsidRPr="003B7DA2">
        <w:rPr>
          <w:rFonts w:ascii="Calibri" w:hAnsi="Calibri"/>
          <w:snapToGrid w:val="0"/>
          <w:sz w:val="22"/>
          <w:szCs w:val="22"/>
          <w:lang w:eastAsia="en-US"/>
        </w:rPr>
        <w:t>forward</w:t>
      </w:r>
      <w:proofErr w:type="spellEnd"/>
      <w:r w:rsidRPr="003B7DA2">
        <w:rPr>
          <w:rFonts w:ascii="Calibri" w:hAnsi="Calibri"/>
          <w:snapToGrid w:val="0"/>
          <w:sz w:val="22"/>
          <w:szCs w:val="22"/>
          <w:lang w:eastAsia="en-US"/>
        </w:rPr>
        <w:t xml:space="preserve"> ügyletnél bemutatott példával, ahol a </w:t>
      </w:r>
      <w:proofErr w:type="spellStart"/>
      <w:r w:rsidRPr="003B7DA2">
        <w:rPr>
          <w:rFonts w:ascii="Calibri" w:hAnsi="Calibri"/>
          <w:snapToGrid w:val="0"/>
          <w:sz w:val="22"/>
          <w:szCs w:val="22"/>
          <w:lang w:eastAsia="en-US"/>
        </w:rPr>
        <w:t>forward</w:t>
      </w:r>
      <w:proofErr w:type="spellEnd"/>
      <w:r w:rsidRPr="003B7DA2">
        <w:rPr>
          <w:rFonts w:ascii="Calibri" w:hAnsi="Calibri"/>
          <w:snapToGrid w:val="0"/>
          <w:sz w:val="22"/>
          <w:szCs w:val="22"/>
          <w:lang w:eastAsia="en-US"/>
        </w:rPr>
        <w:t xml:space="preserve"> megállapodás feltételei a </w:t>
      </w:r>
      <w:proofErr w:type="spellStart"/>
      <w:r w:rsidRPr="003B7DA2">
        <w:rPr>
          <w:rFonts w:ascii="Calibri" w:hAnsi="Calibri"/>
          <w:snapToGrid w:val="0"/>
          <w:sz w:val="22"/>
          <w:szCs w:val="22"/>
          <w:lang w:eastAsia="en-US"/>
        </w:rPr>
        <w:t>devizaswap</w:t>
      </w:r>
      <w:proofErr w:type="spellEnd"/>
      <w:r w:rsidRPr="003B7DA2">
        <w:rPr>
          <w:rFonts w:ascii="Calibri" w:hAnsi="Calibri"/>
          <w:snapToGrid w:val="0"/>
          <w:sz w:val="22"/>
          <w:szCs w:val="22"/>
          <w:lang w:eastAsia="en-US"/>
        </w:rPr>
        <w:t xml:space="preserve"> hosszú lábának feltételeivel egyezőek. A rövid láb ezzel ellentétes konverzió lenne a megállapodás induló időpontjában, az ügyletet ezen időponttól kezdve kellene szerepeltetni a táblákban, de mivel a rövid láb nem jelentendő, időszakonként lezárásig csak pozíciós adatok és átértékelés adatok lennének (kivéve, ha a szerződés esetleges egyéb, időközbeni fizetéseket is előír, mert azok a tranzakciós oszlopban lennének jelentendők, a vonatkozó időszak nyitó állománya szerinti táblában).</w:t>
      </w:r>
    </w:p>
    <w:p w:rsidR="0092684C" w:rsidRPr="003B7DA2" w:rsidRDefault="0092684C">
      <w:pPr>
        <w:pStyle w:val="BodyText"/>
        <w:rPr>
          <w:rFonts w:ascii="Calibri" w:hAnsi="Calibri"/>
          <w:snapToGrid w:val="0"/>
          <w:sz w:val="22"/>
          <w:szCs w:val="22"/>
          <w:lang w:eastAsia="en-US"/>
        </w:rPr>
      </w:pPr>
    </w:p>
    <w:p w:rsidR="0092684C" w:rsidRPr="003B7DA2" w:rsidRDefault="0092684C">
      <w:pPr>
        <w:pStyle w:val="BodyText"/>
        <w:rPr>
          <w:rFonts w:ascii="Calibri" w:hAnsi="Calibri"/>
          <w:b/>
          <w:snapToGrid w:val="0"/>
          <w:sz w:val="22"/>
          <w:szCs w:val="22"/>
          <w:u w:val="single"/>
          <w:lang w:eastAsia="en-US"/>
        </w:rPr>
      </w:pPr>
      <w:r w:rsidRPr="003B7DA2">
        <w:rPr>
          <w:rFonts w:ascii="Calibri" w:hAnsi="Calibri"/>
          <w:b/>
          <w:snapToGrid w:val="0"/>
          <w:sz w:val="22"/>
          <w:szCs w:val="22"/>
          <w:u w:val="single"/>
          <w:lang w:eastAsia="en-US"/>
        </w:rPr>
        <w:t xml:space="preserve">Példa egy egyszerű, egydevizás kamatláb </w:t>
      </w:r>
      <w:proofErr w:type="spellStart"/>
      <w:r w:rsidRPr="003B7DA2">
        <w:rPr>
          <w:rFonts w:ascii="Calibri" w:hAnsi="Calibri"/>
          <w:b/>
          <w:snapToGrid w:val="0"/>
          <w:sz w:val="22"/>
          <w:szCs w:val="22"/>
          <w:u w:val="single"/>
          <w:lang w:eastAsia="en-US"/>
        </w:rPr>
        <w:t>swap</w:t>
      </w:r>
      <w:proofErr w:type="spellEnd"/>
      <w:r w:rsidRPr="003B7DA2">
        <w:rPr>
          <w:rFonts w:ascii="Calibri" w:hAnsi="Calibri"/>
          <w:b/>
          <w:snapToGrid w:val="0"/>
          <w:sz w:val="22"/>
          <w:szCs w:val="22"/>
          <w:u w:val="single"/>
          <w:lang w:eastAsia="en-US"/>
        </w:rPr>
        <w:t xml:space="preserve"> ügyletre: </w:t>
      </w:r>
    </w:p>
    <w:p w:rsidR="0042568A" w:rsidRPr="003B7DA2" w:rsidRDefault="0042568A" w:rsidP="0042568A">
      <w:pPr>
        <w:pStyle w:val="BodyText"/>
        <w:rPr>
          <w:rFonts w:ascii="Calibri" w:hAnsi="Calibri"/>
          <w:b/>
          <w:snapToGrid w:val="0"/>
          <w:sz w:val="22"/>
          <w:szCs w:val="22"/>
          <w:u w:val="single"/>
          <w:lang w:eastAsia="en-US"/>
        </w:rPr>
      </w:pPr>
      <w:r w:rsidRPr="003B7DA2">
        <w:rPr>
          <w:rFonts w:ascii="Calibri" w:hAnsi="Calibri"/>
          <w:b/>
          <w:snapToGrid w:val="0"/>
          <w:sz w:val="22"/>
          <w:szCs w:val="22"/>
          <w:u w:val="single"/>
          <w:lang w:eastAsia="en-US"/>
        </w:rPr>
        <w:t xml:space="preserve">b.) Példa egy egyszerű, egydevizás kamatláb </w:t>
      </w:r>
      <w:proofErr w:type="spellStart"/>
      <w:r w:rsidRPr="003B7DA2">
        <w:rPr>
          <w:rFonts w:ascii="Calibri" w:hAnsi="Calibri"/>
          <w:b/>
          <w:snapToGrid w:val="0"/>
          <w:sz w:val="22"/>
          <w:szCs w:val="22"/>
          <w:u w:val="single"/>
          <w:lang w:eastAsia="en-US"/>
        </w:rPr>
        <w:t>swap</w:t>
      </w:r>
      <w:proofErr w:type="spellEnd"/>
      <w:r w:rsidRPr="003B7DA2">
        <w:rPr>
          <w:rFonts w:ascii="Calibri" w:hAnsi="Calibri"/>
          <w:b/>
          <w:snapToGrid w:val="0"/>
          <w:sz w:val="22"/>
          <w:szCs w:val="22"/>
          <w:u w:val="single"/>
          <w:lang w:eastAsia="en-US"/>
        </w:rPr>
        <w:t xml:space="preserve"> ügyletre: </w:t>
      </w:r>
    </w:p>
    <w:p w:rsidR="0042568A" w:rsidRPr="003B7DA2" w:rsidRDefault="0042568A" w:rsidP="0042568A">
      <w:pPr>
        <w:pStyle w:val="BodyText"/>
        <w:rPr>
          <w:rFonts w:ascii="Calibri" w:hAnsi="Calibri"/>
          <w:snapToGrid w:val="0"/>
          <w:sz w:val="22"/>
          <w:szCs w:val="22"/>
          <w:lang w:eastAsia="en-US"/>
        </w:rPr>
      </w:pPr>
      <w:r w:rsidRPr="003B7DA2">
        <w:rPr>
          <w:rFonts w:ascii="Calibri" w:hAnsi="Calibri"/>
          <w:snapToGrid w:val="0"/>
          <w:sz w:val="22"/>
          <w:szCs w:val="22"/>
          <w:lang w:eastAsia="en-US"/>
        </w:rPr>
        <w:t xml:space="preserve">A rezidens adatszolgáltató cég 2006. január 10-én megállapodást köt nem rezidens német partnerével, hogy egy 1 millió EUR névértékű tőkeösszeg után számított fix és változó kamatot cserélnek el meghatározott időszakon keresztül (pl. 8 év). A fix évi 3 % kamatlábbal számított összeget a rezidens fél fizeti félévente német partnerének, s attól 3 havi LIBOR + 1 % kamatfizetésben </w:t>
      </w:r>
      <w:r w:rsidRPr="003B7DA2">
        <w:rPr>
          <w:rFonts w:ascii="Calibri" w:hAnsi="Calibri"/>
          <w:snapToGrid w:val="0"/>
          <w:sz w:val="22"/>
          <w:szCs w:val="22"/>
          <w:lang w:eastAsia="en-US"/>
        </w:rPr>
        <w:lastRenderedPageBreak/>
        <w:t>részesül háromhavonta. A szerződésben pontos dátummal szerepelnek a kamatfizetési kötelezettségek is.</w:t>
      </w:r>
    </w:p>
    <w:p w:rsidR="0042568A" w:rsidRPr="003B7DA2" w:rsidRDefault="0042568A" w:rsidP="0042568A">
      <w:pPr>
        <w:pStyle w:val="BodyText"/>
        <w:rPr>
          <w:rFonts w:ascii="Calibri" w:hAnsi="Calibri"/>
          <w:snapToGrid w:val="0"/>
          <w:sz w:val="22"/>
          <w:szCs w:val="22"/>
          <w:lang w:eastAsia="en-US"/>
        </w:rPr>
      </w:pPr>
      <w:r w:rsidRPr="003B7DA2">
        <w:rPr>
          <w:rFonts w:ascii="Calibri" w:hAnsi="Calibri"/>
          <w:snapToGrid w:val="0"/>
          <w:sz w:val="22"/>
          <w:szCs w:val="22"/>
          <w:lang w:eastAsia="en-US"/>
        </w:rPr>
        <w:t>A rezidens adatszolgáltató a szerződés megkötésétől kezdve minden jelentési időszak végén kiértékeli az ügyletet, megállapítja, hogy az akkor érvényes piaci változó kamatlábak szerint az ügylet a fix kamatfizetési kötelezettségéhez képest nyereséges, vagy veszteséges-e, s az így kapott értéket tünteti fel a megfelelő tábla záró pozíciós mezőjében. (I., II., III., IV., V., VI., VII. hónap: + 10 millió forint, - 10 millió Ft, + 20 millió Ft, + 10 millió Ft, - 10 Ft, + 20 millió Ft, + 10 millió Ft a forintra történt átszámítás után). Az átértékelések, a másik táblába történő „átvezetések” a korábban ismertetett módszerrel történhetnek.</w:t>
      </w:r>
    </w:p>
    <w:p w:rsidR="0042568A" w:rsidRPr="003B7DA2" w:rsidRDefault="0042568A" w:rsidP="0042568A">
      <w:pPr>
        <w:pStyle w:val="BodyText"/>
        <w:rPr>
          <w:rFonts w:ascii="Calibri" w:hAnsi="Calibri"/>
          <w:snapToGrid w:val="0"/>
          <w:sz w:val="22"/>
          <w:szCs w:val="22"/>
          <w:lang w:eastAsia="en-US"/>
        </w:rPr>
      </w:pPr>
      <w:r w:rsidRPr="003B7DA2">
        <w:rPr>
          <w:rFonts w:ascii="Calibri" w:hAnsi="Calibri"/>
          <w:snapToGrid w:val="0"/>
          <w:sz w:val="22"/>
          <w:szCs w:val="22"/>
          <w:lang w:eastAsia="en-US"/>
        </w:rPr>
        <w:t xml:space="preserve">Az első kamatfizetésre áprilisban, megadott értéknapon kerül sor, befolyik a változó kamat összege, ez akkor éppen 7.500 EUR volt, az aktuális árfolyam pedig 250 HUF/EUR. Mivel az áprilisi 20 milliós nyitó állomány ezen ügylet esetében éppen a követelés táblában állt fenn, ezért a kamatbefolyást (1.875.000 Ft) a követelés táblában lehet jelenteni, anélkül, hogy a tranzakció időpontjában újból ki kellene értékelni az ügyletet. Ugyanígy, </w:t>
      </w:r>
      <w:r w:rsidR="00A37F7F" w:rsidRPr="003B7DA2">
        <w:rPr>
          <w:rFonts w:ascii="Calibri" w:hAnsi="Calibri"/>
          <w:snapToGrid w:val="0"/>
          <w:sz w:val="22"/>
          <w:szCs w:val="22"/>
          <w:lang w:eastAsia="en-US"/>
        </w:rPr>
        <w:t xml:space="preserve">júliusban, amikor mind </w:t>
      </w:r>
      <w:r w:rsidRPr="003B7DA2">
        <w:rPr>
          <w:rFonts w:ascii="Calibri" w:hAnsi="Calibri"/>
          <w:snapToGrid w:val="0"/>
          <w:sz w:val="22"/>
          <w:szCs w:val="22"/>
          <w:lang w:eastAsia="en-US"/>
        </w:rPr>
        <w:t>a fix kamatfizetés, kimenő tranzakció</w:t>
      </w:r>
      <w:r w:rsidR="00A37F7F" w:rsidRPr="003B7DA2">
        <w:rPr>
          <w:rFonts w:ascii="Calibri" w:hAnsi="Calibri"/>
          <w:snapToGrid w:val="0"/>
          <w:sz w:val="22"/>
          <w:szCs w:val="22"/>
          <w:lang w:eastAsia="en-US"/>
        </w:rPr>
        <w:t>, mind a következő változó kamatfizetés, bejövő tranzakció (vagy a kettő különbözetének nettó módon történő pénzügyi kiegyenlítése)</w:t>
      </w:r>
      <w:r w:rsidRPr="003B7DA2">
        <w:rPr>
          <w:rFonts w:ascii="Calibri" w:hAnsi="Calibri"/>
          <w:snapToGrid w:val="0"/>
          <w:sz w:val="22"/>
          <w:szCs w:val="22"/>
          <w:lang w:eastAsia="en-US"/>
        </w:rPr>
        <w:t xml:space="preserve"> </w:t>
      </w:r>
      <w:r w:rsidR="00A37F7F" w:rsidRPr="003B7DA2">
        <w:rPr>
          <w:rFonts w:ascii="Calibri" w:hAnsi="Calibri"/>
          <w:snapToGrid w:val="0"/>
          <w:sz w:val="22"/>
          <w:szCs w:val="22"/>
          <w:lang w:eastAsia="en-US"/>
        </w:rPr>
        <w:t xml:space="preserve">a követelés táblában szerepeltethető anélkül, hogy a tranzakció időpontjában kiértékelnénk az ügyletet, </w:t>
      </w:r>
      <w:r w:rsidRPr="003B7DA2">
        <w:rPr>
          <w:rFonts w:ascii="Calibri" w:hAnsi="Calibri"/>
          <w:snapToGrid w:val="0"/>
          <w:sz w:val="22"/>
          <w:szCs w:val="22"/>
          <w:lang w:eastAsia="en-US"/>
        </w:rPr>
        <w:t xml:space="preserve">mivel júliusban a </w:t>
      </w:r>
      <w:proofErr w:type="spellStart"/>
      <w:r w:rsidRPr="003B7DA2">
        <w:rPr>
          <w:rFonts w:ascii="Calibri" w:hAnsi="Calibri"/>
          <w:snapToGrid w:val="0"/>
          <w:sz w:val="22"/>
          <w:szCs w:val="22"/>
          <w:lang w:eastAsia="en-US"/>
        </w:rPr>
        <w:t>kamatswap</w:t>
      </w:r>
      <w:proofErr w:type="spellEnd"/>
      <w:r w:rsidRPr="003B7DA2">
        <w:rPr>
          <w:rFonts w:ascii="Calibri" w:hAnsi="Calibri"/>
          <w:snapToGrid w:val="0"/>
          <w:sz w:val="22"/>
          <w:szCs w:val="22"/>
          <w:lang w:eastAsia="en-US"/>
        </w:rPr>
        <w:t xml:space="preserve"> megállapodás kiértékelt nyitó állománya (vagyis a június végi záró állomány) + 20 millió EUR volt</w:t>
      </w:r>
      <w:r w:rsidR="00744347" w:rsidRPr="003B7DA2">
        <w:rPr>
          <w:rFonts w:ascii="Calibri" w:hAnsi="Calibri"/>
          <w:snapToGrid w:val="0"/>
          <w:sz w:val="22"/>
          <w:szCs w:val="22"/>
          <w:lang w:eastAsia="en-US"/>
        </w:rPr>
        <w:t>.</w:t>
      </w:r>
      <w:r w:rsidRPr="003B7DA2">
        <w:rPr>
          <w:rFonts w:ascii="Calibri" w:hAnsi="Calibri"/>
          <w:snapToGrid w:val="0"/>
          <w:sz w:val="22"/>
          <w:szCs w:val="22"/>
          <w:lang w:eastAsia="en-US"/>
        </w:rPr>
        <w:t xml:space="preserve"> A</w:t>
      </w:r>
      <w:r w:rsidR="00A37F7F" w:rsidRPr="003B7DA2">
        <w:rPr>
          <w:rFonts w:ascii="Calibri" w:hAnsi="Calibri"/>
          <w:snapToGrid w:val="0"/>
          <w:sz w:val="22"/>
          <w:szCs w:val="22"/>
          <w:lang w:eastAsia="en-US"/>
        </w:rPr>
        <w:t xml:space="preserve"> júliusi</w:t>
      </w:r>
      <w:r w:rsidRPr="003B7DA2">
        <w:rPr>
          <w:rFonts w:ascii="Calibri" w:hAnsi="Calibri"/>
          <w:snapToGrid w:val="0"/>
          <w:sz w:val="22"/>
          <w:szCs w:val="22"/>
          <w:lang w:eastAsia="en-US"/>
        </w:rPr>
        <w:t xml:space="preserve"> tranzakció időpontjában az árfolyam 230 HUF/EUR, ezért a kifizetésre került 15 ezer EUR </w:t>
      </w:r>
      <w:r w:rsidR="00A37F7F" w:rsidRPr="003B7DA2">
        <w:rPr>
          <w:rFonts w:ascii="Calibri" w:hAnsi="Calibri"/>
          <w:snapToGrid w:val="0"/>
          <w:sz w:val="22"/>
          <w:szCs w:val="22"/>
          <w:lang w:eastAsia="en-US"/>
        </w:rPr>
        <w:t xml:space="preserve">fix kamatfizetés </w:t>
      </w:r>
      <w:r w:rsidRPr="003B7DA2">
        <w:rPr>
          <w:rFonts w:ascii="Calibri" w:hAnsi="Calibri"/>
          <w:snapToGrid w:val="0"/>
          <w:sz w:val="22"/>
          <w:szCs w:val="22"/>
          <w:lang w:eastAsia="en-US"/>
        </w:rPr>
        <w:t>forint ellenértéke: 3.450 ezer Ft</w:t>
      </w:r>
      <w:r w:rsidR="00A37F7F" w:rsidRPr="003B7DA2">
        <w:rPr>
          <w:rFonts w:ascii="Calibri" w:hAnsi="Calibri"/>
          <w:snapToGrid w:val="0"/>
          <w:sz w:val="22"/>
          <w:szCs w:val="22"/>
          <w:lang w:eastAsia="en-US"/>
        </w:rPr>
        <w:t>, míg a változó kamatbefolyás összege forintban 1.</w:t>
      </w:r>
      <w:r w:rsidR="00146264" w:rsidRPr="003B7DA2">
        <w:rPr>
          <w:rFonts w:ascii="Calibri" w:hAnsi="Calibri"/>
          <w:snapToGrid w:val="0"/>
          <w:sz w:val="22"/>
          <w:szCs w:val="22"/>
          <w:lang w:eastAsia="en-US"/>
        </w:rPr>
        <w:t>7</w:t>
      </w:r>
      <w:r w:rsidR="00A37F7F" w:rsidRPr="003B7DA2">
        <w:rPr>
          <w:rFonts w:ascii="Calibri" w:hAnsi="Calibri"/>
          <w:snapToGrid w:val="0"/>
          <w:sz w:val="22"/>
          <w:szCs w:val="22"/>
          <w:lang w:eastAsia="en-US"/>
        </w:rPr>
        <w:t>0</w:t>
      </w:r>
      <w:r w:rsidR="00146264" w:rsidRPr="003B7DA2">
        <w:rPr>
          <w:rFonts w:ascii="Calibri" w:hAnsi="Calibri"/>
          <w:snapToGrid w:val="0"/>
          <w:sz w:val="22"/>
          <w:szCs w:val="22"/>
          <w:lang w:eastAsia="en-US"/>
        </w:rPr>
        <w:t>2</w:t>
      </w:r>
      <w:r w:rsidR="00A37F7F" w:rsidRPr="003B7DA2">
        <w:rPr>
          <w:rFonts w:ascii="Calibri" w:hAnsi="Calibri"/>
          <w:snapToGrid w:val="0"/>
          <w:sz w:val="22"/>
          <w:szCs w:val="22"/>
          <w:lang w:eastAsia="en-US"/>
        </w:rPr>
        <w:t xml:space="preserve"> ezer volt.</w:t>
      </w:r>
      <w:r w:rsidRPr="003B7DA2">
        <w:rPr>
          <w:rFonts w:ascii="Calibri" w:hAnsi="Calibri"/>
          <w:snapToGrid w:val="0"/>
          <w:sz w:val="22"/>
          <w:szCs w:val="22"/>
          <w:lang w:eastAsia="en-US"/>
        </w:rPr>
        <w:t xml:space="preserve"> </w:t>
      </w:r>
    </w:p>
    <w:p w:rsidR="0042568A" w:rsidRPr="003B7DA2" w:rsidRDefault="0042568A" w:rsidP="0042568A">
      <w:pPr>
        <w:pStyle w:val="BodyText"/>
        <w:rPr>
          <w:rFonts w:ascii="Calibri" w:hAnsi="Calibri"/>
          <w:bCs/>
          <w:sz w:val="22"/>
          <w:szCs w:val="22"/>
        </w:rPr>
      </w:pPr>
    </w:p>
    <w:p w:rsidR="0042568A" w:rsidRPr="003B7DA2" w:rsidRDefault="0042568A" w:rsidP="0042568A">
      <w:pPr>
        <w:pStyle w:val="BodyText"/>
        <w:rPr>
          <w:rFonts w:ascii="Calibri" w:hAnsi="Calibri"/>
          <w:bCs/>
          <w:sz w:val="22"/>
          <w:szCs w:val="22"/>
        </w:rPr>
      </w:pPr>
      <w:r w:rsidRPr="003B7DA2">
        <w:rPr>
          <w:rFonts w:ascii="Calibri" w:hAnsi="Calibri"/>
          <w:bCs/>
          <w:sz w:val="22"/>
          <w:szCs w:val="22"/>
        </w:rPr>
        <w:t>Januárban, az ügylet indulásakor tehát a nyitó állomány 0, a záró állomány a követelés táblában 10 millió Ft a kiértékelés alapján,</w:t>
      </w:r>
      <w:r w:rsidR="00744347" w:rsidRPr="003B7DA2">
        <w:rPr>
          <w:rFonts w:ascii="Calibri" w:hAnsi="Calibri"/>
          <w:bCs/>
          <w:sz w:val="22"/>
          <w:szCs w:val="22"/>
        </w:rPr>
        <w:t xml:space="preserve"> amely az átértékelés eredménye.</w:t>
      </w:r>
    </w:p>
    <w:p w:rsidR="0042568A" w:rsidRPr="003B7DA2" w:rsidRDefault="0042568A" w:rsidP="0042568A">
      <w:pPr>
        <w:pStyle w:val="BodyText"/>
        <w:rPr>
          <w:rFonts w:ascii="Calibri" w:hAnsi="Calibri"/>
          <w:bCs/>
          <w:sz w:val="22"/>
          <w:szCs w:val="22"/>
        </w:rPr>
      </w:pPr>
    </w:p>
    <w:p w:rsidR="0042568A" w:rsidRPr="003B7DA2" w:rsidRDefault="0042568A" w:rsidP="0042568A">
      <w:pPr>
        <w:pStyle w:val="BodyText"/>
        <w:rPr>
          <w:rFonts w:ascii="Calibri" w:hAnsi="Calibri"/>
          <w:b/>
          <w:bCs/>
          <w:sz w:val="22"/>
          <w:szCs w:val="22"/>
          <w:u w:val="single"/>
        </w:rPr>
      </w:pPr>
      <w:r w:rsidRPr="003B7DA2">
        <w:rPr>
          <w:rFonts w:ascii="Calibri" w:hAnsi="Calibri"/>
          <w:b/>
          <w:bCs/>
          <w:sz w:val="22"/>
          <w:szCs w:val="22"/>
          <w:u w:val="single"/>
        </w:rPr>
        <w:t>DERK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281"/>
        <w:gridCol w:w="907"/>
        <w:gridCol w:w="1131"/>
        <w:gridCol w:w="1131"/>
        <w:gridCol w:w="1345"/>
        <w:gridCol w:w="1228"/>
        <w:gridCol w:w="1395"/>
      </w:tblGrid>
      <w:tr w:rsidR="0042568A" w:rsidRPr="003B7DA2" w:rsidTr="00D45209">
        <w:tc>
          <w:tcPr>
            <w:tcW w:w="913"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918"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050" w:type="dxa"/>
            <w:gridSpan w:val="2"/>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390" w:type="dxa"/>
            <w:vMerge w:val="restart"/>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Átértékelés</w:t>
            </w:r>
          </w:p>
        </w:tc>
        <w:tc>
          <w:tcPr>
            <w:tcW w:w="126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Egyéb változások</w:t>
            </w:r>
          </w:p>
        </w:tc>
        <w:tc>
          <w:tcPr>
            <w:tcW w:w="162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42568A" w:rsidRPr="003B7DA2" w:rsidTr="00D45209">
        <w:tc>
          <w:tcPr>
            <w:tcW w:w="913" w:type="dxa"/>
            <w:vMerge/>
          </w:tcPr>
          <w:p w:rsidR="0042568A" w:rsidRPr="003B7DA2" w:rsidRDefault="0042568A" w:rsidP="0042568A">
            <w:pPr>
              <w:pStyle w:val="BodyText"/>
              <w:rPr>
                <w:rFonts w:ascii="Calibri" w:hAnsi="Calibri"/>
                <w:b/>
                <w:bCs/>
                <w:sz w:val="22"/>
                <w:szCs w:val="22"/>
                <w:u w:val="single"/>
              </w:rPr>
            </w:pPr>
          </w:p>
        </w:tc>
        <w:tc>
          <w:tcPr>
            <w:tcW w:w="1137" w:type="dxa"/>
            <w:vMerge/>
          </w:tcPr>
          <w:p w:rsidR="0042568A" w:rsidRPr="003B7DA2" w:rsidRDefault="0042568A" w:rsidP="0042568A">
            <w:pPr>
              <w:pStyle w:val="BodyText"/>
              <w:rPr>
                <w:rFonts w:ascii="Calibri" w:hAnsi="Calibri"/>
                <w:b/>
                <w:bCs/>
                <w:sz w:val="22"/>
                <w:szCs w:val="22"/>
                <w:u w:val="single"/>
              </w:rPr>
            </w:pPr>
          </w:p>
        </w:tc>
        <w:tc>
          <w:tcPr>
            <w:tcW w:w="918" w:type="dxa"/>
            <w:vMerge/>
          </w:tcPr>
          <w:p w:rsidR="0042568A" w:rsidRPr="003B7DA2" w:rsidRDefault="0042568A" w:rsidP="0042568A">
            <w:pPr>
              <w:pStyle w:val="BodyText"/>
              <w:rPr>
                <w:rFonts w:ascii="Calibri" w:hAnsi="Calibri"/>
                <w:b/>
                <w:bCs/>
                <w:sz w:val="22"/>
                <w:szCs w:val="22"/>
                <w:u w:val="single"/>
              </w:rPr>
            </w:pPr>
          </w:p>
        </w:tc>
        <w:tc>
          <w:tcPr>
            <w:tcW w:w="1025" w:type="dxa"/>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Állományt növelő</w:t>
            </w:r>
          </w:p>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(Kiadás)</w:t>
            </w:r>
          </w:p>
        </w:tc>
        <w:tc>
          <w:tcPr>
            <w:tcW w:w="1025" w:type="dxa"/>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Állományt csökkentő</w:t>
            </w:r>
          </w:p>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(Bevétel)</w:t>
            </w:r>
          </w:p>
        </w:tc>
        <w:tc>
          <w:tcPr>
            <w:tcW w:w="1390" w:type="dxa"/>
            <w:vMerge/>
          </w:tcPr>
          <w:p w:rsidR="0042568A" w:rsidRPr="003B7DA2" w:rsidRDefault="0042568A" w:rsidP="0042568A">
            <w:pPr>
              <w:pStyle w:val="BodyText"/>
              <w:rPr>
                <w:rFonts w:ascii="Calibri" w:hAnsi="Calibri" w:cs="Arial"/>
                <w:sz w:val="22"/>
                <w:szCs w:val="22"/>
              </w:rPr>
            </w:pPr>
          </w:p>
        </w:tc>
        <w:tc>
          <w:tcPr>
            <w:tcW w:w="1260" w:type="dxa"/>
            <w:vMerge/>
          </w:tcPr>
          <w:p w:rsidR="0042568A" w:rsidRPr="003B7DA2" w:rsidRDefault="0042568A" w:rsidP="0042568A">
            <w:pPr>
              <w:pStyle w:val="BodyText"/>
              <w:rPr>
                <w:rFonts w:ascii="Calibri" w:hAnsi="Calibri" w:cs="Arial"/>
                <w:sz w:val="22"/>
                <w:szCs w:val="22"/>
              </w:rPr>
            </w:pPr>
          </w:p>
        </w:tc>
        <w:tc>
          <w:tcPr>
            <w:tcW w:w="1620" w:type="dxa"/>
            <w:vMerge/>
          </w:tcPr>
          <w:p w:rsidR="0042568A" w:rsidRPr="003B7DA2" w:rsidRDefault="0042568A" w:rsidP="0042568A">
            <w:pPr>
              <w:pStyle w:val="BodyText"/>
              <w:rPr>
                <w:rFonts w:ascii="Calibri" w:hAnsi="Calibri" w:cs="Arial"/>
                <w:sz w:val="22"/>
                <w:szCs w:val="22"/>
              </w:rPr>
            </w:pPr>
          </w:p>
        </w:tc>
      </w:tr>
      <w:tr w:rsidR="0042568A" w:rsidRPr="003B7DA2" w:rsidTr="00D45209">
        <w:tc>
          <w:tcPr>
            <w:tcW w:w="913"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SW</w:t>
            </w:r>
          </w:p>
        </w:tc>
        <w:tc>
          <w:tcPr>
            <w:tcW w:w="1137" w:type="dxa"/>
          </w:tcPr>
          <w:p w:rsidR="0042568A" w:rsidRPr="003B7DA2" w:rsidRDefault="0042568A" w:rsidP="0042568A">
            <w:pPr>
              <w:pStyle w:val="BodyText"/>
              <w:rPr>
                <w:rFonts w:ascii="Calibri" w:hAnsi="Calibri"/>
                <w:bCs/>
                <w:sz w:val="22"/>
                <w:szCs w:val="22"/>
              </w:rPr>
            </w:pPr>
            <w:r w:rsidRPr="003B7DA2">
              <w:rPr>
                <w:rFonts w:ascii="Calibri" w:hAnsi="Calibri" w:cs="Arial"/>
                <w:sz w:val="22"/>
                <w:szCs w:val="22"/>
              </w:rPr>
              <w:t>DE</w:t>
            </w:r>
          </w:p>
        </w:tc>
        <w:tc>
          <w:tcPr>
            <w:tcW w:w="918"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0</w:t>
            </w:r>
          </w:p>
        </w:tc>
        <w:tc>
          <w:tcPr>
            <w:tcW w:w="1390" w:type="dxa"/>
          </w:tcPr>
          <w:p w:rsidR="0042568A" w:rsidRPr="003B7DA2" w:rsidRDefault="0042568A" w:rsidP="0042568A">
            <w:pPr>
              <w:pStyle w:val="BodyText"/>
              <w:rPr>
                <w:rFonts w:ascii="Calibri" w:hAnsi="Calibri" w:cs="Arial"/>
                <w:sz w:val="22"/>
                <w:szCs w:val="22"/>
              </w:rPr>
            </w:pPr>
            <w:r w:rsidRPr="003B7DA2">
              <w:rPr>
                <w:rFonts w:ascii="Calibri" w:hAnsi="Calibri"/>
                <w:bCs/>
                <w:sz w:val="22"/>
                <w:szCs w:val="22"/>
              </w:rPr>
              <w:t>10 000 000</w:t>
            </w:r>
          </w:p>
        </w:tc>
        <w:tc>
          <w:tcPr>
            <w:tcW w:w="126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c>
          <w:tcPr>
            <w:tcW w:w="162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10 000 000</w:t>
            </w:r>
          </w:p>
        </w:tc>
      </w:tr>
    </w:tbl>
    <w:p w:rsidR="0042568A" w:rsidRPr="003B7DA2" w:rsidRDefault="0042568A" w:rsidP="0042568A">
      <w:pPr>
        <w:pStyle w:val="BodyText"/>
        <w:rPr>
          <w:rFonts w:ascii="Calibri" w:hAnsi="Calibri"/>
          <w:bCs/>
          <w:sz w:val="22"/>
          <w:szCs w:val="22"/>
        </w:rPr>
      </w:pPr>
    </w:p>
    <w:p w:rsidR="0042568A" w:rsidRPr="003B7DA2" w:rsidRDefault="0042568A" w:rsidP="0042568A">
      <w:pPr>
        <w:pStyle w:val="BodyText"/>
        <w:rPr>
          <w:rFonts w:ascii="Calibri" w:hAnsi="Calibri"/>
          <w:bCs/>
          <w:sz w:val="22"/>
          <w:szCs w:val="22"/>
        </w:rPr>
      </w:pPr>
      <w:r w:rsidRPr="003B7DA2">
        <w:rPr>
          <w:rFonts w:ascii="Calibri" w:hAnsi="Calibri"/>
          <w:bCs/>
          <w:sz w:val="22"/>
          <w:szCs w:val="22"/>
        </w:rPr>
        <w:t>Február végén az ügylet veszteséges, tehát a 10 millió Ft záró állomány a DERT táblában kerül jelentésre: itt 0 nyitó és 10 millió forintos záró állomány, s ugyanekkora összegű átértékelés jelentendő. Ugyanakkor a DERK táblában e soron a 10 millió forintos nyitó állomány mellett 0 záró állományt találunk, a különbség az állományt csökkentő átértékelés, tehát negatív előjelű.</w:t>
      </w:r>
    </w:p>
    <w:p w:rsidR="0042568A" w:rsidRPr="003B7DA2" w:rsidRDefault="0042568A" w:rsidP="0042568A">
      <w:pPr>
        <w:pStyle w:val="BodyText"/>
        <w:rPr>
          <w:rFonts w:ascii="Calibri" w:hAnsi="Calibri"/>
          <w:bCs/>
          <w:sz w:val="22"/>
          <w:szCs w:val="22"/>
        </w:rPr>
      </w:pPr>
    </w:p>
    <w:p w:rsidR="0042568A" w:rsidRPr="003B7DA2" w:rsidRDefault="0042568A" w:rsidP="0042568A">
      <w:pPr>
        <w:pStyle w:val="BodyText"/>
        <w:rPr>
          <w:rFonts w:ascii="Calibri" w:hAnsi="Calibri"/>
          <w:bCs/>
          <w:sz w:val="22"/>
          <w:szCs w:val="22"/>
        </w:rPr>
      </w:pPr>
    </w:p>
    <w:p w:rsidR="0042568A" w:rsidRPr="003B7DA2" w:rsidRDefault="0042568A" w:rsidP="0042568A">
      <w:pPr>
        <w:pStyle w:val="BodyText"/>
        <w:rPr>
          <w:rFonts w:ascii="Calibri" w:hAnsi="Calibri"/>
          <w:b/>
          <w:bCs/>
          <w:sz w:val="22"/>
          <w:szCs w:val="22"/>
          <w:u w:val="single"/>
        </w:rPr>
      </w:pPr>
      <w:r w:rsidRPr="003B7DA2">
        <w:rPr>
          <w:rFonts w:ascii="Calibri" w:hAnsi="Calibri"/>
          <w:b/>
          <w:bCs/>
          <w:sz w:val="22"/>
          <w:szCs w:val="22"/>
          <w:u w:val="single"/>
        </w:rPr>
        <w:t>DERK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815"/>
        <w:gridCol w:w="1240"/>
        <w:gridCol w:w="1025"/>
        <w:gridCol w:w="1025"/>
        <w:gridCol w:w="1390"/>
        <w:gridCol w:w="1260"/>
        <w:gridCol w:w="1620"/>
      </w:tblGrid>
      <w:tr w:rsidR="0042568A" w:rsidRPr="003B7DA2" w:rsidTr="00D45209">
        <w:tc>
          <w:tcPr>
            <w:tcW w:w="913"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Az ügylet típusa</w:t>
            </w:r>
          </w:p>
        </w:tc>
        <w:tc>
          <w:tcPr>
            <w:tcW w:w="815"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 partner ISO ország kódja</w:t>
            </w:r>
          </w:p>
        </w:tc>
        <w:tc>
          <w:tcPr>
            <w:tcW w:w="1240"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050" w:type="dxa"/>
            <w:gridSpan w:val="2"/>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390" w:type="dxa"/>
            <w:vMerge w:val="restart"/>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Átértékelés</w:t>
            </w:r>
          </w:p>
        </w:tc>
        <w:tc>
          <w:tcPr>
            <w:tcW w:w="126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Egyéb változások</w:t>
            </w:r>
          </w:p>
        </w:tc>
        <w:tc>
          <w:tcPr>
            <w:tcW w:w="162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42568A" w:rsidRPr="003B7DA2" w:rsidTr="00D45209">
        <w:tc>
          <w:tcPr>
            <w:tcW w:w="913" w:type="dxa"/>
            <w:vMerge/>
          </w:tcPr>
          <w:p w:rsidR="0042568A" w:rsidRPr="003B7DA2" w:rsidRDefault="0042568A" w:rsidP="0042568A">
            <w:pPr>
              <w:pStyle w:val="BodyText"/>
              <w:rPr>
                <w:rFonts w:ascii="Calibri" w:hAnsi="Calibri"/>
                <w:b/>
                <w:bCs/>
                <w:sz w:val="22"/>
                <w:szCs w:val="22"/>
                <w:u w:val="single"/>
              </w:rPr>
            </w:pPr>
          </w:p>
        </w:tc>
        <w:tc>
          <w:tcPr>
            <w:tcW w:w="815" w:type="dxa"/>
            <w:vMerge/>
          </w:tcPr>
          <w:p w:rsidR="0042568A" w:rsidRPr="003B7DA2" w:rsidRDefault="0042568A" w:rsidP="0042568A">
            <w:pPr>
              <w:pStyle w:val="BodyText"/>
              <w:rPr>
                <w:rFonts w:ascii="Calibri" w:hAnsi="Calibri"/>
                <w:b/>
                <w:bCs/>
                <w:sz w:val="22"/>
                <w:szCs w:val="22"/>
                <w:u w:val="single"/>
              </w:rPr>
            </w:pPr>
          </w:p>
        </w:tc>
        <w:tc>
          <w:tcPr>
            <w:tcW w:w="1240" w:type="dxa"/>
            <w:vMerge/>
          </w:tcPr>
          <w:p w:rsidR="0042568A" w:rsidRPr="003B7DA2" w:rsidRDefault="0042568A" w:rsidP="0042568A">
            <w:pPr>
              <w:pStyle w:val="BodyText"/>
              <w:rPr>
                <w:rFonts w:ascii="Calibri" w:hAnsi="Calibri"/>
                <w:b/>
                <w:bCs/>
                <w:sz w:val="22"/>
                <w:szCs w:val="22"/>
                <w:u w:val="single"/>
              </w:rPr>
            </w:pPr>
          </w:p>
        </w:tc>
        <w:tc>
          <w:tcPr>
            <w:tcW w:w="1025" w:type="dxa"/>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Állományt növelő</w:t>
            </w:r>
          </w:p>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(Kiadás)</w:t>
            </w:r>
          </w:p>
        </w:tc>
        <w:tc>
          <w:tcPr>
            <w:tcW w:w="1025" w:type="dxa"/>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Állományt csökkentő</w:t>
            </w:r>
          </w:p>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(Bevétel)</w:t>
            </w:r>
          </w:p>
        </w:tc>
        <w:tc>
          <w:tcPr>
            <w:tcW w:w="1390" w:type="dxa"/>
            <w:vMerge/>
          </w:tcPr>
          <w:p w:rsidR="0042568A" w:rsidRPr="003B7DA2" w:rsidRDefault="0042568A" w:rsidP="0042568A">
            <w:pPr>
              <w:pStyle w:val="BodyText"/>
              <w:rPr>
                <w:rFonts w:ascii="Calibri" w:hAnsi="Calibri" w:cs="Arial"/>
                <w:sz w:val="22"/>
                <w:szCs w:val="22"/>
              </w:rPr>
            </w:pPr>
          </w:p>
        </w:tc>
        <w:tc>
          <w:tcPr>
            <w:tcW w:w="1260" w:type="dxa"/>
            <w:vMerge/>
          </w:tcPr>
          <w:p w:rsidR="0042568A" w:rsidRPr="003B7DA2" w:rsidRDefault="0042568A" w:rsidP="0042568A">
            <w:pPr>
              <w:pStyle w:val="BodyText"/>
              <w:rPr>
                <w:rFonts w:ascii="Calibri" w:hAnsi="Calibri" w:cs="Arial"/>
                <w:sz w:val="22"/>
                <w:szCs w:val="22"/>
              </w:rPr>
            </w:pPr>
          </w:p>
        </w:tc>
        <w:tc>
          <w:tcPr>
            <w:tcW w:w="1620" w:type="dxa"/>
            <w:vMerge/>
          </w:tcPr>
          <w:p w:rsidR="0042568A" w:rsidRPr="003B7DA2" w:rsidRDefault="0042568A" w:rsidP="0042568A">
            <w:pPr>
              <w:pStyle w:val="BodyText"/>
              <w:rPr>
                <w:rFonts w:ascii="Calibri" w:hAnsi="Calibri" w:cs="Arial"/>
                <w:sz w:val="22"/>
                <w:szCs w:val="22"/>
              </w:rPr>
            </w:pPr>
          </w:p>
        </w:tc>
      </w:tr>
      <w:tr w:rsidR="0042568A" w:rsidRPr="003B7DA2" w:rsidTr="00D45209">
        <w:tc>
          <w:tcPr>
            <w:tcW w:w="913"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SW</w:t>
            </w:r>
          </w:p>
        </w:tc>
        <w:tc>
          <w:tcPr>
            <w:tcW w:w="815" w:type="dxa"/>
          </w:tcPr>
          <w:p w:rsidR="0042568A" w:rsidRPr="003B7DA2" w:rsidRDefault="0042568A" w:rsidP="0042568A">
            <w:pPr>
              <w:pStyle w:val="BodyText"/>
              <w:rPr>
                <w:rFonts w:ascii="Calibri" w:hAnsi="Calibri"/>
                <w:bCs/>
                <w:sz w:val="22"/>
                <w:szCs w:val="22"/>
              </w:rPr>
            </w:pPr>
            <w:r w:rsidRPr="003B7DA2">
              <w:rPr>
                <w:rFonts w:ascii="Calibri" w:hAnsi="Calibri" w:cs="Arial"/>
                <w:sz w:val="22"/>
                <w:szCs w:val="22"/>
              </w:rPr>
              <w:t>DE</w:t>
            </w:r>
          </w:p>
        </w:tc>
        <w:tc>
          <w:tcPr>
            <w:tcW w:w="124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10 000 000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0</w:t>
            </w:r>
          </w:p>
        </w:tc>
        <w:tc>
          <w:tcPr>
            <w:tcW w:w="1390" w:type="dxa"/>
          </w:tcPr>
          <w:p w:rsidR="0042568A" w:rsidRPr="003B7DA2" w:rsidRDefault="0042568A" w:rsidP="0042568A">
            <w:pPr>
              <w:pStyle w:val="BodyText"/>
              <w:rPr>
                <w:rFonts w:ascii="Calibri" w:hAnsi="Calibri" w:cs="Arial"/>
                <w:sz w:val="22"/>
                <w:szCs w:val="22"/>
              </w:rPr>
            </w:pPr>
            <w:r w:rsidRPr="003B7DA2">
              <w:rPr>
                <w:rFonts w:ascii="Calibri" w:hAnsi="Calibri"/>
                <w:bCs/>
                <w:sz w:val="22"/>
                <w:szCs w:val="22"/>
              </w:rPr>
              <w:t>-10 000 000</w:t>
            </w:r>
          </w:p>
        </w:tc>
        <w:tc>
          <w:tcPr>
            <w:tcW w:w="126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c>
          <w:tcPr>
            <w:tcW w:w="162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r>
    </w:tbl>
    <w:p w:rsidR="0042568A" w:rsidRPr="003B7DA2" w:rsidRDefault="0042568A" w:rsidP="0042568A">
      <w:pPr>
        <w:pStyle w:val="BodyText"/>
        <w:rPr>
          <w:rFonts w:ascii="Calibri" w:hAnsi="Calibri"/>
          <w:bCs/>
          <w:sz w:val="22"/>
          <w:szCs w:val="22"/>
        </w:rPr>
      </w:pPr>
    </w:p>
    <w:p w:rsidR="0042568A" w:rsidRPr="003B7DA2" w:rsidRDefault="0042568A" w:rsidP="0042568A">
      <w:pPr>
        <w:pStyle w:val="BodyText"/>
        <w:rPr>
          <w:rFonts w:ascii="Calibri" w:hAnsi="Calibri"/>
          <w:b/>
          <w:bCs/>
          <w:sz w:val="22"/>
          <w:szCs w:val="22"/>
          <w:u w:val="single"/>
        </w:rPr>
      </w:pPr>
    </w:p>
    <w:p w:rsidR="0042568A" w:rsidRPr="003B7DA2" w:rsidRDefault="0042568A" w:rsidP="0042568A">
      <w:pPr>
        <w:pStyle w:val="BodyText"/>
        <w:rPr>
          <w:rFonts w:ascii="Calibri" w:hAnsi="Calibri"/>
          <w:b/>
          <w:bCs/>
          <w:sz w:val="22"/>
          <w:szCs w:val="22"/>
          <w:u w:val="single"/>
        </w:rPr>
      </w:pPr>
      <w:r w:rsidRPr="003B7DA2">
        <w:rPr>
          <w:rFonts w:ascii="Calibri" w:hAnsi="Calibri"/>
          <w:b/>
          <w:bCs/>
          <w:sz w:val="22"/>
          <w:szCs w:val="22"/>
          <w:u w:val="single"/>
        </w:rPr>
        <w:lastRenderedPageBreak/>
        <w:t>DERT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281"/>
        <w:gridCol w:w="910"/>
        <w:gridCol w:w="1131"/>
        <w:gridCol w:w="1131"/>
        <w:gridCol w:w="1242"/>
        <w:gridCol w:w="1156"/>
        <w:gridCol w:w="1556"/>
      </w:tblGrid>
      <w:tr w:rsidR="0042568A" w:rsidRPr="003B7DA2" w:rsidTr="00D45209">
        <w:tc>
          <w:tcPr>
            <w:tcW w:w="913"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Az ügylet típusa</w:t>
            </w:r>
          </w:p>
        </w:tc>
        <w:tc>
          <w:tcPr>
            <w:tcW w:w="1137"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918"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050" w:type="dxa"/>
            <w:gridSpan w:val="2"/>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127" w:type="dxa"/>
            <w:vMerge w:val="restart"/>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Átértékelés</w:t>
            </w:r>
          </w:p>
        </w:tc>
        <w:tc>
          <w:tcPr>
            <w:tcW w:w="1033"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Egyéb változások</w:t>
            </w:r>
          </w:p>
        </w:tc>
        <w:tc>
          <w:tcPr>
            <w:tcW w:w="175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42568A" w:rsidRPr="003B7DA2" w:rsidTr="00D45209">
        <w:tc>
          <w:tcPr>
            <w:tcW w:w="913" w:type="dxa"/>
            <w:vMerge/>
          </w:tcPr>
          <w:p w:rsidR="0042568A" w:rsidRPr="003B7DA2" w:rsidRDefault="0042568A" w:rsidP="0042568A">
            <w:pPr>
              <w:pStyle w:val="BodyText"/>
              <w:rPr>
                <w:rFonts w:ascii="Calibri" w:hAnsi="Calibri"/>
                <w:b/>
                <w:bCs/>
                <w:sz w:val="22"/>
                <w:szCs w:val="22"/>
                <w:u w:val="single"/>
              </w:rPr>
            </w:pPr>
          </w:p>
        </w:tc>
        <w:tc>
          <w:tcPr>
            <w:tcW w:w="1137" w:type="dxa"/>
            <w:vMerge/>
          </w:tcPr>
          <w:p w:rsidR="0042568A" w:rsidRPr="003B7DA2" w:rsidRDefault="0042568A" w:rsidP="0042568A">
            <w:pPr>
              <w:pStyle w:val="BodyText"/>
              <w:rPr>
                <w:rFonts w:ascii="Calibri" w:hAnsi="Calibri"/>
                <w:b/>
                <w:bCs/>
                <w:sz w:val="22"/>
                <w:szCs w:val="22"/>
                <w:u w:val="single"/>
              </w:rPr>
            </w:pPr>
          </w:p>
        </w:tc>
        <w:tc>
          <w:tcPr>
            <w:tcW w:w="918" w:type="dxa"/>
            <w:vMerge/>
          </w:tcPr>
          <w:p w:rsidR="0042568A" w:rsidRPr="003B7DA2" w:rsidRDefault="0042568A" w:rsidP="0042568A">
            <w:pPr>
              <w:pStyle w:val="BodyText"/>
              <w:rPr>
                <w:rFonts w:ascii="Calibri" w:hAnsi="Calibri"/>
                <w:b/>
                <w:bCs/>
                <w:sz w:val="22"/>
                <w:szCs w:val="22"/>
                <w:u w:val="single"/>
              </w:rPr>
            </w:pP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Állományt növelő (Bevétel)</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Állományt csökkentő (Kiadás)</w:t>
            </w:r>
          </w:p>
        </w:tc>
        <w:tc>
          <w:tcPr>
            <w:tcW w:w="1127" w:type="dxa"/>
            <w:vMerge/>
          </w:tcPr>
          <w:p w:rsidR="0042568A" w:rsidRPr="003B7DA2" w:rsidRDefault="0042568A" w:rsidP="0042568A">
            <w:pPr>
              <w:pStyle w:val="BodyText"/>
              <w:rPr>
                <w:rFonts w:ascii="Calibri" w:hAnsi="Calibri" w:cs="Arial"/>
                <w:sz w:val="22"/>
                <w:szCs w:val="22"/>
              </w:rPr>
            </w:pPr>
          </w:p>
        </w:tc>
        <w:tc>
          <w:tcPr>
            <w:tcW w:w="1033" w:type="dxa"/>
            <w:vMerge/>
          </w:tcPr>
          <w:p w:rsidR="0042568A" w:rsidRPr="003B7DA2" w:rsidRDefault="0042568A" w:rsidP="0042568A">
            <w:pPr>
              <w:pStyle w:val="BodyText"/>
              <w:rPr>
                <w:rFonts w:ascii="Calibri" w:hAnsi="Calibri" w:cs="Arial"/>
                <w:sz w:val="22"/>
                <w:szCs w:val="22"/>
              </w:rPr>
            </w:pPr>
          </w:p>
        </w:tc>
        <w:tc>
          <w:tcPr>
            <w:tcW w:w="1750" w:type="dxa"/>
            <w:vMerge/>
          </w:tcPr>
          <w:p w:rsidR="0042568A" w:rsidRPr="003B7DA2" w:rsidRDefault="0042568A" w:rsidP="0042568A">
            <w:pPr>
              <w:pStyle w:val="BodyText"/>
              <w:rPr>
                <w:rFonts w:ascii="Calibri" w:hAnsi="Calibri" w:cs="Arial"/>
                <w:sz w:val="22"/>
                <w:szCs w:val="22"/>
              </w:rPr>
            </w:pPr>
          </w:p>
        </w:tc>
      </w:tr>
      <w:tr w:rsidR="0042568A" w:rsidRPr="003B7DA2" w:rsidTr="00D45209">
        <w:tc>
          <w:tcPr>
            <w:tcW w:w="913"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SW</w:t>
            </w:r>
          </w:p>
        </w:tc>
        <w:tc>
          <w:tcPr>
            <w:tcW w:w="1137" w:type="dxa"/>
          </w:tcPr>
          <w:p w:rsidR="0042568A" w:rsidRPr="003B7DA2" w:rsidRDefault="0042568A" w:rsidP="0042568A">
            <w:pPr>
              <w:pStyle w:val="BodyText"/>
              <w:rPr>
                <w:rFonts w:ascii="Calibri" w:hAnsi="Calibri"/>
                <w:bCs/>
                <w:sz w:val="22"/>
                <w:szCs w:val="22"/>
              </w:rPr>
            </w:pPr>
            <w:r w:rsidRPr="003B7DA2">
              <w:rPr>
                <w:rFonts w:ascii="Calibri" w:hAnsi="Calibri" w:cs="Arial"/>
                <w:sz w:val="22"/>
                <w:szCs w:val="22"/>
              </w:rPr>
              <w:t>DE</w:t>
            </w:r>
          </w:p>
        </w:tc>
        <w:tc>
          <w:tcPr>
            <w:tcW w:w="918"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0</w:t>
            </w:r>
          </w:p>
        </w:tc>
        <w:tc>
          <w:tcPr>
            <w:tcW w:w="1127" w:type="dxa"/>
          </w:tcPr>
          <w:p w:rsidR="0042568A" w:rsidRPr="003B7DA2" w:rsidRDefault="0042568A" w:rsidP="0042568A">
            <w:pPr>
              <w:pStyle w:val="BodyText"/>
              <w:rPr>
                <w:rFonts w:ascii="Calibri" w:hAnsi="Calibri"/>
                <w:b/>
                <w:bCs/>
                <w:sz w:val="22"/>
                <w:szCs w:val="22"/>
                <w:u w:val="single"/>
              </w:rPr>
            </w:pPr>
            <w:r w:rsidRPr="003B7DA2">
              <w:rPr>
                <w:rFonts w:ascii="Calibri" w:hAnsi="Calibri"/>
                <w:bCs/>
                <w:sz w:val="22"/>
                <w:szCs w:val="22"/>
              </w:rPr>
              <w:t>10 000 000</w:t>
            </w:r>
          </w:p>
        </w:tc>
        <w:tc>
          <w:tcPr>
            <w:tcW w:w="1033"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c>
          <w:tcPr>
            <w:tcW w:w="175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10 000 000</w:t>
            </w:r>
          </w:p>
        </w:tc>
      </w:tr>
    </w:tbl>
    <w:p w:rsidR="0042568A" w:rsidRPr="003B7DA2" w:rsidRDefault="0042568A" w:rsidP="0042568A">
      <w:pPr>
        <w:pStyle w:val="BodyText"/>
        <w:rPr>
          <w:rFonts w:ascii="Calibri" w:hAnsi="Calibri"/>
          <w:bCs/>
          <w:sz w:val="22"/>
          <w:szCs w:val="22"/>
        </w:rPr>
      </w:pPr>
    </w:p>
    <w:p w:rsidR="0042568A" w:rsidRPr="003B7DA2" w:rsidRDefault="0042568A" w:rsidP="0042568A">
      <w:pPr>
        <w:pStyle w:val="BodyText"/>
        <w:rPr>
          <w:rFonts w:ascii="Calibri" w:hAnsi="Calibri"/>
          <w:bCs/>
          <w:sz w:val="22"/>
          <w:szCs w:val="22"/>
        </w:rPr>
      </w:pPr>
    </w:p>
    <w:p w:rsidR="0042568A" w:rsidRPr="003B7DA2" w:rsidRDefault="0042568A" w:rsidP="0042568A">
      <w:pPr>
        <w:pStyle w:val="BodyText"/>
        <w:rPr>
          <w:rFonts w:ascii="Calibri" w:hAnsi="Calibri"/>
          <w:bCs/>
          <w:sz w:val="22"/>
          <w:szCs w:val="22"/>
        </w:rPr>
      </w:pPr>
      <w:r w:rsidRPr="003B7DA2">
        <w:rPr>
          <w:rFonts w:ascii="Calibri" w:hAnsi="Calibri"/>
          <w:bCs/>
          <w:sz w:val="22"/>
          <w:szCs w:val="22"/>
        </w:rPr>
        <w:t xml:space="preserve">Március végére az ügylet ismét nyereségessé válik. Kamatfizetés, tehát tranzakció még nem volt, jelentendők a nyitó és záró pozíciók és az átértékelés összege. Most a DERT táblából kerül átvezetésre 0 záró pozíción keresztül az ügylet a DERK táblába, az átértékelések segítségével: </w:t>
      </w:r>
    </w:p>
    <w:p w:rsidR="0042568A" w:rsidRPr="003B7DA2" w:rsidRDefault="0042568A" w:rsidP="0042568A">
      <w:pPr>
        <w:pStyle w:val="BodyText"/>
        <w:rPr>
          <w:rFonts w:ascii="Calibri" w:hAnsi="Calibri"/>
          <w:bCs/>
          <w:sz w:val="22"/>
          <w:szCs w:val="22"/>
        </w:rPr>
      </w:pPr>
    </w:p>
    <w:p w:rsidR="0042568A" w:rsidRPr="003B7DA2" w:rsidRDefault="0042568A" w:rsidP="0042568A">
      <w:pPr>
        <w:pStyle w:val="BodyText"/>
        <w:rPr>
          <w:rFonts w:ascii="Calibri" w:hAnsi="Calibri"/>
          <w:b/>
          <w:bCs/>
          <w:sz w:val="22"/>
          <w:szCs w:val="22"/>
          <w:u w:val="single"/>
        </w:rPr>
      </w:pPr>
      <w:r w:rsidRPr="003B7DA2">
        <w:rPr>
          <w:rFonts w:ascii="Calibri" w:hAnsi="Calibri"/>
          <w:b/>
          <w:bCs/>
          <w:sz w:val="22"/>
          <w:szCs w:val="22"/>
          <w:u w:val="single"/>
        </w:rPr>
        <w:t>DERK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815"/>
        <w:gridCol w:w="1240"/>
        <w:gridCol w:w="1025"/>
        <w:gridCol w:w="1025"/>
        <w:gridCol w:w="1390"/>
        <w:gridCol w:w="1260"/>
        <w:gridCol w:w="1620"/>
      </w:tblGrid>
      <w:tr w:rsidR="0042568A" w:rsidRPr="003B7DA2" w:rsidTr="00D45209">
        <w:tc>
          <w:tcPr>
            <w:tcW w:w="913"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Az ügylet típusa</w:t>
            </w:r>
          </w:p>
        </w:tc>
        <w:tc>
          <w:tcPr>
            <w:tcW w:w="815"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 partner ISO ország kódja</w:t>
            </w:r>
          </w:p>
        </w:tc>
        <w:tc>
          <w:tcPr>
            <w:tcW w:w="1240"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050" w:type="dxa"/>
            <w:gridSpan w:val="2"/>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390" w:type="dxa"/>
            <w:vMerge w:val="restart"/>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Átértékelés</w:t>
            </w:r>
          </w:p>
        </w:tc>
        <w:tc>
          <w:tcPr>
            <w:tcW w:w="126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Egyéb változások</w:t>
            </w:r>
          </w:p>
        </w:tc>
        <w:tc>
          <w:tcPr>
            <w:tcW w:w="162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42568A" w:rsidRPr="003B7DA2" w:rsidTr="00D45209">
        <w:tc>
          <w:tcPr>
            <w:tcW w:w="913" w:type="dxa"/>
            <w:vMerge/>
          </w:tcPr>
          <w:p w:rsidR="0042568A" w:rsidRPr="003B7DA2" w:rsidRDefault="0042568A" w:rsidP="0042568A">
            <w:pPr>
              <w:pStyle w:val="BodyText"/>
              <w:rPr>
                <w:rFonts w:ascii="Calibri" w:hAnsi="Calibri"/>
                <w:b/>
                <w:bCs/>
                <w:sz w:val="22"/>
                <w:szCs w:val="22"/>
                <w:u w:val="single"/>
              </w:rPr>
            </w:pPr>
          </w:p>
        </w:tc>
        <w:tc>
          <w:tcPr>
            <w:tcW w:w="815" w:type="dxa"/>
            <w:vMerge/>
          </w:tcPr>
          <w:p w:rsidR="0042568A" w:rsidRPr="003B7DA2" w:rsidRDefault="0042568A" w:rsidP="0042568A">
            <w:pPr>
              <w:pStyle w:val="BodyText"/>
              <w:rPr>
                <w:rFonts w:ascii="Calibri" w:hAnsi="Calibri"/>
                <w:b/>
                <w:bCs/>
                <w:sz w:val="22"/>
                <w:szCs w:val="22"/>
                <w:u w:val="single"/>
              </w:rPr>
            </w:pPr>
          </w:p>
        </w:tc>
        <w:tc>
          <w:tcPr>
            <w:tcW w:w="1240" w:type="dxa"/>
            <w:vMerge/>
          </w:tcPr>
          <w:p w:rsidR="0042568A" w:rsidRPr="003B7DA2" w:rsidRDefault="0042568A" w:rsidP="0042568A">
            <w:pPr>
              <w:pStyle w:val="BodyText"/>
              <w:rPr>
                <w:rFonts w:ascii="Calibri" w:hAnsi="Calibri"/>
                <w:b/>
                <w:bCs/>
                <w:sz w:val="22"/>
                <w:szCs w:val="22"/>
                <w:u w:val="single"/>
              </w:rPr>
            </w:pPr>
          </w:p>
        </w:tc>
        <w:tc>
          <w:tcPr>
            <w:tcW w:w="1025" w:type="dxa"/>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Állományt növelő</w:t>
            </w:r>
          </w:p>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(Kiadás)</w:t>
            </w:r>
          </w:p>
        </w:tc>
        <w:tc>
          <w:tcPr>
            <w:tcW w:w="1025" w:type="dxa"/>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Állományt csökkentő</w:t>
            </w:r>
          </w:p>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(Bevétel)</w:t>
            </w:r>
          </w:p>
        </w:tc>
        <w:tc>
          <w:tcPr>
            <w:tcW w:w="1390" w:type="dxa"/>
            <w:vMerge/>
          </w:tcPr>
          <w:p w:rsidR="0042568A" w:rsidRPr="003B7DA2" w:rsidRDefault="0042568A" w:rsidP="0042568A">
            <w:pPr>
              <w:pStyle w:val="BodyText"/>
              <w:rPr>
                <w:rFonts w:ascii="Calibri" w:hAnsi="Calibri" w:cs="Arial"/>
                <w:sz w:val="22"/>
                <w:szCs w:val="22"/>
              </w:rPr>
            </w:pPr>
          </w:p>
        </w:tc>
        <w:tc>
          <w:tcPr>
            <w:tcW w:w="1260" w:type="dxa"/>
            <w:vMerge/>
          </w:tcPr>
          <w:p w:rsidR="0042568A" w:rsidRPr="003B7DA2" w:rsidRDefault="0042568A" w:rsidP="0042568A">
            <w:pPr>
              <w:pStyle w:val="BodyText"/>
              <w:rPr>
                <w:rFonts w:ascii="Calibri" w:hAnsi="Calibri" w:cs="Arial"/>
                <w:sz w:val="22"/>
                <w:szCs w:val="22"/>
              </w:rPr>
            </w:pPr>
          </w:p>
        </w:tc>
        <w:tc>
          <w:tcPr>
            <w:tcW w:w="1620" w:type="dxa"/>
            <w:vMerge/>
          </w:tcPr>
          <w:p w:rsidR="0042568A" w:rsidRPr="003B7DA2" w:rsidRDefault="0042568A" w:rsidP="0042568A">
            <w:pPr>
              <w:pStyle w:val="BodyText"/>
              <w:rPr>
                <w:rFonts w:ascii="Calibri" w:hAnsi="Calibri" w:cs="Arial"/>
                <w:sz w:val="22"/>
                <w:szCs w:val="22"/>
              </w:rPr>
            </w:pPr>
          </w:p>
        </w:tc>
      </w:tr>
      <w:tr w:rsidR="0042568A" w:rsidRPr="003B7DA2" w:rsidTr="00D45209">
        <w:tc>
          <w:tcPr>
            <w:tcW w:w="913"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SW</w:t>
            </w:r>
          </w:p>
        </w:tc>
        <w:tc>
          <w:tcPr>
            <w:tcW w:w="815" w:type="dxa"/>
          </w:tcPr>
          <w:p w:rsidR="0042568A" w:rsidRPr="003B7DA2" w:rsidRDefault="0042568A" w:rsidP="0042568A">
            <w:pPr>
              <w:pStyle w:val="BodyText"/>
              <w:rPr>
                <w:rFonts w:ascii="Calibri" w:hAnsi="Calibri"/>
                <w:bCs/>
                <w:sz w:val="22"/>
                <w:szCs w:val="22"/>
              </w:rPr>
            </w:pPr>
            <w:r w:rsidRPr="003B7DA2">
              <w:rPr>
                <w:rFonts w:ascii="Calibri" w:hAnsi="Calibri" w:cs="Arial"/>
                <w:sz w:val="22"/>
                <w:szCs w:val="22"/>
              </w:rPr>
              <w:t>DE</w:t>
            </w:r>
          </w:p>
        </w:tc>
        <w:tc>
          <w:tcPr>
            <w:tcW w:w="124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0</w:t>
            </w:r>
          </w:p>
        </w:tc>
        <w:tc>
          <w:tcPr>
            <w:tcW w:w="1390" w:type="dxa"/>
          </w:tcPr>
          <w:p w:rsidR="0042568A" w:rsidRPr="003B7DA2" w:rsidRDefault="0042568A" w:rsidP="0042568A">
            <w:pPr>
              <w:pStyle w:val="BodyText"/>
              <w:rPr>
                <w:rFonts w:ascii="Calibri" w:hAnsi="Calibri" w:cs="Arial"/>
                <w:sz w:val="22"/>
                <w:szCs w:val="22"/>
              </w:rPr>
            </w:pPr>
            <w:r w:rsidRPr="003B7DA2">
              <w:rPr>
                <w:rFonts w:ascii="Calibri" w:hAnsi="Calibri"/>
                <w:bCs/>
                <w:sz w:val="22"/>
                <w:szCs w:val="22"/>
              </w:rPr>
              <w:t>20 000 000</w:t>
            </w:r>
          </w:p>
        </w:tc>
        <w:tc>
          <w:tcPr>
            <w:tcW w:w="126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c>
          <w:tcPr>
            <w:tcW w:w="162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20 000 000</w:t>
            </w:r>
          </w:p>
        </w:tc>
      </w:tr>
    </w:tbl>
    <w:p w:rsidR="0042568A" w:rsidRPr="003B7DA2" w:rsidRDefault="0042568A" w:rsidP="0042568A">
      <w:pPr>
        <w:pStyle w:val="BodyText"/>
        <w:rPr>
          <w:rFonts w:ascii="Calibri" w:hAnsi="Calibri"/>
          <w:b/>
          <w:bCs/>
          <w:sz w:val="22"/>
          <w:szCs w:val="22"/>
          <w:u w:val="single"/>
        </w:rPr>
      </w:pPr>
    </w:p>
    <w:p w:rsidR="0042568A" w:rsidRPr="003B7DA2" w:rsidRDefault="0042568A" w:rsidP="0042568A">
      <w:pPr>
        <w:pStyle w:val="BodyText"/>
        <w:rPr>
          <w:rFonts w:ascii="Calibri" w:hAnsi="Calibri"/>
          <w:b/>
          <w:bCs/>
          <w:sz w:val="22"/>
          <w:szCs w:val="22"/>
          <w:u w:val="single"/>
        </w:rPr>
      </w:pPr>
    </w:p>
    <w:p w:rsidR="0042568A" w:rsidRPr="003B7DA2" w:rsidRDefault="0042568A" w:rsidP="0042568A">
      <w:pPr>
        <w:pStyle w:val="BodyText"/>
        <w:rPr>
          <w:rFonts w:ascii="Calibri" w:hAnsi="Calibri"/>
          <w:b/>
          <w:bCs/>
          <w:sz w:val="22"/>
          <w:szCs w:val="22"/>
          <w:u w:val="single"/>
        </w:rPr>
      </w:pPr>
      <w:r w:rsidRPr="003B7DA2">
        <w:rPr>
          <w:rFonts w:ascii="Calibri" w:hAnsi="Calibri"/>
          <w:b/>
          <w:bCs/>
          <w:sz w:val="22"/>
          <w:szCs w:val="22"/>
          <w:u w:val="single"/>
        </w:rPr>
        <w:t>DERT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815"/>
        <w:gridCol w:w="1240"/>
        <w:gridCol w:w="1025"/>
        <w:gridCol w:w="1025"/>
        <w:gridCol w:w="1210"/>
        <w:gridCol w:w="950"/>
        <w:gridCol w:w="1750"/>
      </w:tblGrid>
      <w:tr w:rsidR="0042568A" w:rsidRPr="003B7DA2" w:rsidTr="00D45209">
        <w:tc>
          <w:tcPr>
            <w:tcW w:w="913"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Az ügylet típusa</w:t>
            </w:r>
          </w:p>
        </w:tc>
        <w:tc>
          <w:tcPr>
            <w:tcW w:w="815"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 partner ISO ország kódja</w:t>
            </w:r>
          </w:p>
        </w:tc>
        <w:tc>
          <w:tcPr>
            <w:tcW w:w="1240"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050" w:type="dxa"/>
            <w:gridSpan w:val="2"/>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210" w:type="dxa"/>
            <w:vMerge w:val="restart"/>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Átértékelés</w:t>
            </w:r>
          </w:p>
        </w:tc>
        <w:tc>
          <w:tcPr>
            <w:tcW w:w="95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Egyéb változások</w:t>
            </w:r>
          </w:p>
        </w:tc>
        <w:tc>
          <w:tcPr>
            <w:tcW w:w="175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42568A" w:rsidRPr="003B7DA2" w:rsidTr="00D45209">
        <w:tc>
          <w:tcPr>
            <w:tcW w:w="913" w:type="dxa"/>
            <w:vMerge/>
          </w:tcPr>
          <w:p w:rsidR="0042568A" w:rsidRPr="003B7DA2" w:rsidRDefault="0042568A" w:rsidP="0042568A">
            <w:pPr>
              <w:pStyle w:val="BodyText"/>
              <w:rPr>
                <w:rFonts w:ascii="Calibri" w:hAnsi="Calibri"/>
                <w:b/>
                <w:bCs/>
                <w:sz w:val="22"/>
                <w:szCs w:val="22"/>
                <w:u w:val="single"/>
              </w:rPr>
            </w:pPr>
          </w:p>
        </w:tc>
        <w:tc>
          <w:tcPr>
            <w:tcW w:w="815" w:type="dxa"/>
            <w:vMerge/>
          </w:tcPr>
          <w:p w:rsidR="0042568A" w:rsidRPr="003B7DA2" w:rsidRDefault="0042568A" w:rsidP="0042568A">
            <w:pPr>
              <w:pStyle w:val="BodyText"/>
              <w:rPr>
                <w:rFonts w:ascii="Calibri" w:hAnsi="Calibri"/>
                <w:b/>
                <w:bCs/>
                <w:sz w:val="22"/>
                <w:szCs w:val="22"/>
                <w:u w:val="single"/>
              </w:rPr>
            </w:pPr>
          </w:p>
        </w:tc>
        <w:tc>
          <w:tcPr>
            <w:tcW w:w="1240" w:type="dxa"/>
            <w:vMerge/>
          </w:tcPr>
          <w:p w:rsidR="0042568A" w:rsidRPr="003B7DA2" w:rsidRDefault="0042568A" w:rsidP="0042568A">
            <w:pPr>
              <w:pStyle w:val="BodyText"/>
              <w:rPr>
                <w:rFonts w:ascii="Calibri" w:hAnsi="Calibri"/>
                <w:b/>
                <w:bCs/>
                <w:sz w:val="22"/>
                <w:szCs w:val="22"/>
                <w:u w:val="single"/>
              </w:rPr>
            </w:pP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Állományt növelő (Bevétel)</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Állományt csökkentő (Kiadás)</w:t>
            </w:r>
          </w:p>
        </w:tc>
        <w:tc>
          <w:tcPr>
            <w:tcW w:w="1210" w:type="dxa"/>
            <w:vMerge/>
          </w:tcPr>
          <w:p w:rsidR="0042568A" w:rsidRPr="003B7DA2" w:rsidRDefault="0042568A" w:rsidP="0042568A">
            <w:pPr>
              <w:pStyle w:val="BodyText"/>
              <w:rPr>
                <w:rFonts w:ascii="Calibri" w:hAnsi="Calibri" w:cs="Arial"/>
                <w:sz w:val="22"/>
                <w:szCs w:val="22"/>
              </w:rPr>
            </w:pPr>
          </w:p>
        </w:tc>
        <w:tc>
          <w:tcPr>
            <w:tcW w:w="950" w:type="dxa"/>
            <w:vMerge/>
          </w:tcPr>
          <w:p w:rsidR="0042568A" w:rsidRPr="003B7DA2" w:rsidRDefault="0042568A" w:rsidP="0042568A">
            <w:pPr>
              <w:pStyle w:val="BodyText"/>
              <w:rPr>
                <w:rFonts w:ascii="Calibri" w:hAnsi="Calibri" w:cs="Arial"/>
                <w:sz w:val="22"/>
                <w:szCs w:val="22"/>
              </w:rPr>
            </w:pPr>
          </w:p>
        </w:tc>
        <w:tc>
          <w:tcPr>
            <w:tcW w:w="1750" w:type="dxa"/>
            <w:vMerge/>
          </w:tcPr>
          <w:p w:rsidR="0042568A" w:rsidRPr="003B7DA2" w:rsidRDefault="0042568A" w:rsidP="0042568A">
            <w:pPr>
              <w:pStyle w:val="BodyText"/>
              <w:rPr>
                <w:rFonts w:ascii="Calibri" w:hAnsi="Calibri" w:cs="Arial"/>
                <w:sz w:val="22"/>
                <w:szCs w:val="22"/>
              </w:rPr>
            </w:pPr>
          </w:p>
        </w:tc>
      </w:tr>
      <w:tr w:rsidR="0042568A" w:rsidRPr="003B7DA2" w:rsidTr="00D45209">
        <w:tc>
          <w:tcPr>
            <w:tcW w:w="913"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SW</w:t>
            </w:r>
          </w:p>
        </w:tc>
        <w:tc>
          <w:tcPr>
            <w:tcW w:w="815" w:type="dxa"/>
          </w:tcPr>
          <w:p w:rsidR="0042568A" w:rsidRPr="003B7DA2" w:rsidRDefault="0042568A" w:rsidP="0042568A">
            <w:pPr>
              <w:pStyle w:val="BodyText"/>
              <w:rPr>
                <w:rFonts w:ascii="Calibri" w:hAnsi="Calibri"/>
                <w:bCs/>
                <w:sz w:val="22"/>
                <w:szCs w:val="22"/>
              </w:rPr>
            </w:pPr>
            <w:r w:rsidRPr="003B7DA2">
              <w:rPr>
                <w:rFonts w:ascii="Calibri" w:hAnsi="Calibri" w:cs="Arial"/>
                <w:sz w:val="22"/>
                <w:szCs w:val="22"/>
              </w:rPr>
              <w:t>DE</w:t>
            </w:r>
          </w:p>
        </w:tc>
        <w:tc>
          <w:tcPr>
            <w:tcW w:w="124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10 000 000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0</w:t>
            </w:r>
          </w:p>
        </w:tc>
        <w:tc>
          <w:tcPr>
            <w:tcW w:w="1210" w:type="dxa"/>
          </w:tcPr>
          <w:p w:rsidR="0042568A" w:rsidRPr="003B7DA2" w:rsidRDefault="0042568A" w:rsidP="0042568A">
            <w:pPr>
              <w:pStyle w:val="BodyText"/>
              <w:rPr>
                <w:rFonts w:ascii="Calibri" w:hAnsi="Calibri"/>
                <w:b/>
                <w:bCs/>
                <w:sz w:val="22"/>
                <w:szCs w:val="22"/>
                <w:u w:val="single"/>
              </w:rPr>
            </w:pPr>
            <w:r w:rsidRPr="003B7DA2">
              <w:rPr>
                <w:rFonts w:ascii="Calibri" w:hAnsi="Calibri"/>
                <w:bCs/>
                <w:sz w:val="22"/>
                <w:szCs w:val="22"/>
              </w:rPr>
              <w:t>-10 000 000</w:t>
            </w:r>
          </w:p>
        </w:tc>
        <w:tc>
          <w:tcPr>
            <w:tcW w:w="95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c>
          <w:tcPr>
            <w:tcW w:w="175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r>
    </w:tbl>
    <w:p w:rsidR="0042568A" w:rsidRPr="003B7DA2" w:rsidRDefault="0042568A" w:rsidP="0042568A">
      <w:pPr>
        <w:pStyle w:val="BodyText"/>
        <w:rPr>
          <w:rFonts w:ascii="Calibri" w:hAnsi="Calibri"/>
          <w:bCs/>
          <w:sz w:val="22"/>
          <w:szCs w:val="22"/>
        </w:rPr>
      </w:pPr>
    </w:p>
    <w:p w:rsidR="0042568A" w:rsidRPr="003B7DA2" w:rsidRDefault="0042568A" w:rsidP="0042568A">
      <w:pPr>
        <w:pStyle w:val="BodyText"/>
        <w:rPr>
          <w:rFonts w:ascii="Calibri" w:hAnsi="Calibri"/>
          <w:bCs/>
          <w:sz w:val="22"/>
          <w:szCs w:val="22"/>
        </w:rPr>
      </w:pPr>
      <w:r w:rsidRPr="003B7DA2">
        <w:rPr>
          <w:rFonts w:ascii="Calibri" w:hAnsi="Calibri"/>
          <w:bCs/>
          <w:sz w:val="22"/>
          <w:szCs w:val="22"/>
        </w:rPr>
        <w:t>Áprilisban tehát, a nyitó pozíció táblájában, a DERK táblában kerül jelentésre az 1 875 000 Ft értékű kamatbevétel (a követelés állományt csökkentő tranzakció), s a záró állomány 10 millió forint, követelés, ezért a tartozás táblában most nem szerepel az ügylet.</w:t>
      </w:r>
    </w:p>
    <w:p w:rsidR="0042568A" w:rsidRPr="003B7DA2" w:rsidRDefault="0042568A" w:rsidP="0042568A">
      <w:pPr>
        <w:pStyle w:val="BodyText"/>
        <w:rPr>
          <w:rFonts w:ascii="Calibri" w:hAnsi="Calibri"/>
          <w:bCs/>
          <w:sz w:val="22"/>
          <w:szCs w:val="22"/>
        </w:rPr>
      </w:pPr>
    </w:p>
    <w:p w:rsidR="0042568A" w:rsidRPr="003B7DA2" w:rsidRDefault="0042568A" w:rsidP="0042568A">
      <w:pPr>
        <w:pStyle w:val="BodyText"/>
        <w:rPr>
          <w:rFonts w:ascii="Calibri" w:hAnsi="Calibri"/>
          <w:b/>
          <w:bCs/>
          <w:sz w:val="22"/>
          <w:szCs w:val="22"/>
          <w:u w:val="single"/>
        </w:rPr>
      </w:pPr>
      <w:r w:rsidRPr="003B7DA2">
        <w:rPr>
          <w:rFonts w:ascii="Calibri" w:hAnsi="Calibri"/>
          <w:b/>
          <w:bCs/>
          <w:sz w:val="22"/>
          <w:szCs w:val="22"/>
          <w:u w:val="single"/>
        </w:rPr>
        <w:t>DERK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815"/>
        <w:gridCol w:w="1240"/>
        <w:gridCol w:w="1025"/>
        <w:gridCol w:w="1025"/>
        <w:gridCol w:w="1390"/>
        <w:gridCol w:w="1260"/>
        <w:gridCol w:w="1620"/>
      </w:tblGrid>
      <w:tr w:rsidR="0042568A" w:rsidRPr="003B7DA2" w:rsidTr="00D45209">
        <w:tc>
          <w:tcPr>
            <w:tcW w:w="913"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Az ügylet típusa</w:t>
            </w:r>
          </w:p>
        </w:tc>
        <w:tc>
          <w:tcPr>
            <w:tcW w:w="815"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 partner ISO ország kódja</w:t>
            </w:r>
          </w:p>
        </w:tc>
        <w:tc>
          <w:tcPr>
            <w:tcW w:w="1240"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050" w:type="dxa"/>
            <w:gridSpan w:val="2"/>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390" w:type="dxa"/>
            <w:vMerge w:val="restart"/>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Átértékelés</w:t>
            </w:r>
          </w:p>
        </w:tc>
        <w:tc>
          <w:tcPr>
            <w:tcW w:w="126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Egyéb változások</w:t>
            </w:r>
          </w:p>
        </w:tc>
        <w:tc>
          <w:tcPr>
            <w:tcW w:w="162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42568A" w:rsidRPr="003B7DA2" w:rsidTr="00D45209">
        <w:tc>
          <w:tcPr>
            <w:tcW w:w="913" w:type="dxa"/>
            <w:vMerge/>
          </w:tcPr>
          <w:p w:rsidR="0042568A" w:rsidRPr="003B7DA2" w:rsidRDefault="0042568A" w:rsidP="0042568A">
            <w:pPr>
              <w:pStyle w:val="BodyText"/>
              <w:rPr>
                <w:rFonts w:ascii="Calibri" w:hAnsi="Calibri"/>
                <w:b/>
                <w:bCs/>
                <w:sz w:val="22"/>
                <w:szCs w:val="22"/>
                <w:u w:val="single"/>
              </w:rPr>
            </w:pPr>
          </w:p>
        </w:tc>
        <w:tc>
          <w:tcPr>
            <w:tcW w:w="815" w:type="dxa"/>
            <w:vMerge/>
          </w:tcPr>
          <w:p w:rsidR="0042568A" w:rsidRPr="003B7DA2" w:rsidRDefault="0042568A" w:rsidP="0042568A">
            <w:pPr>
              <w:pStyle w:val="BodyText"/>
              <w:rPr>
                <w:rFonts w:ascii="Calibri" w:hAnsi="Calibri"/>
                <w:b/>
                <w:bCs/>
                <w:sz w:val="22"/>
                <w:szCs w:val="22"/>
                <w:u w:val="single"/>
              </w:rPr>
            </w:pPr>
          </w:p>
        </w:tc>
        <w:tc>
          <w:tcPr>
            <w:tcW w:w="1240" w:type="dxa"/>
            <w:vMerge/>
          </w:tcPr>
          <w:p w:rsidR="0042568A" w:rsidRPr="003B7DA2" w:rsidRDefault="0042568A" w:rsidP="0042568A">
            <w:pPr>
              <w:pStyle w:val="BodyText"/>
              <w:rPr>
                <w:rFonts w:ascii="Calibri" w:hAnsi="Calibri"/>
                <w:b/>
                <w:bCs/>
                <w:sz w:val="22"/>
                <w:szCs w:val="22"/>
                <w:u w:val="single"/>
              </w:rPr>
            </w:pPr>
          </w:p>
        </w:tc>
        <w:tc>
          <w:tcPr>
            <w:tcW w:w="1025" w:type="dxa"/>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Állományt növelő</w:t>
            </w:r>
          </w:p>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(Kiadás)</w:t>
            </w:r>
          </w:p>
        </w:tc>
        <w:tc>
          <w:tcPr>
            <w:tcW w:w="1025" w:type="dxa"/>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Állományt csökkentő</w:t>
            </w:r>
          </w:p>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(Bevétel)</w:t>
            </w:r>
          </w:p>
        </w:tc>
        <w:tc>
          <w:tcPr>
            <w:tcW w:w="1390" w:type="dxa"/>
            <w:vMerge/>
          </w:tcPr>
          <w:p w:rsidR="0042568A" w:rsidRPr="003B7DA2" w:rsidRDefault="0042568A" w:rsidP="0042568A">
            <w:pPr>
              <w:pStyle w:val="BodyText"/>
              <w:rPr>
                <w:rFonts w:ascii="Calibri" w:hAnsi="Calibri" w:cs="Arial"/>
                <w:sz w:val="22"/>
                <w:szCs w:val="22"/>
              </w:rPr>
            </w:pPr>
          </w:p>
        </w:tc>
        <w:tc>
          <w:tcPr>
            <w:tcW w:w="1260" w:type="dxa"/>
            <w:vMerge/>
          </w:tcPr>
          <w:p w:rsidR="0042568A" w:rsidRPr="003B7DA2" w:rsidRDefault="0042568A" w:rsidP="0042568A">
            <w:pPr>
              <w:pStyle w:val="BodyText"/>
              <w:rPr>
                <w:rFonts w:ascii="Calibri" w:hAnsi="Calibri" w:cs="Arial"/>
                <w:sz w:val="22"/>
                <w:szCs w:val="22"/>
              </w:rPr>
            </w:pPr>
          </w:p>
        </w:tc>
        <w:tc>
          <w:tcPr>
            <w:tcW w:w="1620" w:type="dxa"/>
            <w:vMerge/>
          </w:tcPr>
          <w:p w:rsidR="0042568A" w:rsidRPr="003B7DA2" w:rsidRDefault="0042568A" w:rsidP="0042568A">
            <w:pPr>
              <w:pStyle w:val="BodyText"/>
              <w:rPr>
                <w:rFonts w:ascii="Calibri" w:hAnsi="Calibri" w:cs="Arial"/>
                <w:sz w:val="22"/>
                <w:szCs w:val="22"/>
              </w:rPr>
            </w:pPr>
          </w:p>
        </w:tc>
      </w:tr>
      <w:tr w:rsidR="0042568A" w:rsidRPr="003B7DA2" w:rsidTr="00D45209">
        <w:tc>
          <w:tcPr>
            <w:tcW w:w="913"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SW</w:t>
            </w:r>
          </w:p>
        </w:tc>
        <w:tc>
          <w:tcPr>
            <w:tcW w:w="815" w:type="dxa"/>
          </w:tcPr>
          <w:p w:rsidR="0042568A" w:rsidRPr="003B7DA2" w:rsidRDefault="0042568A" w:rsidP="0042568A">
            <w:pPr>
              <w:pStyle w:val="BodyText"/>
              <w:rPr>
                <w:rFonts w:ascii="Calibri" w:hAnsi="Calibri"/>
                <w:bCs/>
                <w:sz w:val="22"/>
                <w:szCs w:val="22"/>
              </w:rPr>
            </w:pPr>
            <w:r w:rsidRPr="003B7DA2">
              <w:rPr>
                <w:rFonts w:ascii="Calibri" w:hAnsi="Calibri" w:cs="Arial"/>
                <w:sz w:val="22"/>
                <w:szCs w:val="22"/>
              </w:rPr>
              <w:t>DE</w:t>
            </w:r>
          </w:p>
        </w:tc>
        <w:tc>
          <w:tcPr>
            <w:tcW w:w="124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20 000 000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1 875 000</w:t>
            </w:r>
          </w:p>
        </w:tc>
        <w:tc>
          <w:tcPr>
            <w:tcW w:w="1390"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-8 125 000</w:t>
            </w:r>
          </w:p>
        </w:tc>
        <w:tc>
          <w:tcPr>
            <w:tcW w:w="126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c>
          <w:tcPr>
            <w:tcW w:w="162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10 000 000</w:t>
            </w:r>
          </w:p>
        </w:tc>
      </w:tr>
    </w:tbl>
    <w:p w:rsidR="0042568A" w:rsidRPr="003B7DA2" w:rsidRDefault="0042568A" w:rsidP="0042568A">
      <w:pPr>
        <w:pStyle w:val="BodyText"/>
        <w:rPr>
          <w:rFonts w:ascii="Calibri" w:hAnsi="Calibri"/>
          <w:bCs/>
          <w:sz w:val="22"/>
          <w:szCs w:val="22"/>
        </w:rPr>
      </w:pPr>
    </w:p>
    <w:p w:rsidR="0042568A" w:rsidRPr="003B7DA2" w:rsidRDefault="0042568A" w:rsidP="0042568A">
      <w:pPr>
        <w:pStyle w:val="BodyText"/>
        <w:rPr>
          <w:rFonts w:ascii="Calibri" w:hAnsi="Calibri"/>
          <w:bCs/>
          <w:sz w:val="22"/>
          <w:szCs w:val="22"/>
        </w:rPr>
      </w:pPr>
      <w:r w:rsidRPr="003B7DA2">
        <w:rPr>
          <w:rFonts w:ascii="Calibri" w:hAnsi="Calibri"/>
          <w:bCs/>
          <w:sz w:val="22"/>
          <w:szCs w:val="22"/>
        </w:rPr>
        <w:t>Május végén az ügylet ismét veszteséget mutat, 10 millió Ft-ot, s mivel tranzakció (kamatfizetés) nem esik erre a tárgyidőszakra, ismét csak az átértékelés segítségével kerül átvezetésre az ügylet a DERK táblából a DERT táblába:</w:t>
      </w:r>
    </w:p>
    <w:p w:rsidR="0042568A" w:rsidRPr="003B7DA2" w:rsidRDefault="0042568A" w:rsidP="0042568A">
      <w:pPr>
        <w:pStyle w:val="BodyText"/>
        <w:rPr>
          <w:rFonts w:ascii="Calibri" w:hAnsi="Calibri"/>
          <w:bCs/>
          <w:sz w:val="22"/>
          <w:szCs w:val="22"/>
        </w:rPr>
      </w:pPr>
    </w:p>
    <w:p w:rsidR="0042568A" w:rsidRPr="003B7DA2" w:rsidRDefault="0042568A" w:rsidP="0042568A">
      <w:pPr>
        <w:pStyle w:val="BodyText"/>
        <w:rPr>
          <w:rFonts w:ascii="Calibri" w:hAnsi="Calibri"/>
          <w:b/>
          <w:bCs/>
          <w:sz w:val="22"/>
          <w:szCs w:val="22"/>
          <w:u w:val="single"/>
        </w:rPr>
      </w:pPr>
      <w:r w:rsidRPr="003B7DA2">
        <w:rPr>
          <w:rFonts w:ascii="Calibri" w:hAnsi="Calibri"/>
          <w:b/>
          <w:bCs/>
          <w:sz w:val="22"/>
          <w:szCs w:val="22"/>
          <w:u w:val="single"/>
        </w:rPr>
        <w:t>DERK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815"/>
        <w:gridCol w:w="1240"/>
        <w:gridCol w:w="1025"/>
        <w:gridCol w:w="1025"/>
        <w:gridCol w:w="1390"/>
        <w:gridCol w:w="1260"/>
        <w:gridCol w:w="1620"/>
      </w:tblGrid>
      <w:tr w:rsidR="0042568A" w:rsidRPr="003B7DA2" w:rsidTr="00D45209">
        <w:tc>
          <w:tcPr>
            <w:tcW w:w="913"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Az ügylet típusa</w:t>
            </w:r>
          </w:p>
        </w:tc>
        <w:tc>
          <w:tcPr>
            <w:tcW w:w="815"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 partner ISO ország kódja</w:t>
            </w:r>
          </w:p>
        </w:tc>
        <w:tc>
          <w:tcPr>
            <w:tcW w:w="1240"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050" w:type="dxa"/>
            <w:gridSpan w:val="2"/>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390" w:type="dxa"/>
            <w:vMerge w:val="restart"/>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Átértékelés</w:t>
            </w:r>
          </w:p>
        </w:tc>
        <w:tc>
          <w:tcPr>
            <w:tcW w:w="126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Egyéb változások</w:t>
            </w:r>
          </w:p>
        </w:tc>
        <w:tc>
          <w:tcPr>
            <w:tcW w:w="162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42568A" w:rsidRPr="003B7DA2" w:rsidTr="00D45209">
        <w:tc>
          <w:tcPr>
            <w:tcW w:w="913" w:type="dxa"/>
            <w:vMerge/>
          </w:tcPr>
          <w:p w:rsidR="0042568A" w:rsidRPr="003B7DA2" w:rsidRDefault="0042568A" w:rsidP="0042568A">
            <w:pPr>
              <w:pStyle w:val="BodyText"/>
              <w:rPr>
                <w:rFonts w:ascii="Calibri" w:hAnsi="Calibri"/>
                <w:b/>
                <w:bCs/>
                <w:sz w:val="22"/>
                <w:szCs w:val="22"/>
                <w:u w:val="single"/>
              </w:rPr>
            </w:pPr>
          </w:p>
        </w:tc>
        <w:tc>
          <w:tcPr>
            <w:tcW w:w="815" w:type="dxa"/>
            <w:vMerge/>
          </w:tcPr>
          <w:p w:rsidR="0042568A" w:rsidRPr="003B7DA2" w:rsidRDefault="0042568A" w:rsidP="0042568A">
            <w:pPr>
              <w:pStyle w:val="BodyText"/>
              <w:rPr>
                <w:rFonts w:ascii="Calibri" w:hAnsi="Calibri"/>
                <w:b/>
                <w:bCs/>
                <w:sz w:val="22"/>
                <w:szCs w:val="22"/>
                <w:u w:val="single"/>
              </w:rPr>
            </w:pPr>
          </w:p>
        </w:tc>
        <w:tc>
          <w:tcPr>
            <w:tcW w:w="1240" w:type="dxa"/>
            <w:vMerge/>
          </w:tcPr>
          <w:p w:rsidR="0042568A" w:rsidRPr="003B7DA2" w:rsidRDefault="0042568A" w:rsidP="0042568A">
            <w:pPr>
              <w:pStyle w:val="BodyText"/>
              <w:rPr>
                <w:rFonts w:ascii="Calibri" w:hAnsi="Calibri"/>
                <w:b/>
                <w:bCs/>
                <w:sz w:val="22"/>
                <w:szCs w:val="22"/>
                <w:u w:val="single"/>
              </w:rPr>
            </w:pPr>
          </w:p>
        </w:tc>
        <w:tc>
          <w:tcPr>
            <w:tcW w:w="1025" w:type="dxa"/>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Állományt növelő</w:t>
            </w:r>
          </w:p>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(Kiadás)</w:t>
            </w:r>
          </w:p>
        </w:tc>
        <w:tc>
          <w:tcPr>
            <w:tcW w:w="1025" w:type="dxa"/>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Állományt csökkentő</w:t>
            </w:r>
          </w:p>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(Bevétel)</w:t>
            </w:r>
          </w:p>
        </w:tc>
        <w:tc>
          <w:tcPr>
            <w:tcW w:w="1390" w:type="dxa"/>
            <w:vMerge/>
          </w:tcPr>
          <w:p w:rsidR="0042568A" w:rsidRPr="003B7DA2" w:rsidRDefault="0042568A" w:rsidP="0042568A">
            <w:pPr>
              <w:pStyle w:val="BodyText"/>
              <w:rPr>
                <w:rFonts w:ascii="Calibri" w:hAnsi="Calibri" w:cs="Arial"/>
                <w:sz w:val="22"/>
                <w:szCs w:val="22"/>
              </w:rPr>
            </w:pPr>
          </w:p>
        </w:tc>
        <w:tc>
          <w:tcPr>
            <w:tcW w:w="1260" w:type="dxa"/>
            <w:vMerge/>
          </w:tcPr>
          <w:p w:rsidR="0042568A" w:rsidRPr="003B7DA2" w:rsidRDefault="0042568A" w:rsidP="0042568A">
            <w:pPr>
              <w:pStyle w:val="BodyText"/>
              <w:rPr>
                <w:rFonts w:ascii="Calibri" w:hAnsi="Calibri" w:cs="Arial"/>
                <w:sz w:val="22"/>
                <w:szCs w:val="22"/>
              </w:rPr>
            </w:pPr>
          </w:p>
        </w:tc>
        <w:tc>
          <w:tcPr>
            <w:tcW w:w="1620" w:type="dxa"/>
            <w:vMerge/>
          </w:tcPr>
          <w:p w:rsidR="0042568A" w:rsidRPr="003B7DA2" w:rsidRDefault="0042568A" w:rsidP="0042568A">
            <w:pPr>
              <w:pStyle w:val="BodyText"/>
              <w:rPr>
                <w:rFonts w:ascii="Calibri" w:hAnsi="Calibri" w:cs="Arial"/>
                <w:sz w:val="22"/>
                <w:szCs w:val="22"/>
              </w:rPr>
            </w:pPr>
          </w:p>
        </w:tc>
      </w:tr>
      <w:tr w:rsidR="0042568A" w:rsidRPr="003B7DA2" w:rsidTr="00D45209">
        <w:tc>
          <w:tcPr>
            <w:tcW w:w="913"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SW</w:t>
            </w:r>
          </w:p>
        </w:tc>
        <w:tc>
          <w:tcPr>
            <w:tcW w:w="815" w:type="dxa"/>
          </w:tcPr>
          <w:p w:rsidR="0042568A" w:rsidRPr="003B7DA2" w:rsidRDefault="0042568A" w:rsidP="0042568A">
            <w:pPr>
              <w:pStyle w:val="BodyText"/>
              <w:rPr>
                <w:rFonts w:ascii="Calibri" w:hAnsi="Calibri"/>
                <w:bCs/>
                <w:sz w:val="22"/>
                <w:szCs w:val="22"/>
              </w:rPr>
            </w:pPr>
            <w:r w:rsidRPr="003B7DA2">
              <w:rPr>
                <w:rFonts w:ascii="Calibri" w:hAnsi="Calibri" w:cs="Arial"/>
                <w:sz w:val="22"/>
                <w:szCs w:val="22"/>
              </w:rPr>
              <w:t>DE</w:t>
            </w:r>
          </w:p>
        </w:tc>
        <w:tc>
          <w:tcPr>
            <w:tcW w:w="124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10 000 000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0</w:t>
            </w:r>
          </w:p>
        </w:tc>
        <w:tc>
          <w:tcPr>
            <w:tcW w:w="1390" w:type="dxa"/>
          </w:tcPr>
          <w:p w:rsidR="0042568A" w:rsidRPr="003B7DA2" w:rsidRDefault="0042568A" w:rsidP="0042568A">
            <w:pPr>
              <w:pStyle w:val="BodyText"/>
              <w:rPr>
                <w:rFonts w:ascii="Calibri" w:hAnsi="Calibri" w:cs="Arial"/>
                <w:sz w:val="22"/>
                <w:szCs w:val="22"/>
              </w:rPr>
            </w:pPr>
            <w:r w:rsidRPr="003B7DA2">
              <w:rPr>
                <w:rFonts w:ascii="Calibri" w:hAnsi="Calibri"/>
                <w:bCs/>
                <w:sz w:val="22"/>
                <w:szCs w:val="22"/>
              </w:rPr>
              <w:t>-10 000 000</w:t>
            </w:r>
          </w:p>
        </w:tc>
        <w:tc>
          <w:tcPr>
            <w:tcW w:w="126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c>
          <w:tcPr>
            <w:tcW w:w="162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r>
    </w:tbl>
    <w:p w:rsidR="0042568A" w:rsidRPr="003B7DA2" w:rsidRDefault="0042568A" w:rsidP="0042568A">
      <w:pPr>
        <w:pStyle w:val="BodyText"/>
        <w:rPr>
          <w:rFonts w:ascii="Calibri" w:hAnsi="Calibri"/>
          <w:bCs/>
          <w:sz w:val="22"/>
          <w:szCs w:val="22"/>
        </w:rPr>
      </w:pPr>
    </w:p>
    <w:p w:rsidR="0042568A" w:rsidRPr="003B7DA2" w:rsidRDefault="0042568A" w:rsidP="0042568A">
      <w:pPr>
        <w:pStyle w:val="BodyText"/>
        <w:rPr>
          <w:rFonts w:ascii="Calibri" w:hAnsi="Calibri"/>
          <w:b/>
          <w:bCs/>
          <w:sz w:val="22"/>
          <w:szCs w:val="22"/>
          <w:u w:val="single"/>
        </w:rPr>
      </w:pPr>
      <w:r w:rsidRPr="003B7DA2">
        <w:rPr>
          <w:rFonts w:ascii="Calibri" w:hAnsi="Calibri"/>
          <w:b/>
          <w:bCs/>
          <w:sz w:val="22"/>
          <w:szCs w:val="22"/>
          <w:u w:val="single"/>
        </w:rPr>
        <w:t>DERT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815"/>
        <w:gridCol w:w="1240"/>
        <w:gridCol w:w="1025"/>
        <w:gridCol w:w="1025"/>
        <w:gridCol w:w="1210"/>
        <w:gridCol w:w="1080"/>
        <w:gridCol w:w="1620"/>
      </w:tblGrid>
      <w:tr w:rsidR="0042568A" w:rsidRPr="003B7DA2" w:rsidTr="00D45209">
        <w:tc>
          <w:tcPr>
            <w:tcW w:w="913"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Az ügylet típusa</w:t>
            </w:r>
          </w:p>
        </w:tc>
        <w:tc>
          <w:tcPr>
            <w:tcW w:w="815"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 partner ISO ország kódja</w:t>
            </w:r>
          </w:p>
        </w:tc>
        <w:tc>
          <w:tcPr>
            <w:tcW w:w="1240"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050" w:type="dxa"/>
            <w:gridSpan w:val="2"/>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210" w:type="dxa"/>
            <w:vMerge w:val="restart"/>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Átértékelés</w:t>
            </w:r>
          </w:p>
        </w:tc>
        <w:tc>
          <w:tcPr>
            <w:tcW w:w="108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Egyéb változások</w:t>
            </w:r>
          </w:p>
        </w:tc>
        <w:tc>
          <w:tcPr>
            <w:tcW w:w="162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42568A" w:rsidRPr="003B7DA2" w:rsidTr="00D45209">
        <w:tc>
          <w:tcPr>
            <w:tcW w:w="913" w:type="dxa"/>
            <w:vMerge/>
          </w:tcPr>
          <w:p w:rsidR="0042568A" w:rsidRPr="003B7DA2" w:rsidRDefault="0042568A" w:rsidP="0042568A">
            <w:pPr>
              <w:pStyle w:val="BodyText"/>
              <w:rPr>
                <w:rFonts w:ascii="Calibri" w:hAnsi="Calibri"/>
                <w:b/>
                <w:bCs/>
                <w:sz w:val="22"/>
                <w:szCs w:val="22"/>
                <w:u w:val="single"/>
              </w:rPr>
            </w:pPr>
          </w:p>
        </w:tc>
        <w:tc>
          <w:tcPr>
            <w:tcW w:w="815" w:type="dxa"/>
            <w:vMerge/>
          </w:tcPr>
          <w:p w:rsidR="0042568A" w:rsidRPr="003B7DA2" w:rsidRDefault="0042568A" w:rsidP="0042568A">
            <w:pPr>
              <w:pStyle w:val="BodyText"/>
              <w:rPr>
                <w:rFonts w:ascii="Calibri" w:hAnsi="Calibri"/>
                <w:b/>
                <w:bCs/>
                <w:sz w:val="22"/>
                <w:szCs w:val="22"/>
                <w:u w:val="single"/>
              </w:rPr>
            </w:pPr>
          </w:p>
        </w:tc>
        <w:tc>
          <w:tcPr>
            <w:tcW w:w="1240" w:type="dxa"/>
            <w:vMerge/>
          </w:tcPr>
          <w:p w:rsidR="0042568A" w:rsidRPr="003B7DA2" w:rsidRDefault="0042568A" w:rsidP="0042568A">
            <w:pPr>
              <w:pStyle w:val="BodyText"/>
              <w:rPr>
                <w:rFonts w:ascii="Calibri" w:hAnsi="Calibri"/>
                <w:b/>
                <w:bCs/>
                <w:sz w:val="22"/>
                <w:szCs w:val="22"/>
                <w:u w:val="single"/>
              </w:rPr>
            </w:pP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Állományt növelő (Bevétel)</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Állományt csökkentő (Kiadás)</w:t>
            </w:r>
          </w:p>
        </w:tc>
        <w:tc>
          <w:tcPr>
            <w:tcW w:w="1210" w:type="dxa"/>
            <w:vMerge/>
          </w:tcPr>
          <w:p w:rsidR="0042568A" w:rsidRPr="003B7DA2" w:rsidRDefault="0042568A" w:rsidP="0042568A">
            <w:pPr>
              <w:pStyle w:val="BodyText"/>
              <w:rPr>
                <w:rFonts w:ascii="Calibri" w:hAnsi="Calibri" w:cs="Arial"/>
                <w:sz w:val="22"/>
                <w:szCs w:val="22"/>
              </w:rPr>
            </w:pPr>
          </w:p>
        </w:tc>
        <w:tc>
          <w:tcPr>
            <w:tcW w:w="1080" w:type="dxa"/>
            <w:vMerge/>
          </w:tcPr>
          <w:p w:rsidR="0042568A" w:rsidRPr="003B7DA2" w:rsidRDefault="0042568A" w:rsidP="0042568A">
            <w:pPr>
              <w:pStyle w:val="BodyText"/>
              <w:rPr>
                <w:rFonts w:ascii="Calibri" w:hAnsi="Calibri" w:cs="Arial"/>
                <w:sz w:val="22"/>
                <w:szCs w:val="22"/>
              </w:rPr>
            </w:pPr>
          </w:p>
        </w:tc>
        <w:tc>
          <w:tcPr>
            <w:tcW w:w="1620" w:type="dxa"/>
            <w:vMerge/>
          </w:tcPr>
          <w:p w:rsidR="0042568A" w:rsidRPr="003B7DA2" w:rsidRDefault="0042568A" w:rsidP="0042568A">
            <w:pPr>
              <w:pStyle w:val="BodyText"/>
              <w:rPr>
                <w:rFonts w:ascii="Calibri" w:hAnsi="Calibri" w:cs="Arial"/>
                <w:sz w:val="22"/>
                <w:szCs w:val="22"/>
              </w:rPr>
            </w:pPr>
          </w:p>
        </w:tc>
      </w:tr>
      <w:tr w:rsidR="0042568A" w:rsidRPr="003B7DA2" w:rsidTr="00D45209">
        <w:tc>
          <w:tcPr>
            <w:tcW w:w="913"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SW</w:t>
            </w:r>
          </w:p>
        </w:tc>
        <w:tc>
          <w:tcPr>
            <w:tcW w:w="815" w:type="dxa"/>
          </w:tcPr>
          <w:p w:rsidR="0042568A" w:rsidRPr="003B7DA2" w:rsidRDefault="0042568A" w:rsidP="0042568A">
            <w:pPr>
              <w:pStyle w:val="BodyText"/>
              <w:rPr>
                <w:rFonts w:ascii="Calibri" w:hAnsi="Calibri"/>
                <w:bCs/>
                <w:sz w:val="22"/>
                <w:szCs w:val="22"/>
              </w:rPr>
            </w:pPr>
            <w:r w:rsidRPr="003B7DA2">
              <w:rPr>
                <w:rFonts w:ascii="Calibri" w:hAnsi="Calibri" w:cs="Arial"/>
                <w:sz w:val="22"/>
                <w:szCs w:val="22"/>
              </w:rPr>
              <w:t>DE</w:t>
            </w:r>
          </w:p>
        </w:tc>
        <w:tc>
          <w:tcPr>
            <w:tcW w:w="124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0</w:t>
            </w:r>
          </w:p>
        </w:tc>
        <w:tc>
          <w:tcPr>
            <w:tcW w:w="1210" w:type="dxa"/>
          </w:tcPr>
          <w:p w:rsidR="0042568A" w:rsidRPr="003B7DA2" w:rsidRDefault="0042568A" w:rsidP="0042568A">
            <w:pPr>
              <w:pStyle w:val="BodyText"/>
              <w:rPr>
                <w:rFonts w:ascii="Calibri" w:hAnsi="Calibri"/>
                <w:b/>
                <w:bCs/>
                <w:sz w:val="22"/>
                <w:szCs w:val="22"/>
                <w:u w:val="single"/>
              </w:rPr>
            </w:pPr>
            <w:r w:rsidRPr="003B7DA2">
              <w:rPr>
                <w:rFonts w:ascii="Calibri" w:hAnsi="Calibri"/>
                <w:bCs/>
                <w:sz w:val="22"/>
                <w:szCs w:val="22"/>
              </w:rPr>
              <w:t>10 000 000</w:t>
            </w:r>
          </w:p>
        </w:tc>
        <w:tc>
          <w:tcPr>
            <w:tcW w:w="108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c>
          <w:tcPr>
            <w:tcW w:w="162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10 000 000</w:t>
            </w:r>
          </w:p>
        </w:tc>
      </w:tr>
    </w:tbl>
    <w:p w:rsidR="0042568A" w:rsidRPr="003B7DA2" w:rsidRDefault="0042568A" w:rsidP="0042568A">
      <w:pPr>
        <w:pStyle w:val="BodyText"/>
        <w:rPr>
          <w:rFonts w:ascii="Calibri" w:hAnsi="Calibri"/>
          <w:bCs/>
          <w:sz w:val="22"/>
          <w:szCs w:val="22"/>
        </w:rPr>
      </w:pPr>
      <w:r w:rsidRPr="003B7DA2">
        <w:rPr>
          <w:rFonts w:ascii="Calibri" w:hAnsi="Calibri"/>
          <w:bCs/>
          <w:sz w:val="22"/>
          <w:szCs w:val="22"/>
        </w:rPr>
        <w:t>Június végén az ügylet 20 millió Ft pozitív piaci értéket mutat, átvezetésre kerül a DERT táblából a DERK táblába:</w:t>
      </w:r>
    </w:p>
    <w:p w:rsidR="0042568A" w:rsidRPr="003B7DA2" w:rsidRDefault="0042568A" w:rsidP="0042568A">
      <w:pPr>
        <w:pStyle w:val="BodyText"/>
        <w:rPr>
          <w:rFonts w:ascii="Calibri" w:hAnsi="Calibri"/>
          <w:bCs/>
          <w:sz w:val="22"/>
          <w:szCs w:val="22"/>
        </w:rPr>
      </w:pPr>
    </w:p>
    <w:p w:rsidR="0042568A" w:rsidRPr="003B7DA2" w:rsidRDefault="0042568A" w:rsidP="0042568A">
      <w:pPr>
        <w:pStyle w:val="BodyText"/>
        <w:rPr>
          <w:rFonts w:ascii="Calibri" w:hAnsi="Calibri"/>
          <w:bCs/>
          <w:sz w:val="22"/>
          <w:szCs w:val="22"/>
        </w:rPr>
      </w:pPr>
    </w:p>
    <w:p w:rsidR="0042568A" w:rsidRPr="003B7DA2" w:rsidRDefault="0042568A" w:rsidP="0042568A">
      <w:pPr>
        <w:pStyle w:val="BodyText"/>
        <w:rPr>
          <w:rFonts w:ascii="Calibri" w:hAnsi="Calibri"/>
          <w:b/>
          <w:bCs/>
          <w:sz w:val="22"/>
          <w:szCs w:val="22"/>
          <w:u w:val="single"/>
        </w:rPr>
      </w:pPr>
      <w:r w:rsidRPr="003B7DA2">
        <w:rPr>
          <w:rFonts w:ascii="Calibri" w:hAnsi="Calibri"/>
          <w:b/>
          <w:bCs/>
          <w:sz w:val="22"/>
          <w:szCs w:val="22"/>
          <w:u w:val="single"/>
        </w:rPr>
        <w:t>DERK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815"/>
        <w:gridCol w:w="1240"/>
        <w:gridCol w:w="1025"/>
        <w:gridCol w:w="1025"/>
        <w:gridCol w:w="1390"/>
        <w:gridCol w:w="1260"/>
        <w:gridCol w:w="1620"/>
      </w:tblGrid>
      <w:tr w:rsidR="0042568A" w:rsidRPr="003B7DA2" w:rsidTr="00D45209">
        <w:tc>
          <w:tcPr>
            <w:tcW w:w="913"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Az ügylet típusa</w:t>
            </w:r>
          </w:p>
        </w:tc>
        <w:tc>
          <w:tcPr>
            <w:tcW w:w="815"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 partner ISO ország kódja</w:t>
            </w:r>
          </w:p>
        </w:tc>
        <w:tc>
          <w:tcPr>
            <w:tcW w:w="1240"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050" w:type="dxa"/>
            <w:gridSpan w:val="2"/>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390" w:type="dxa"/>
            <w:vMerge w:val="restart"/>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Átértékelés</w:t>
            </w:r>
          </w:p>
        </w:tc>
        <w:tc>
          <w:tcPr>
            <w:tcW w:w="126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Egyéb változások</w:t>
            </w:r>
          </w:p>
        </w:tc>
        <w:tc>
          <w:tcPr>
            <w:tcW w:w="162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42568A" w:rsidRPr="003B7DA2" w:rsidTr="00D45209">
        <w:tc>
          <w:tcPr>
            <w:tcW w:w="913" w:type="dxa"/>
            <w:vMerge/>
          </w:tcPr>
          <w:p w:rsidR="0042568A" w:rsidRPr="003B7DA2" w:rsidRDefault="0042568A" w:rsidP="0042568A">
            <w:pPr>
              <w:pStyle w:val="BodyText"/>
              <w:rPr>
                <w:rFonts w:ascii="Calibri" w:hAnsi="Calibri"/>
                <w:b/>
                <w:bCs/>
                <w:sz w:val="22"/>
                <w:szCs w:val="22"/>
                <w:u w:val="single"/>
              </w:rPr>
            </w:pPr>
          </w:p>
        </w:tc>
        <w:tc>
          <w:tcPr>
            <w:tcW w:w="815" w:type="dxa"/>
            <w:vMerge/>
          </w:tcPr>
          <w:p w:rsidR="0042568A" w:rsidRPr="003B7DA2" w:rsidRDefault="0042568A" w:rsidP="0042568A">
            <w:pPr>
              <w:pStyle w:val="BodyText"/>
              <w:rPr>
                <w:rFonts w:ascii="Calibri" w:hAnsi="Calibri"/>
                <w:b/>
                <w:bCs/>
                <w:sz w:val="22"/>
                <w:szCs w:val="22"/>
                <w:u w:val="single"/>
              </w:rPr>
            </w:pPr>
          </w:p>
        </w:tc>
        <w:tc>
          <w:tcPr>
            <w:tcW w:w="1240" w:type="dxa"/>
            <w:vMerge/>
          </w:tcPr>
          <w:p w:rsidR="0042568A" w:rsidRPr="003B7DA2" w:rsidRDefault="0042568A" w:rsidP="0042568A">
            <w:pPr>
              <w:pStyle w:val="BodyText"/>
              <w:rPr>
                <w:rFonts w:ascii="Calibri" w:hAnsi="Calibri"/>
                <w:b/>
                <w:bCs/>
                <w:sz w:val="22"/>
                <w:szCs w:val="22"/>
                <w:u w:val="single"/>
              </w:rPr>
            </w:pPr>
          </w:p>
        </w:tc>
        <w:tc>
          <w:tcPr>
            <w:tcW w:w="1025" w:type="dxa"/>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Állományt növelő</w:t>
            </w:r>
          </w:p>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(Kiadás)</w:t>
            </w:r>
          </w:p>
        </w:tc>
        <w:tc>
          <w:tcPr>
            <w:tcW w:w="1025" w:type="dxa"/>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Állományt csökkentő</w:t>
            </w:r>
          </w:p>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(Bevétel)</w:t>
            </w:r>
          </w:p>
        </w:tc>
        <w:tc>
          <w:tcPr>
            <w:tcW w:w="1390" w:type="dxa"/>
            <w:vMerge/>
          </w:tcPr>
          <w:p w:rsidR="0042568A" w:rsidRPr="003B7DA2" w:rsidRDefault="0042568A" w:rsidP="0042568A">
            <w:pPr>
              <w:pStyle w:val="BodyText"/>
              <w:rPr>
                <w:rFonts w:ascii="Calibri" w:hAnsi="Calibri" w:cs="Arial"/>
                <w:sz w:val="22"/>
                <w:szCs w:val="22"/>
              </w:rPr>
            </w:pPr>
          </w:p>
        </w:tc>
        <w:tc>
          <w:tcPr>
            <w:tcW w:w="1260" w:type="dxa"/>
            <w:vMerge/>
          </w:tcPr>
          <w:p w:rsidR="0042568A" w:rsidRPr="003B7DA2" w:rsidRDefault="0042568A" w:rsidP="0042568A">
            <w:pPr>
              <w:pStyle w:val="BodyText"/>
              <w:rPr>
                <w:rFonts w:ascii="Calibri" w:hAnsi="Calibri" w:cs="Arial"/>
                <w:sz w:val="22"/>
                <w:szCs w:val="22"/>
              </w:rPr>
            </w:pPr>
          </w:p>
        </w:tc>
        <w:tc>
          <w:tcPr>
            <w:tcW w:w="1620" w:type="dxa"/>
            <w:vMerge/>
          </w:tcPr>
          <w:p w:rsidR="0042568A" w:rsidRPr="003B7DA2" w:rsidRDefault="0042568A" w:rsidP="0042568A">
            <w:pPr>
              <w:pStyle w:val="BodyText"/>
              <w:rPr>
                <w:rFonts w:ascii="Calibri" w:hAnsi="Calibri" w:cs="Arial"/>
                <w:sz w:val="22"/>
                <w:szCs w:val="22"/>
              </w:rPr>
            </w:pPr>
          </w:p>
        </w:tc>
      </w:tr>
      <w:tr w:rsidR="0042568A" w:rsidRPr="003B7DA2" w:rsidTr="00D45209">
        <w:tc>
          <w:tcPr>
            <w:tcW w:w="913"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SW</w:t>
            </w:r>
          </w:p>
        </w:tc>
        <w:tc>
          <w:tcPr>
            <w:tcW w:w="815" w:type="dxa"/>
          </w:tcPr>
          <w:p w:rsidR="0042568A" w:rsidRPr="003B7DA2" w:rsidRDefault="0042568A" w:rsidP="0042568A">
            <w:pPr>
              <w:pStyle w:val="BodyText"/>
              <w:rPr>
                <w:rFonts w:ascii="Calibri" w:hAnsi="Calibri"/>
                <w:bCs/>
                <w:sz w:val="22"/>
                <w:szCs w:val="22"/>
              </w:rPr>
            </w:pPr>
            <w:r w:rsidRPr="003B7DA2">
              <w:rPr>
                <w:rFonts w:ascii="Calibri" w:hAnsi="Calibri" w:cs="Arial"/>
                <w:sz w:val="22"/>
                <w:szCs w:val="22"/>
              </w:rPr>
              <w:t>DE</w:t>
            </w:r>
          </w:p>
        </w:tc>
        <w:tc>
          <w:tcPr>
            <w:tcW w:w="124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0</w:t>
            </w:r>
          </w:p>
        </w:tc>
        <w:tc>
          <w:tcPr>
            <w:tcW w:w="1390" w:type="dxa"/>
          </w:tcPr>
          <w:p w:rsidR="0042568A" w:rsidRPr="003B7DA2" w:rsidRDefault="0042568A" w:rsidP="0042568A">
            <w:pPr>
              <w:pStyle w:val="BodyText"/>
              <w:rPr>
                <w:rFonts w:ascii="Calibri" w:hAnsi="Calibri" w:cs="Arial"/>
                <w:sz w:val="22"/>
                <w:szCs w:val="22"/>
              </w:rPr>
            </w:pPr>
            <w:r w:rsidRPr="003B7DA2">
              <w:rPr>
                <w:rFonts w:ascii="Calibri" w:hAnsi="Calibri"/>
                <w:bCs/>
                <w:sz w:val="22"/>
                <w:szCs w:val="22"/>
              </w:rPr>
              <w:t>20 000 000</w:t>
            </w:r>
          </w:p>
        </w:tc>
        <w:tc>
          <w:tcPr>
            <w:tcW w:w="126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c>
          <w:tcPr>
            <w:tcW w:w="162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20 000 000</w:t>
            </w:r>
          </w:p>
        </w:tc>
      </w:tr>
    </w:tbl>
    <w:p w:rsidR="0042568A" w:rsidRPr="003B7DA2" w:rsidRDefault="0042568A" w:rsidP="0042568A">
      <w:pPr>
        <w:pStyle w:val="BodyText"/>
        <w:rPr>
          <w:rFonts w:ascii="Calibri" w:hAnsi="Calibri"/>
          <w:bCs/>
          <w:sz w:val="22"/>
          <w:szCs w:val="22"/>
        </w:rPr>
      </w:pPr>
    </w:p>
    <w:p w:rsidR="0042568A" w:rsidRPr="003B7DA2" w:rsidRDefault="0042568A" w:rsidP="0042568A">
      <w:pPr>
        <w:pStyle w:val="BodyText"/>
        <w:rPr>
          <w:rFonts w:ascii="Calibri" w:hAnsi="Calibri"/>
          <w:b/>
          <w:bCs/>
          <w:sz w:val="22"/>
          <w:szCs w:val="22"/>
          <w:u w:val="single"/>
        </w:rPr>
      </w:pPr>
      <w:r w:rsidRPr="003B7DA2">
        <w:rPr>
          <w:rFonts w:ascii="Calibri" w:hAnsi="Calibri"/>
          <w:b/>
          <w:bCs/>
          <w:sz w:val="22"/>
          <w:szCs w:val="22"/>
          <w:u w:val="single"/>
        </w:rPr>
        <w:t>DERT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815"/>
        <w:gridCol w:w="1240"/>
        <w:gridCol w:w="1025"/>
        <w:gridCol w:w="1025"/>
        <w:gridCol w:w="1210"/>
        <w:gridCol w:w="1080"/>
        <w:gridCol w:w="1620"/>
      </w:tblGrid>
      <w:tr w:rsidR="0042568A" w:rsidRPr="003B7DA2" w:rsidTr="00D45209">
        <w:tc>
          <w:tcPr>
            <w:tcW w:w="913"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Az ügylet típusa</w:t>
            </w:r>
          </w:p>
        </w:tc>
        <w:tc>
          <w:tcPr>
            <w:tcW w:w="815"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 partner ISO ország kódja</w:t>
            </w:r>
          </w:p>
        </w:tc>
        <w:tc>
          <w:tcPr>
            <w:tcW w:w="1240"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050" w:type="dxa"/>
            <w:gridSpan w:val="2"/>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210" w:type="dxa"/>
            <w:vMerge w:val="restart"/>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Átértékelés</w:t>
            </w:r>
          </w:p>
        </w:tc>
        <w:tc>
          <w:tcPr>
            <w:tcW w:w="108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Egyéb változások</w:t>
            </w:r>
          </w:p>
        </w:tc>
        <w:tc>
          <w:tcPr>
            <w:tcW w:w="162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42568A" w:rsidRPr="003B7DA2" w:rsidTr="00D45209">
        <w:tc>
          <w:tcPr>
            <w:tcW w:w="913" w:type="dxa"/>
            <w:vMerge/>
          </w:tcPr>
          <w:p w:rsidR="0042568A" w:rsidRPr="003B7DA2" w:rsidRDefault="0042568A" w:rsidP="0042568A">
            <w:pPr>
              <w:pStyle w:val="BodyText"/>
              <w:rPr>
                <w:rFonts w:ascii="Calibri" w:hAnsi="Calibri"/>
                <w:b/>
                <w:bCs/>
                <w:sz w:val="22"/>
                <w:szCs w:val="22"/>
                <w:u w:val="single"/>
              </w:rPr>
            </w:pPr>
          </w:p>
        </w:tc>
        <w:tc>
          <w:tcPr>
            <w:tcW w:w="815" w:type="dxa"/>
            <w:vMerge/>
          </w:tcPr>
          <w:p w:rsidR="0042568A" w:rsidRPr="003B7DA2" w:rsidRDefault="0042568A" w:rsidP="0042568A">
            <w:pPr>
              <w:pStyle w:val="BodyText"/>
              <w:rPr>
                <w:rFonts w:ascii="Calibri" w:hAnsi="Calibri"/>
                <w:b/>
                <w:bCs/>
                <w:sz w:val="22"/>
                <w:szCs w:val="22"/>
                <w:u w:val="single"/>
              </w:rPr>
            </w:pPr>
          </w:p>
        </w:tc>
        <w:tc>
          <w:tcPr>
            <w:tcW w:w="1240" w:type="dxa"/>
            <w:vMerge/>
          </w:tcPr>
          <w:p w:rsidR="0042568A" w:rsidRPr="003B7DA2" w:rsidRDefault="0042568A" w:rsidP="0042568A">
            <w:pPr>
              <w:pStyle w:val="BodyText"/>
              <w:rPr>
                <w:rFonts w:ascii="Calibri" w:hAnsi="Calibri"/>
                <w:b/>
                <w:bCs/>
                <w:sz w:val="22"/>
                <w:szCs w:val="22"/>
                <w:u w:val="single"/>
              </w:rPr>
            </w:pP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Állományt növelő (Bevétel)</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Állományt csökkentő (Kiadás)</w:t>
            </w:r>
          </w:p>
        </w:tc>
        <w:tc>
          <w:tcPr>
            <w:tcW w:w="1210" w:type="dxa"/>
            <w:vMerge/>
          </w:tcPr>
          <w:p w:rsidR="0042568A" w:rsidRPr="003B7DA2" w:rsidRDefault="0042568A" w:rsidP="0042568A">
            <w:pPr>
              <w:pStyle w:val="BodyText"/>
              <w:rPr>
                <w:rFonts w:ascii="Calibri" w:hAnsi="Calibri" w:cs="Arial"/>
                <w:sz w:val="22"/>
                <w:szCs w:val="22"/>
              </w:rPr>
            </w:pPr>
          </w:p>
        </w:tc>
        <w:tc>
          <w:tcPr>
            <w:tcW w:w="1080" w:type="dxa"/>
            <w:vMerge/>
          </w:tcPr>
          <w:p w:rsidR="0042568A" w:rsidRPr="003B7DA2" w:rsidRDefault="0042568A" w:rsidP="0042568A">
            <w:pPr>
              <w:pStyle w:val="BodyText"/>
              <w:rPr>
                <w:rFonts w:ascii="Calibri" w:hAnsi="Calibri" w:cs="Arial"/>
                <w:sz w:val="22"/>
                <w:szCs w:val="22"/>
              </w:rPr>
            </w:pPr>
          </w:p>
        </w:tc>
        <w:tc>
          <w:tcPr>
            <w:tcW w:w="1620" w:type="dxa"/>
            <w:vMerge/>
          </w:tcPr>
          <w:p w:rsidR="0042568A" w:rsidRPr="003B7DA2" w:rsidRDefault="0042568A" w:rsidP="0042568A">
            <w:pPr>
              <w:pStyle w:val="BodyText"/>
              <w:rPr>
                <w:rFonts w:ascii="Calibri" w:hAnsi="Calibri" w:cs="Arial"/>
                <w:sz w:val="22"/>
                <w:szCs w:val="22"/>
              </w:rPr>
            </w:pPr>
          </w:p>
        </w:tc>
      </w:tr>
      <w:tr w:rsidR="0042568A" w:rsidRPr="003B7DA2" w:rsidTr="00D45209">
        <w:tc>
          <w:tcPr>
            <w:tcW w:w="913"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SW</w:t>
            </w:r>
          </w:p>
        </w:tc>
        <w:tc>
          <w:tcPr>
            <w:tcW w:w="815" w:type="dxa"/>
          </w:tcPr>
          <w:p w:rsidR="0042568A" w:rsidRPr="003B7DA2" w:rsidRDefault="0042568A" w:rsidP="0042568A">
            <w:pPr>
              <w:pStyle w:val="BodyText"/>
              <w:rPr>
                <w:rFonts w:ascii="Calibri" w:hAnsi="Calibri"/>
                <w:bCs/>
                <w:sz w:val="22"/>
                <w:szCs w:val="22"/>
              </w:rPr>
            </w:pPr>
            <w:r w:rsidRPr="003B7DA2">
              <w:rPr>
                <w:rFonts w:ascii="Calibri" w:hAnsi="Calibri" w:cs="Arial"/>
                <w:sz w:val="22"/>
                <w:szCs w:val="22"/>
              </w:rPr>
              <w:t>DE</w:t>
            </w:r>
          </w:p>
        </w:tc>
        <w:tc>
          <w:tcPr>
            <w:tcW w:w="124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10 000 000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0</w:t>
            </w:r>
          </w:p>
        </w:tc>
        <w:tc>
          <w:tcPr>
            <w:tcW w:w="1210" w:type="dxa"/>
          </w:tcPr>
          <w:p w:rsidR="0042568A" w:rsidRPr="003B7DA2" w:rsidRDefault="0042568A" w:rsidP="0042568A">
            <w:pPr>
              <w:pStyle w:val="BodyText"/>
              <w:rPr>
                <w:rFonts w:ascii="Calibri" w:hAnsi="Calibri"/>
                <w:b/>
                <w:bCs/>
                <w:sz w:val="22"/>
                <w:szCs w:val="22"/>
                <w:u w:val="single"/>
              </w:rPr>
            </w:pPr>
            <w:r w:rsidRPr="003B7DA2">
              <w:rPr>
                <w:rFonts w:ascii="Calibri" w:hAnsi="Calibri"/>
                <w:bCs/>
                <w:sz w:val="22"/>
                <w:szCs w:val="22"/>
              </w:rPr>
              <w:t>-10 000 000</w:t>
            </w:r>
          </w:p>
        </w:tc>
        <w:tc>
          <w:tcPr>
            <w:tcW w:w="108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c>
          <w:tcPr>
            <w:tcW w:w="162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r>
    </w:tbl>
    <w:p w:rsidR="0042568A" w:rsidRPr="003B7DA2" w:rsidRDefault="0042568A" w:rsidP="0042568A">
      <w:pPr>
        <w:pStyle w:val="BodyText"/>
        <w:rPr>
          <w:rFonts w:ascii="Calibri" w:hAnsi="Calibri"/>
          <w:bCs/>
          <w:sz w:val="22"/>
          <w:szCs w:val="22"/>
        </w:rPr>
      </w:pPr>
    </w:p>
    <w:p w:rsidR="0042568A" w:rsidRPr="003B7DA2" w:rsidRDefault="0042568A" w:rsidP="0042568A">
      <w:pPr>
        <w:pStyle w:val="BodyText"/>
        <w:rPr>
          <w:rFonts w:ascii="Calibri" w:hAnsi="Calibri"/>
          <w:bCs/>
          <w:sz w:val="22"/>
          <w:szCs w:val="22"/>
        </w:rPr>
      </w:pPr>
      <w:r w:rsidRPr="003B7DA2">
        <w:rPr>
          <w:rFonts w:ascii="Calibri" w:hAnsi="Calibri"/>
          <w:bCs/>
          <w:sz w:val="22"/>
          <w:szCs w:val="22"/>
        </w:rPr>
        <w:lastRenderedPageBreak/>
        <w:t xml:space="preserve">Júliusban az adatszolgáltató teljesíti fix kamatfizetési kötelezettségét, </w:t>
      </w:r>
      <w:r w:rsidR="00A37F7F" w:rsidRPr="003B7DA2">
        <w:rPr>
          <w:rFonts w:ascii="Calibri" w:hAnsi="Calibri"/>
          <w:bCs/>
          <w:sz w:val="22"/>
          <w:szCs w:val="22"/>
        </w:rPr>
        <w:t>vagyis átutal</w:t>
      </w:r>
      <w:r w:rsidRPr="003B7DA2">
        <w:rPr>
          <w:rFonts w:ascii="Calibri" w:hAnsi="Calibri"/>
          <w:bCs/>
          <w:sz w:val="22"/>
          <w:szCs w:val="22"/>
        </w:rPr>
        <w:t xml:space="preserve"> 3 450 ezer forintnak megfelelő összeget</w:t>
      </w:r>
      <w:r w:rsidR="00A37F7F" w:rsidRPr="003B7DA2">
        <w:rPr>
          <w:rFonts w:ascii="Calibri" w:hAnsi="Calibri"/>
          <w:bCs/>
          <w:sz w:val="22"/>
          <w:szCs w:val="22"/>
        </w:rPr>
        <w:t>, ugyanakkor megkapja az ugyancsak júliusban esedékes, a három havi változó kamatláb alapján számított összesen 1.</w:t>
      </w:r>
      <w:r w:rsidR="00146264" w:rsidRPr="003B7DA2">
        <w:rPr>
          <w:rFonts w:ascii="Calibri" w:hAnsi="Calibri"/>
          <w:bCs/>
          <w:sz w:val="22"/>
          <w:szCs w:val="22"/>
        </w:rPr>
        <w:t>7</w:t>
      </w:r>
      <w:r w:rsidR="00A37F7F" w:rsidRPr="003B7DA2">
        <w:rPr>
          <w:rFonts w:ascii="Calibri" w:hAnsi="Calibri"/>
          <w:bCs/>
          <w:sz w:val="22"/>
          <w:szCs w:val="22"/>
        </w:rPr>
        <w:t>0</w:t>
      </w:r>
      <w:r w:rsidR="00146264" w:rsidRPr="003B7DA2">
        <w:rPr>
          <w:rFonts w:ascii="Calibri" w:hAnsi="Calibri"/>
          <w:bCs/>
          <w:sz w:val="22"/>
          <w:szCs w:val="22"/>
        </w:rPr>
        <w:t>2</w:t>
      </w:r>
      <w:r w:rsidR="00A37F7F" w:rsidRPr="003B7DA2">
        <w:rPr>
          <w:rFonts w:ascii="Calibri" w:hAnsi="Calibri"/>
          <w:bCs/>
          <w:sz w:val="22"/>
          <w:szCs w:val="22"/>
        </w:rPr>
        <w:t xml:space="preserve"> ezer Ft kamatot. E</w:t>
      </w:r>
      <w:r w:rsidRPr="003B7DA2">
        <w:rPr>
          <w:rFonts w:ascii="Calibri" w:hAnsi="Calibri"/>
          <w:bCs/>
          <w:sz w:val="22"/>
          <w:szCs w:val="22"/>
        </w:rPr>
        <w:t>zt a</w:t>
      </w:r>
      <w:r w:rsidR="00A37F7F" w:rsidRPr="003B7DA2">
        <w:rPr>
          <w:rFonts w:ascii="Calibri" w:hAnsi="Calibri"/>
          <w:bCs/>
          <w:sz w:val="22"/>
          <w:szCs w:val="22"/>
        </w:rPr>
        <w:t xml:space="preserve"> két</w:t>
      </w:r>
      <w:r w:rsidRPr="003B7DA2">
        <w:rPr>
          <w:rFonts w:ascii="Calibri" w:hAnsi="Calibri"/>
          <w:bCs/>
          <w:sz w:val="22"/>
          <w:szCs w:val="22"/>
        </w:rPr>
        <w:t xml:space="preserve"> tranzakciót, mivel az ügylet a nyitó állomány szerint a DERK táblában található, a DERK táblában követelést növelő kiadásként</w:t>
      </w:r>
      <w:r w:rsidR="00A37F7F" w:rsidRPr="003B7DA2">
        <w:rPr>
          <w:rFonts w:ascii="Calibri" w:hAnsi="Calibri"/>
          <w:bCs/>
          <w:sz w:val="22"/>
          <w:szCs w:val="22"/>
        </w:rPr>
        <w:t>, illetve követelést csökkentő bevételként</w:t>
      </w:r>
      <w:r w:rsidRPr="003B7DA2">
        <w:rPr>
          <w:rFonts w:ascii="Calibri" w:hAnsi="Calibri"/>
          <w:bCs/>
          <w:sz w:val="22"/>
          <w:szCs w:val="22"/>
        </w:rPr>
        <w:t xml:space="preserve"> kell jelenteni</w:t>
      </w:r>
      <w:r w:rsidR="00A37F7F" w:rsidRPr="003B7DA2">
        <w:rPr>
          <w:rFonts w:ascii="Calibri" w:hAnsi="Calibri"/>
          <w:bCs/>
          <w:sz w:val="22"/>
          <w:szCs w:val="22"/>
        </w:rPr>
        <w:t xml:space="preserve"> (nettó kiegyenlítés esetén követelést növelő kiadásként kellene 1.</w:t>
      </w:r>
      <w:r w:rsidR="00146264" w:rsidRPr="003B7DA2">
        <w:rPr>
          <w:rFonts w:ascii="Calibri" w:hAnsi="Calibri"/>
          <w:bCs/>
          <w:sz w:val="22"/>
          <w:szCs w:val="22"/>
        </w:rPr>
        <w:t>748</w:t>
      </w:r>
      <w:r w:rsidR="00A37F7F" w:rsidRPr="003B7DA2">
        <w:rPr>
          <w:rFonts w:ascii="Calibri" w:hAnsi="Calibri"/>
          <w:bCs/>
          <w:sz w:val="22"/>
          <w:szCs w:val="22"/>
        </w:rPr>
        <w:t xml:space="preserve"> ezer Ft összeget feltüntetni)</w:t>
      </w:r>
      <w:r w:rsidRPr="003B7DA2">
        <w:rPr>
          <w:rFonts w:ascii="Calibri" w:hAnsi="Calibri"/>
          <w:bCs/>
          <w:sz w:val="22"/>
          <w:szCs w:val="22"/>
        </w:rPr>
        <w:t xml:space="preserve">. A záró pozíció szintén pozitív piaci értékű, a különbözetet az átértékelés adja meg. A DERT tábla ebben a tárgyidőszakban nem érintett. </w:t>
      </w:r>
    </w:p>
    <w:p w:rsidR="0042568A" w:rsidRPr="003B7DA2" w:rsidRDefault="0042568A" w:rsidP="0042568A">
      <w:pPr>
        <w:pStyle w:val="BodyText"/>
        <w:rPr>
          <w:rFonts w:ascii="Calibri" w:hAnsi="Calibri"/>
          <w:bCs/>
          <w:sz w:val="22"/>
          <w:szCs w:val="22"/>
        </w:rPr>
      </w:pPr>
    </w:p>
    <w:p w:rsidR="0042568A" w:rsidRPr="003B7DA2" w:rsidRDefault="0042568A" w:rsidP="0042568A">
      <w:pPr>
        <w:pStyle w:val="BodyText"/>
        <w:rPr>
          <w:rFonts w:ascii="Calibri" w:hAnsi="Calibri"/>
          <w:b/>
          <w:bCs/>
          <w:sz w:val="22"/>
          <w:szCs w:val="22"/>
          <w:u w:val="single"/>
        </w:rPr>
      </w:pPr>
      <w:r w:rsidRPr="003B7DA2">
        <w:rPr>
          <w:rFonts w:ascii="Calibri" w:hAnsi="Calibri"/>
          <w:b/>
          <w:bCs/>
          <w:sz w:val="22"/>
          <w:szCs w:val="22"/>
          <w:u w:val="single"/>
        </w:rPr>
        <w:t>DERK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815"/>
        <w:gridCol w:w="1240"/>
        <w:gridCol w:w="1025"/>
        <w:gridCol w:w="1025"/>
        <w:gridCol w:w="1390"/>
        <w:gridCol w:w="1260"/>
        <w:gridCol w:w="1620"/>
      </w:tblGrid>
      <w:tr w:rsidR="0042568A" w:rsidRPr="003B7DA2" w:rsidTr="00D45209">
        <w:tc>
          <w:tcPr>
            <w:tcW w:w="913"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Az ügylet típusa</w:t>
            </w:r>
          </w:p>
        </w:tc>
        <w:tc>
          <w:tcPr>
            <w:tcW w:w="815"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A partner ISO ország kódja</w:t>
            </w:r>
          </w:p>
        </w:tc>
        <w:tc>
          <w:tcPr>
            <w:tcW w:w="1240" w:type="dxa"/>
            <w:vMerge w:val="restart"/>
          </w:tcPr>
          <w:p w:rsidR="0042568A" w:rsidRPr="003B7DA2" w:rsidRDefault="0042568A" w:rsidP="0042568A">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050" w:type="dxa"/>
            <w:gridSpan w:val="2"/>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390" w:type="dxa"/>
            <w:vMerge w:val="restart"/>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Átértékelés</w:t>
            </w:r>
          </w:p>
        </w:tc>
        <w:tc>
          <w:tcPr>
            <w:tcW w:w="126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Egyéb változások</w:t>
            </w:r>
          </w:p>
        </w:tc>
        <w:tc>
          <w:tcPr>
            <w:tcW w:w="1620" w:type="dxa"/>
            <w:vMerge w:val="restart"/>
            <w:vAlign w:val="center"/>
          </w:tcPr>
          <w:p w:rsidR="0042568A" w:rsidRPr="003B7DA2" w:rsidRDefault="0042568A"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42568A" w:rsidRPr="003B7DA2" w:rsidTr="00D45209">
        <w:tc>
          <w:tcPr>
            <w:tcW w:w="913" w:type="dxa"/>
            <w:vMerge/>
          </w:tcPr>
          <w:p w:rsidR="0042568A" w:rsidRPr="003B7DA2" w:rsidRDefault="0042568A" w:rsidP="0042568A">
            <w:pPr>
              <w:pStyle w:val="BodyText"/>
              <w:rPr>
                <w:rFonts w:ascii="Calibri" w:hAnsi="Calibri"/>
                <w:b/>
                <w:bCs/>
                <w:sz w:val="22"/>
                <w:szCs w:val="22"/>
                <w:u w:val="single"/>
              </w:rPr>
            </w:pPr>
          </w:p>
        </w:tc>
        <w:tc>
          <w:tcPr>
            <w:tcW w:w="815" w:type="dxa"/>
            <w:vMerge/>
          </w:tcPr>
          <w:p w:rsidR="0042568A" w:rsidRPr="003B7DA2" w:rsidRDefault="0042568A" w:rsidP="0042568A">
            <w:pPr>
              <w:pStyle w:val="BodyText"/>
              <w:rPr>
                <w:rFonts w:ascii="Calibri" w:hAnsi="Calibri"/>
                <w:b/>
                <w:bCs/>
                <w:sz w:val="22"/>
                <w:szCs w:val="22"/>
                <w:u w:val="single"/>
              </w:rPr>
            </w:pPr>
          </w:p>
        </w:tc>
        <w:tc>
          <w:tcPr>
            <w:tcW w:w="1240" w:type="dxa"/>
            <w:vMerge/>
          </w:tcPr>
          <w:p w:rsidR="0042568A" w:rsidRPr="003B7DA2" w:rsidRDefault="0042568A" w:rsidP="0042568A">
            <w:pPr>
              <w:pStyle w:val="BodyText"/>
              <w:rPr>
                <w:rFonts w:ascii="Calibri" w:hAnsi="Calibri"/>
                <w:b/>
                <w:bCs/>
                <w:sz w:val="22"/>
                <w:szCs w:val="22"/>
                <w:u w:val="single"/>
              </w:rPr>
            </w:pPr>
          </w:p>
        </w:tc>
        <w:tc>
          <w:tcPr>
            <w:tcW w:w="1025" w:type="dxa"/>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Állományt növelő</w:t>
            </w:r>
          </w:p>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(Kiadás)</w:t>
            </w:r>
          </w:p>
        </w:tc>
        <w:tc>
          <w:tcPr>
            <w:tcW w:w="1025" w:type="dxa"/>
          </w:tcPr>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Állományt csökkentő</w:t>
            </w:r>
          </w:p>
          <w:p w:rsidR="0042568A" w:rsidRPr="003B7DA2" w:rsidRDefault="0042568A" w:rsidP="00D45209">
            <w:pPr>
              <w:pStyle w:val="BodyText"/>
              <w:jc w:val="center"/>
              <w:rPr>
                <w:rFonts w:ascii="Calibri" w:hAnsi="Calibri" w:cs="Arial"/>
                <w:sz w:val="22"/>
                <w:szCs w:val="22"/>
              </w:rPr>
            </w:pPr>
            <w:r w:rsidRPr="003B7DA2">
              <w:rPr>
                <w:rFonts w:ascii="Calibri" w:hAnsi="Calibri" w:cs="Arial"/>
                <w:sz w:val="22"/>
                <w:szCs w:val="22"/>
              </w:rPr>
              <w:t>(Bevétel)</w:t>
            </w:r>
          </w:p>
        </w:tc>
        <w:tc>
          <w:tcPr>
            <w:tcW w:w="1390" w:type="dxa"/>
            <w:vMerge/>
          </w:tcPr>
          <w:p w:rsidR="0042568A" w:rsidRPr="003B7DA2" w:rsidRDefault="0042568A" w:rsidP="0042568A">
            <w:pPr>
              <w:pStyle w:val="BodyText"/>
              <w:rPr>
                <w:rFonts w:ascii="Calibri" w:hAnsi="Calibri" w:cs="Arial"/>
                <w:sz w:val="22"/>
                <w:szCs w:val="22"/>
              </w:rPr>
            </w:pPr>
          </w:p>
        </w:tc>
        <w:tc>
          <w:tcPr>
            <w:tcW w:w="1260" w:type="dxa"/>
            <w:vMerge/>
          </w:tcPr>
          <w:p w:rsidR="0042568A" w:rsidRPr="003B7DA2" w:rsidRDefault="0042568A" w:rsidP="0042568A">
            <w:pPr>
              <w:pStyle w:val="BodyText"/>
              <w:rPr>
                <w:rFonts w:ascii="Calibri" w:hAnsi="Calibri" w:cs="Arial"/>
                <w:sz w:val="22"/>
                <w:szCs w:val="22"/>
              </w:rPr>
            </w:pPr>
          </w:p>
        </w:tc>
        <w:tc>
          <w:tcPr>
            <w:tcW w:w="1620" w:type="dxa"/>
            <w:vMerge/>
          </w:tcPr>
          <w:p w:rsidR="0042568A" w:rsidRPr="003B7DA2" w:rsidRDefault="0042568A" w:rsidP="0042568A">
            <w:pPr>
              <w:pStyle w:val="BodyText"/>
              <w:rPr>
                <w:rFonts w:ascii="Calibri" w:hAnsi="Calibri" w:cs="Arial"/>
                <w:sz w:val="22"/>
                <w:szCs w:val="22"/>
              </w:rPr>
            </w:pPr>
          </w:p>
        </w:tc>
      </w:tr>
      <w:tr w:rsidR="0042568A" w:rsidRPr="003B7DA2" w:rsidTr="00D45209">
        <w:tc>
          <w:tcPr>
            <w:tcW w:w="913"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SW</w:t>
            </w:r>
          </w:p>
        </w:tc>
        <w:tc>
          <w:tcPr>
            <w:tcW w:w="815" w:type="dxa"/>
          </w:tcPr>
          <w:p w:rsidR="0042568A" w:rsidRPr="003B7DA2" w:rsidRDefault="0042568A" w:rsidP="0042568A">
            <w:pPr>
              <w:pStyle w:val="BodyText"/>
              <w:rPr>
                <w:rFonts w:ascii="Calibri" w:hAnsi="Calibri"/>
                <w:bCs/>
                <w:sz w:val="22"/>
                <w:szCs w:val="22"/>
              </w:rPr>
            </w:pPr>
            <w:r w:rsidRPr="003B7DA2">
              <w:rPr>
                <w:rFonts w:ascii="Calibri" w:hAnsi="Calibri" w:cs="Arial"/>
                <w:sz w:val="22"/>
                <w:szCs w:val="22"/>
              </w:rPr>
              <w:t>DE</w:t>
            </w:r>
          </w:p>
        </w:tc>
        <w:tc>
          <w:tcPr>
            <w:tcW w:w="124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20 000 000</w:t>
            </w:r>
          </w:p>
        </w:tc>
        <w:tc>
          <w:tcPr>
            <w:tcW w:w="1025"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3 450 000</w:t>
            </w:r>
          </w:p>
        </w:tc>
        <w:tc>
          <w:tcPr>
            <w:tcW w:w="1025" w:type="dxa"/>
          </w:tcPr>
          <w:p w:rsidR="0042568A" w:rsidRPr="003B7DA2" w:rsidRDefault="00A37F7F" w:rsidP="0042568A">
            <w:pPr>
              <w:pStyle w:val="BodyText"/>
              <w:rPr>
                <w:rFonts w:ascii="Calibri" w:hAnsi="Calibri" w:cs="Arial"/>
                <w:sz w:val="22"/>
                <w:szCs w:val="22"/>
              </w:rPr>
            </w:pPr>
            <w:r w:rsidRPr="003B7DA2">
              <w:rPr>
                <w:rFonts w:ascii="Calibri" w:hAnsi="Calibri" w:cs="Arial"/>
                <w:sz w:val="22"/>
                <w:szCs w:val="22"/>
              </w:rPr>
              <w:t>1 </w:t>
            </w:r>
            <w:r w:rsidR="00146264" w:rsidRPr="003B7DA2">
              <w:rPr>
                <w:rFonts w:ascii="Calibri" w:hAnsi="Calibri" w:cs="Arial"/>
                <w:sz w:val="22"/>
                <w:szCs w:val="22"/>
              </w:rPr>
              <w:t>7</w:t>
            </w:r>
            <w:r w:rsidRPr="003B7DA2">
              <w:rPr>
                <w:rFonts w:ascii="Calibri" w:hAnsi="Calibri" w:cs="Arial"/>
                <w:sz w:val="22"/>
                <w:szCs w:val="22"/>
              </w:rPr>
              <w:t>0</w:t>
            </w:r>
            <w:r w:rsidR="00146264" w:rsidRPr="003B7DA2">
              <w:rPr>
                <w:rFonts w:ascii="Calibri" w:hAnsi="Calibri" w:cs="Arial"/>
                <w:sz w:val="22"/>
                <w:szCs w:val="22"/>
              </w:rPr>
              <w:t>2</w:t>
            </w:r>
            <w:r w:rsidRPr="003B7DA2">
              <w:rPr>
                <w:rFonts w:ascii="Calibri" w:hAnsi="Calibri" w:cs="Arial"/>
                <w:sz w:val="22"/>
                <w:szCs w:val="22"/>
              </w:rPr>
              <w:t xml:space="preserve"> 000</w:t>
            </w:r>
          </w:p>
        </w:tc>
        <w:tc>
          <w:tcPr>
            <w:tcW w:w="1390" w:type="dxa"/>
          </w:tcPr>
          <w:p w:rsidR="0042568A" w:rsidRPr="003B7DA2" w:rsidRDefault="0042568A" w:rsidP="0042568A">
            <w:pPr>
              <w:pStyle w:val="BodyText"/>
              <w:rPr>
                <w:rFonts w:ascii="Calibri" w:hAnsi="Calibri" w:cs="Arial"/>
                <w:sz w:val="22"/>
                <w:szCs w:val="22"/>
              </w:rPr>
            </w:pPr>
            <w:r w:rsidRPr="003B7DA2">
              <w:rPr>
                <w:rFonts w:ascii="Calibri" w:hAnsi="Calibri" w:cs="Arial"/>
                <w:sz w:val="22"/>
                <w:szCs w:val="22"/>
              </w:rPr>
              <w:t>-1</w:t>
            </w:r>
            <w:r w:rsidR="00531997" w:rsidRPr="003B7DA2">
              <w:rPr>
                <w:rFonts w:ascii="Calibri" w:hAnsi="Calibri" w:cs="Arial"/>
                <w:sz w:val="22"/>
                <w:szCs w:val="22"/>
              </w:rPr>
              <w:t>1</w:t>
            </w:r>
            <w:r w:rsidRPr="003B7DA2">
              <w:rPr>
                <w:rFonts w:ascii="Calibri" w:hAnsi="Calibri" w:cs="Arial"/>
                <w:sz w:val="22"/>
                <w:szCs w:val="22"/>
              </w:rPr>
              <w:t> </w:t>
            </w:r>
            <w:r w:rsidR="00146264" w:rsidRPr="003B7DA2">
              <w:rPr>
                <w:rFonts w:ascii="Calibri" w:hAnsi="Calibri" w:cs="Arial"/>
                <w:sz w:val="22"/>
                <w:szCs w:val="22"/>
              </w:rPr>
              <w:t>748</w:t>
            </w:r>
            <w:r w:rsidRPr="003B7DA2">
              <w:rPr>
                <w:rFonts w:ascii="Calibri" w:hAnsi="Calibri" w:cs="Arial"/>
                <w:sz w:val="22"/>
                <w:szCs w:val="22"/>
              </w:rPr>
              <w:t xml:space="preserve"> 000</w:t>
            </w:r>
          </w:p>
        </w:tc>
        <w:tc>
          <w:tcPr>
            <w:tcW w:w="126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0</w:t>
            </w:r>
          </w:p>
        </w:tc>
        <w:tc>
          <w:tcPr>
            <w:tcW w:w="1620" w:type="dxa"/>
          </w:tcPr>
          <w:p w:rsidR="0042568A" w:rsidRPr="003B7DA2" w:rsidRDefault="0042568A" w:rsidP="0042568A">
            <w:pPr>
              <w:pStyle w:val="BodyText"/>
              <w:rPr>
                <w:rFonts w:ascii="Calibri" w:hAnsi="Calibri"/>
                <w:bCs/>
                <w:sz w:val="22"/>
                <w:szCs w:val="22"/>
              </w:rPr>
            </w:pPr>
            <w:r w:rsidRPr="003B7DA2">
              <w:rPr>
                <w:rFonts w:ascii="Calibri" w:hAnsi="Calibri"/>
                <w:bCs/>
                <w:sz w:val="22"/>
                <w:szCs w:val="22"/>
              </w:rPr>
              <w:t>10 000 000</w:t>
            </w:r>
          </w:p>
        </w:tc>
      </w:tr>
    </w:tbl>
    <w:p w:rsidR="0042568A" w:rsidRPr="003B7DA2" w:rsidRDefault="0042568A" w:rsidP="0042568A">
      <w:pPr>
        <w:pStyle w:val="BodyText"/>
        <w:rPr>
          <w:rFonts w:ascii="Calibri" w:hAnsi="Calibri"/>
          <w:bCs/>
          <w:sz w:val="22"/>
          <w:szCs w:val="22"/>
        </w:rPr>
      </w:pPr>
    </w:p>
    <w:p w:rsidR="0092684C" w:rsidRPr="003B7DA2" w:rsidRDefault="0092684C">
      <w:pPr>
        <w:pStyle w:val="BodyText"/>
        <w:rPr>
          <w:rFonts w:ascii="Calibri" w:hAnsi="Calibri"/>
          <w:b/>
          <w:bCs/>
          <w:sz w:val="22"/>
          <w:szCs w:val="22"/>
        </w:rPr>
      </w:pPr>
    </w:p>
    <w:p w:rsidR="0092684C" w:rsidRPr="003B7DA2" w:rsidRDefault="0092684C">
      <w:pPr>
        <w:pStyle w:val="BodyText"/>
        <w:rPr>
          <w:rFonts w:ascii="Calibri" w:hAnsi="Calibri"/>
          <w:b/>
          <w:bCs/>
          <w:sz w:val="22"/>
          <w:szCs w:val="22"/>
        </w:rPr>
      </w:pPr>
      <w:r w:rsidRPr="003B7DA2">
        <w:rPr>
          <w:rFonts w:ascii="Calibri" w:hAnsi="Calibri"/>
          <w:b/>
          <w:bCs/>
          <w:sz w:val="22"/>
          <w:szCs w:val="22"/>
        </w:rPr>
        <w:t xml:space="preserve">4. Egyéb pénzügyi </w:t>
      </w:r>
      <w:proofErr w:type="spellStart"/>
      <w:r w:rsidRPr="003B7DA2">
        <w:rPr>
          <w:rFonts w:ascii="Calibri" w:hAnsi="Calibri"/>
          <w:b/>
          <w:bCs/>
          <w:sz w:val="22"/>
          <w:szCs w:val="22"/>
        </w:rPr>
        <w:t>derivatívák</w:t>
      </w:r>
      <w:proofErr w:type="spellEnd"/>
      <w:r w:rsidRPr="003B7DA2">
        <w:rPr>
          <w:rFonts w:ascii="Calibri" w:hAnsi="Calibri"/>
          <w:b/>
          <w:bCs/>
          <w:sz w:val="22"/>
          <w:szCs w:val="22"/>
        </w:rPr>
        <w:t>:</w:t>
      </w:r>
      <w:bookmarkEnd w:id="12"/>
    </w:p>
    <w:p w:rsidR="0092684C" w:rsidRPr="003B7DA2" w:rsidRDefault="0092684C">
      <w:pPr>
        <w:rPr>
          <w:rFonts w:ascii="Calibri" w:hAnsi="Calibri"/>
          <w:sz w:val="22"/>
          <w:szCs w:val="22"/>
        </w:rPr>
      </w:pPr>
    </w:p>
    <w:p w:rsidR="0092684C" w:rsidRPr="003B7DA2" w:rsidRDefault="0092684C">
      <w:pPr>
        <w:ind w:left="720"/>
        <w:jc w:val="both"/>
        <w:rPr>
          <w:rFonts w:ascii="Calibri" w:hAnsi="Calibri"/>
          <w:snapToGrid w:val="0"/>
          <w:sz w:val="22"/>
          <w:szCs w:val="22"/>
          <w:lang w:eastAsia="en-US"/>
        </w:rPr>
      </w:pPr>
      <w:r w:rsidRPr="003B7DA2">
        <w:rPr>
          <w:rFonts w:ascii="Calibri" w:hAnsi="Calibri"/>
          <w:snapToGrid w:val="0"/>
          <w:sz w:val="22"/>
          <w:szCs w:val="22"/>
          <w:lang w:eastAsia="en-US"/>
        </w:rPr>
        <w:t xml:space="preserve">Ezen instrumentum kód alatt kell jelenteni mindazon pénzügyi derivatív ügyleteket, amelyek máshova nem kerültek </w:t>
      </w:r>
      <w:proofErr w:type="gramStart"/>
      <w:r w:rsidRPr="003B7DA2">
        <w:rPr>
          <w:rFonts w:ascii="Calibri" w:hAnsi="Calibri"/>
          <w:snapToGrid w:val="0"/>
          <w:sz w:val="22"/>
          <w:szCs w:val="22"/>
          <w:lang w:eastAsia="en-US"/>
        </w:rPr>
        <w:t>besorolásra  (</w:t>
      </w:r>
      <w:proofErr w:type="gramEnd"/>
      <w:r w:rsidRPr="003B7DA2">
        <w:rPr>
          <w:rFonts w:ascii="Calibri" w:hAnsi="Calibri"/>
          <w:snapToGrid w:val="0"/>
          <w:sz w:val="22"/>
          <w:szCs w:val="22"/>
          <w:lang w:eastAsia="en-US"/>
        </w:rPr>
        <w:t xml:space="preserve">pl. a külföldi partnerekkel kötött határidős kamatláb megállapodások (FRA), a határidős betétek vásárlásai és eladásai, a </w:t>
      </w:r>
      <w:proofErr w:type="spellStart"/>
      <w:r w:rsidRPr="003B7DA2">
        <w:rPr>
          <w:rFonts w:ascii="Calibri" w:hAnsi="Calibri"/>
          <w:snapToGrid w:val="0"/>
          <w:sz w:val="22"/>
          <w:szCs w:val="22"/>
          <w:lang w:eastAsia="en-US"/>
        </w:rPr>
        <w:t>hitelderivatívák</w:t>
      </w:r>
      <w:proofErr w:type="spellEnd"/>
      <w:r w:rsidRPr="003B7DA2">
        <w:rPr>
          <w:rFonts w:ascii="Calibri" w:hAnsi="Calibri"/>
          <w:snapToGrid w:val="0"/>
          <w:sz w:val="22"/>
          <w:szCs w:val="22"/>
          <w:lang w:eastAsia="en-US"/>
        </w:rPr>
        <w:t xml:space="preserve"> különböző fajtái), továbbá, amelyek esetében a mögöttes termék valamilyen reál ügylet, pl. </w:t>
      </w:r>
      <w:proofErr w:type="spellStart"/>
      <w:r w:rsidRPr="003B7DA2">
        <w:rPr>
          <w:rFonts w:ascii="Calibri" w:hAnsi="Calibri"/>
          <w:snapToGrid w:val="0"/>
          <w:sz w:val="22"/>
          <w:szCs w:val="22"/>
          <w:lang w:eastAsia="en-US"/>
        </w:rPr>
        <w:t>forward</w:t>
      </w:r>
      <w:proofErr w:type="spellEnd"/>
      <w:r w:rsidRPr="003B7DA2">
        <w:rPr>
          <w:rFonts w:ascii="Calibri" w:hAnsi="Calibri"/>
          <w:snapToGrid w:val="0"/>
          <w:sz w:val="22"/>
          <w:szCs w:val="22"/>
          <w:lang w:eastAsia="en-US"/>
        </w:rPr>
        <w:t xml:space="preserve"> nemesfém-ügyletek, határidős értékpapír, illetve áruügyletek).</w:t>
      </w:r>
    </w:p>
    <w:p w:rsidR="0092684C" w:rsidRPr="003B7DA2" w:rsidRDefault="0092684C">
      <w:pPr>
        <w:rPr>
          <w:rFonts w:ascii="Calibri" w:hAnsi="Calibri"/>
          <w:sz w:val="22"/>
          <w:szCs w:val="22"/>
        </w:rPr>
      </w:pPr>
    </w:p>
    <w:p w:rsidR="0092684C" w:rsidRPr="003B7DA2" w:rsidRDefault="0092684C">
      <w:pPr>
        <w:ind w:left="720"/>
        <w:jc w:val="both"/>
        <w:rPr>
          <w:rFonts w:ascii="Calibri" w:hAnsi="Calibri"/>
          <w:snapToGrid w:val="0"/>
          <w:sz w:val="22"/>
          <w:szCs w:val="22"/>
          <w:lang w:eastAsia="en-US"/>
        </w:rPr>
      </w:pPr>
      <w:r w:rsidRPr="003B7DA2">
        <w:rPr>
          <w:rFonts w:ascii="Calibri" w:hAnsi="Calibri"/>
          <w:b/>
          <w:snapToGrid w:val="0"/>
          <w:sz w:val="22"/>
          <w:szCs w:val="22"/>
          <w:lang w:eastAsia="en-US"/>
        </w:rPr>
        <w:t>FRA ügyletek</w:t>
      </w:r>
      <w:r w:rsidRPr="003B7DA2">
        <w:rPr>
          <w:rFonts w:ascii="Calibri" w:hAnsi="Calibri"/>
          <w:snapToGrid w:val="0"/>
          <w:sz w:val="22"/>
          <w:szCs w:val="22"/>
          <w:lang w:eastAsia="en-US"/>
        </w:rPr>
        <w:t xml:space="preserve"> (Határidős kamatláb megállapodások): </w:t>
      </w:r>
    </w:p>
    <w:p w:rsidR="0092684C" w:rsidRPr="003B7DA2" w:rsidRDefault="0092684C">
      <w:pPr>
        <w:ind w:left="720"/>
        <w:jc w:val="both"/>
        <w:rPr>
          <w:rFonts w:ascii="Calibri" w:hAnsi="Calibri"/>
          <w:snapToGrid w:val="0"/>
          <w:sz w:val="22"/>
          <w:szCs w:val="22"/>
          <w:lang w:eastAsia="en-US"/>
        </w:rPr>
      </w:pPr>
      <w:r w:rsidRPr="003B7DA2">
        <w:rPr>
          <w:rFonts w:ascii="Calibri" w:hAnsi="Calibri"/>
          <w:snapToGrid w:val="0"/>
          <w:sz w:val="22"/>
          <w:szCs w:val="22"/>
          <w:lang w:eastAsia="en-US"/>
        </w:rPr>
        <w:t>A</w:t>
      </w:r>
      <w:r w:rsidR="00F17625" w:rsidRPr="003B7DA2">
        <w:rPr>
          <w:rFonts w:ascii="Calibri" w:hAnsi="Calibri"/>
          <w:snapToGrid w:val="0"/>
          <w:sz w:val="22"/>
          <w:szCs w:val="22"/>
          <w:lang w:eastAsia="en-US"/>
        </w:rPr>
        <w:t>z FRA ügylet egy, a</w:t>
      </w:r>
      <w:r w:rsidRPr="003B7DA2">
        <w:rPr>
          <w:rFonts w:ascii="Calibri" w:hAnsi="Calibri"/>
          <w:snapToGrid w:val="0"/>
          <w:sz w:val="22"/>
          <w:szCs w:val="22"/>
          <w:lang w:eastAsia="en-US"/>
        </w:rPr>
        <w:t xml:space="preserve"> </w:t>
      </w:r>
      <w:r w:rsidR="00F17625" w:rsidRPr="003B7DA2">
        <w:rPr>
          <w:rFonts w:ascii="Calibri" w:hAnsi="Calibri"/>
          <w:snapToGrid w:val="0"/>
          <w:sz w:val="22"/>
          <w:szCs w:val="22"/>
          <w:lang w:eastAsia="en-US"/>
        </w:rPr>
        <w:t xml:space="preserve">megállapodásban </w:t>
      </w:r>
      <w:r w:rsidRPr="003B7DA2">
        <w:rPr>
          <w:rFonts w:ascii="Calibri" w:hAnsi="Calibri"/>
          <w:snapToGrid w:val="0"/>
          <w:sz w:val="22"/>
          <w:szCs w:val="22"/>
          <w:lang w:eastAsia="en-US"/>
        </w:rPr>
        <w:t>meghatározott jövőbeli időpont</w:t>
      </w:r>
      <w:r w:rsidR="00F17625" w:rsidRPr="003B7DA2">
        <w:rPr>
          <w:rFonts w:ascii="Calibri" w:hAnsi="Calibri"/>
          <w:snapToGrid w:val="0"/>
          <w:sz w:val="22"/>
          <w:szCs w:val="22"/>
          <w:lang w:eastAsia="en-US"/>
        </w:rPr>
        <w:t xml:space="preserve">ban, meghatározott (többnyire névleges) összeg után </w:t>
      </w:r>
      <w:r w:rsidRPr="003B7DA2">
        <w:rPr>
          <w:rFonts w:ascii="Calibri" w:hAnsi="Calibri"/>
          <w:snapToGrid w:val="0"/>
          <w:sz w:val="22"/>
          <w:szCs w:val="22"/>
          <w:lang w:eastAsia="en-US"/>
        </w:rPr>
        <w:t>a szerződésben meg</w:t>
      </w:r>
      <w:r w:rsidR="00F17625" w:rsidRPr="003B7DA2">
        <w:rPr>
          <w:rFonts w:ascii="Calibri" w:hAnsi="Calibri"/>
          <w:snapToGrid w:val="0"/>
          <w:sz w:val="22"/>
          <w:szCs w:val="22"/>
          <w:lang w:eastAsia="en-US"/>
        </w:rPr>
        <w:t>szabott</w:t>
      </w:r>
      <w:r w:rsidRPr="003B7DA2">
        <w:rPr>
          <w:rFonts w:ascii="Calibri" w:hAnsi="Calibri"/>
          <w:snapToGrid w:val="0"/>
          <w:sz w:val="22"/>
          <w:szCs w:val="22"/>
          <w:lang w:eastAsia="en-US"/>
        </w:rPr>
        <w:t xml:space="preserve"> kamatlábbal</w:t>
      </w:r>
      <w:r w:rsidR="00F17625" w:rsidRPr="003B7DA2">
        <w:rPr>
          <w:rFonts w:ascii="Calibri" w:hAnsi="Calibri"/>
          <w:snapToGrid w:val="0"/>
          <w:sz w:val="22"/>
          <w:szCs w:val="22"/>
          <w:lang w:eastAsia="en-US"/>
        </w:rPr>
        <w:t xml:space="preserve"> (ez értelemszerűen egy változó, valamilyen piacon időszakonként fixált kamatláb)</w:t>
      </w:r>
      <w:r w:rsidRPr="003B7DA2">
        <w:rPr>
          <w:rFonts w:ascii="Calibri" w:hAnsi="Calibri"/>
          <w:snapToGrid w:val="0"/>
          <w:sz w:val="22"/>
          <w:szCs w:val="22"/>
          <w:lang w:eastAsia="en-US"/>
        </w:rPr>
        <w:t xml:space="preserve"> számított kamatösszeg</w:t>
      </w:r>
      <w:r w:rsidR="00F17625" w:rsidRPr="003B7DA2">
        <w:rPr>
          <w:rFonts w:ascii="Calibri" w:hAnsi="Calibri"/>
          <w:snapToGrid w:val="0"/>
          <w:sz w:val="22"/>
          <w:szCs w:val="22"/>
          <w:lang w:eastAsia="en-US"/>
        </w:rPr>
        <w:t>r</w:t>
      </w:r>
      <w:r w:rsidRPr="003B7DA2">
        <w:rPr>
          <w:rFonts w:ascii="Calibri" w:hAnsi="Calibri"/>
          <w:snapToGrid w:val="0"/>
          <w:sz w:val="22"/>
          <w:szCs w:val="22"/>
          <w:lang w:eastAsia="en-US"/>
        </w:rPr>
        <w:t>e</w:t>
      </w:r>
      <w:r w:rsidR="00F17625" w:rsidRPr="003B7DA2">
        <w:rPr>
          <w:rFonts w:ascii="Calibri" w:hAnsi="Calibri"/>
          <w:snapToGrid w:val="0"/>
          <w:sz w:val="22"/>
          <w:szCs w:val="22"/>
          <w:lang w:eastAsia="en-US"/>
        </w:rPr>
        <w:t xml:space="preserve"> szól. </w:t>
      </w:r>
      <w:r w:rsidRPr="003B7DA2">
        <w:rPr>
          <w:rFonts w:ascii="Calibri" w:hAnsi="Calibri"/>
          <w:snapToGrid w:val="0"/>
          <w:sz w:val="22"/>
          <w:szCs w:val="22"/>
          <w:lang w:eastAsia="en-US"/>
        </w:rPr>
        <w:t xml:space="preserve"> </w:t>
      </w:r>
    </w:p>
    <w:p w:rsidR="00727BF5" w:rsidRPr="003B7DA2" w:rsidRDefault="00727BF5">
      <w:pPr>
        <w:ind w:left="720"/>
        <w:jc w:val="both"/>
        <w:rPr>
          <w:rFonts w:ascii="Calibri" w:hAnsi="Calibri"/>
          <w:snapToGrid w:val="0"/>
          <w:sz w:val="22"/>
          <w:szCs w:val="22"/>
          <w:lang w:eastAsia="en-US"/>
        </w:rPr>
      </w:pPr>
    </w:p>
    <w:p w:rsidR="0092684C" w:rsidRPr="003B7DA2" w:rsidRDefault="0092684C">
      <w:pPr>
        <w:ind w:left="720"/>
        <w:jc w:val="both"/>
        <w:rPr>
          <w:rFonts w:ascii="Calibri" w:hAnsi="Calibri"/>
          <w:snapToGrid w:val="0"/>
          <w:sz w:val="22"/>
          <w:szCs w:val="22"/>
          <w:lang w:eastAsia="en-US"/>
        </w:rPr>
      </w:pPr>
      <w:r w:rsidRPr="003B7DA2">
        <w:rPr>
          <w:rFonts w:ascii="Calibri" w:hAnsi="Calibri"/>
          <w:snapToGrid w:val="0"/>
          <w:sz w:val="22"/>
          <w:szCs w:val="22"/>
          <w:lang w:eastAsia="en-US"/>
        </w:rPr>
        <w:t>Tapasztalataink szerint Magyarországon az FRA ügyletek túlnyomó részénél az esedékes fizetések értékkülönbözet elszámolással történnek, vagyis a teljesítés időintervallumára érvényes kamatláb meghirdetésekor (ezt nevezik fixingnek, pl. a tőzsdén ebben az időpontban hirdetik meg a következő havi, három havi stb. betét-periódusokra jegyezhető kamatlábakat) kiszámítják ezen aktuális piaci, illetve a</w:t>
      </w:r>
      <w:r w:rsidR="00F17625" w:rsidRPr="003B7DA2">
        <w:rPr>
          <w:rFonts w:ascii="Calibri" w:hAnsi="Calibri"/>
          <w:snapToGrid w:val="0"/>
          <w:sz w:val="22"/>
          <w:szCs w:val="22"/>
          <w:lang w:eastAsia="en-US"/>
        </w:rPr>
        <w:t>z FRA</w:t>
      </w:r>
      <w:r w:rsidRPr="003B7DA2">
        <w:rPr>
          <w:rFonts w:ascii="Calibri" w:hAnsi="Calibri"/>
          <w:snapToGrid w:val="0"/>
          <w:sz w:val="22"/>
          <w:szCs w:val="22"/>
          <w:lang w:eastAsia="en-US"/>
        </w:rPr>
        <w:t xml:space="preserve"> szerződésben meghatározott kamatlábbal a mögöttes névleges kötelezettség összege után járó kamatösszegeket, s csupán ezek különbözetét rendezik, aszerint, hogy negatív, vagy pozitív különbözet adódik. A fizetés is ezen időpontban, vagyis fixingkor történik, nem pedig a mögöttes termék (vagyis egy hitel-betét összeg) megadott kamatfizetési időpontjaiban.</w:t>
      </w:r>
    </w:p>
    <w:p w:rsidR="00F17625" w:rsidRPr="003B7DA2" w:rsidRDefault="00F17625">
      <w:pPr>
        <w:ind w:left="720"/>
        <w:jc w:val="both"/>
        <w:rPr>
          <w:rFonts w:ascii="Calibri" w:hAnsi="Calibri"/>
          <w:snapToGrid w:val="0"/>
          <w:sz w:val="22"/>
          <w:szCs w:val="22"/>
          <w:lang w:eastAsia="en-US"/>
        </w:rPr>
      </w:pPr>
    </w:p>
    <w:p w:rsidR="0092684C" w:rsidRPr="003B7DA2" w:rsidRDefault="0092684C">
      <w:pPr>
        <w:ind w:left="720"/>
        <w:jc w:val="both"/>
        <w:rPr>
          <w:rFonts w:ascii="Calibri" w:hAnsi="Calibri"/>
          <w:snapToGrid w:val="0"/>
          <w:sz w:val="22"/>
          <w:szCs w:val="22"/>
          <w:lang w:eastAsia="en-US"/>
        </w:rPr>
      </w:pPr>
      <w:r w:rsidRPr="003B7DA2">
        <w:rPr>
          <w:rFonts w:ascii="Calibri" w:hAnsi="Calibri"/>
          <w:snapToGrid w:val="0"/>
          <w:sz w:val="22"/>
          <w:szCs w:val="22"/>
          <w:lang w:eastAsia="en-US"/>
        </w:rPr>
        <w:t xml:space="preserve">Az ügyletek piaci értéke </w:t>
      </w:r>
      <w:r w:rsidR="00F17625" w:rsidRPr="003B7DA2">
        <w:rPr>
          <w:rFonts w:ascii="Calibri" w:hAnsi="Calibri"/>
          <w:snapToGrid w:val="0"/>
          <w:sz w:val="22"/>
          <w:szCs w:val="22"/>
          <w:lang w:eastAsia="en-US"/>
        </w:rPr>
        <w:t xml:space="preserve">futamidő alatt </w:t>
      </w:r>
      <w:r w:rsidRPr="003B7DA2">
        <w:rPr>
          <w:rFonts w:ascii="Calibri" w:hAnsi="Calibri"/>
          <w:snapToGrid w:val="0"/>
          <w:sz w:val="22"/>
          <w:szCs w:val="22"/>
          <w:lang w:eastAsia="en-US"/>
        </w:rPr>
        <w:t xml:space="preserve">valamely időpontban úgy állapítható meg, hogy kiszámítják a szerződésben szereplő időszakra vonatkozóan a megadott piacon a kiértékelés időpontjában jegyzett kamatláb és a szerződés szerinti kamatláb közötti különbséget, s e kamatkülönbözet nettó jelenértéke teszi ki az adatszolgáltatónak a kiértékelés alapján </w:t>
      </w:r>
      <w:r w:rsidRPr="003B7DA2">
        <w:rPr>
          <w:rFonts w:ascii="Calibri" w:hAnsi="Calibri"/>
          <w:snapToGrid w:val="0"/>
          <w:sz w:val="22"/>
          <w:szCs w:val="22"/>
          <w:lang w:eastAsia="en-US"/>
        </w:rPr>
        <w:lastRenderedPageBreak/>
        <w:t>várható fizető, vagy kedvezményezett pozíciója szerint az ügylet pozitív, vagy negatív piaci értékét.</w:t>
      </w:r>
    </w:p>
    <w:p w:rsidR="0092684C" w:rsidRPr="003B7DA2" w:rsidRDefault="0092684C">
      <w:pPr>
        <w:ind w:left="720"/>
        <w:jc w:val="both"/>
        <w:rPr>
          <w:rFonts w:ascii="Calibri" w:hAnsi="Calibri"/>
          <w:b/>
          <w:snapToGrid w:val="0"/>
          <w:sz w:val="22"/>
          <w:szCs w:val="22"/>
          <w:lang w:eastAsia="en-US"/>
        </w:rPr>
      </w:pPr>
    </w:p>
    <w:p w:rsidR="0092684C" w:rsidRPr="003B7DA2" w:rsidRDefault="0092684C">
      <w:pPr>
        <w:ind w:left="720"/>
        <w:jc w:val="both"/>
        <w:rPr>
          <w:rFonts w:ascii="Calibri" w:hAnsi="Calibri"/>
          <w:b/>
          <w:snapToGrid w:val="0"/>
          <w:sz w:val="22"/>
          <w:szCs w:val="22"/>
          <w:lang w:eastAsia="en-US"/>
        </w:rPr>
      </w:pPr>
      <w:r w:rsidRPr="003B7DA2">
        <w:rPr>
          <w:rFonts w:ascii="Calibri" w:hAnsi="Calibri"/>
          <w:b/>
          <w:snapToGrid w:val="0"/>
          <w:sz w:val="22"/>
          <w:szCs w:val="22"/>
          <w:lang w:eastAsia="en-US"/>
        </w:rPr>
        <w:t>Időszak eleji nyitó és időszak végi záró pozíció:</w:t>
      </w:r>
    </w:p>
    <w:p w:rsidR="0092684C" w:rsidRPr="003B7DA2" w:rsidRDefault="0092684C">
      <w:pPr>
        <w:rPr>
          <w:rFonts w:ascii="Calibri" w:hAnsi="Calibri"/>
          <w:sz w:val="22"/>
          <w:szCs w:val="22"/>
        </w:rPr>
      </w:pPr>
    </w:p>
    <w:p w:rsidR="0092684C" w:rsidRPr="003B7DA2" w:rsidRDefault="0092684C">
      <w:pPr>
        <w:ind w:left="720"/>
        <w:jc w:val="both"/>
        <w:rPr>
          <w:rFonts w:ascii="Calibri" w:hAnsi="Calibri"/>
          <w:snapToGrid w:val="0"/>
          <w:sz w:val="22"/>
          <w:szCs w:val="22"/>
          <w:lang w:eastAsia="en-US"/>
        </w:rPr>
      </w:pPr>
      <w:r w:rsidRPr="003B7DA2">
        <w:rPr>
          <w:rFonts w:ascii="Calibri" w:hAnsi="Calibri"/>
          <w:snapToGrid w:val="0"/>
          <w:sz w:val="22"/>
          <w:szCs w:val="22"/>
          <w:lang w:eastAsia="en-US"/>
        </w:rPr>
        <w:t>Az adatszolgáltatónak a kiértékelés alapján várható fizető, vagy kedvezményezett pozíciója szerinti táblában kell az FRA ügylet országonkénti bruttó</w:t>
      </w:r>
      <w:r w:rsidRPr="003B7DA2">
        <w:rPr>
          <w:rFonts w:ascii="Calibri" w:hAnsi="Calibri"/>
          <w:snapToGrid w:val="0"/>
          <w:sz w:val="22"/>
          <w:szCs w:val="22"/>
          <w:u w:val="single"/>
          <w:lang w:eastAsia="en-US"/>
        </w:rPr>
        <w:t xml:space="preserve"> </w:t>
      </w:r>
      <w:r w:rsidRPr="003B7DA2">
        <w:rPr>
          <w:rFonts w:ascii="Calibri" w:hAnsi="Calibri"/>
          <w:snapToGrid w:val="0"/>
          <w:sz w:val="22"/>
          <w:szCs w:val="22"/>
          <w:lang w:eastAsia="en-US"/>
        </w:rPr>
        <w:t xml:space="preserve">piaci értékét </w:t>
      </w:r>
      <w:proofErr w:type="gramStart"/>
      <w:r w:rsidRPr="003B7DA2">
        <w:rPr>
          <w:rFonts w:ascii="Calibri" w:hAnsi="Calibri"/>
          <w:snapToGrid w:val="0"/>
          <w:sz w:val="22"/>
          <w:szCs w:val="22"/>
          <w:lang w:eastAsia="en-US"/>
        </w:rPr>
        <w:t>jelenteni..</w:t>
      </w:r>
      <w:proofErr w:type="gramEnd"/>
      <w:r w:rsidRPr="003B7DA2">
        <w:rPr>
          <w:rFonts w:ascii="Calibri" w:hAnsi="Calibri"/>
          <w:snapToGrid w:val="0"/>
          <w:sz w:val="22"/>
          <w:szCs w:val="22"/>
          <w:lang w:eastAsia="en-US"/>
        </w:rPr>
        <w:t xml:space="preserve">      </w:t>
      </w:r>
    </w:p>
    <w:p w:rsidR="0092684C" w:rsidRPr="003B7DA2" w:rsidRDefault="0092684C">
      <w:pPr>
        <w:ind w:left="720"/>
        <w:jc w:val="both"/>
        <w:rPr>
          <w:rFonts w:ascii="Calibri" w:hAnsi="Calibri"/>
          <w:snapToGrid w:val="0"/>
          <w:sz w:val="22"/>
          <w:szCs w:val="22"/>
          <w:lang w:eastAsia="en-US"/>
        </w:rPr>
      </w:pPr>
    </w:p>
    <w:p w:rsidR="0092684C" w:rsidRPr="003B7DA2" w:rsidRDefault="0092684C">
      <w:pPr>
        <w:ind w:left="720"/>
        <w:jc w:val="both"/>
        <w:rPr>
          <w:rFonts w:ascii="Calibri" w:hAnsi="Calibri"/>
          <w:b/>
          <w:snapToGrid w:val="0"/>
          <w:sz w:val="22"/>
          <w:szCs w:val="22"/>
          <w:lang w:eastAsia="en-US"/>
        </w:rPr>
      </w:pPr>
      <w:r w:rsidRPr="003B7DA2">
        <w:rPr>
          <w:rFonts w:ascii="Calibri" w:hAnsi="Calibri"/>
          <w:b/>
          <w:snapToGrid w:val="0"/>
          <w:sz w:val="22"/>
          <w:szCs w:val="22"/>
          <w:lang w:eastAsia="en-US"/>
        </w:rPr>
        <w:t>Tranzakciók:</w:t>
      </w:r>
    </w:p>
    <w:p w:rsidR="0092684C" w:rsidRPr="003B7DA2" w:rsidRDefault="0092684C">
      <w:pPr>
        <w:ind w:left="360"/>
        <w:jc w:val="both"/>
        <w:rPr>
          <w:rFonts w:ascii="Calibri" w:hAnsi="Calibri"/>
          <w:snapToGrid w:val="0"/>
          <w:sz w:val="22"/>
          <w:szCs w:val="22"/>
          <w:lang w:eastAsia="en-US"/>
        </w:rPr>
      </w:pPr>
    </w:p>
    <w:p w:rsidR="0092684C" w:rsidRPr="003B7DA2" w:rsidRDefault="0092684C">
      <w:pPr>
        <w:ind w:left="720"/>
        <w:jc w:val="both"/>
        <w:rPr>
          <w:rFonts w:ascii="Calibri" w:hAnsi="Calibri"/>
          <w:sz w:val="22"/>
          <w:szCs w:val="22"/>
        </w:rPr>
      </w:pPr>
      <w:r w:rsidRPr="003B7DA2">
        <w:rPr>
          <w:rFonts w:ascii="Calibri" w:hAnsi="Calibri"/>
          <w:snapToGrid w:val="0"/>
          <w:sz w:val="22"/>
          <w:szCs w:val="22"/>
          <w:lang w:eastAsia="en-US"/>
        </w:rPr>
        <w:t>Az FRA ügylet</w:t>
      </w:r>
      <w:r w:rsidRPr="003B7DA2">
        <w:rPr>
          <w:rFonts w:ascii="Calibri" w:hAnsi="Calibri"/>
          <w:snapToGrid w:val="0"/>
          <w:sz w:val="22"/>
          <w:szCs w:val="22"/>
          <w:u w:val="single"/>
          <w:lang w:eastAsia="en-US"/>
        </w:rPr>
        <w:t xml:space="preserve"> </w:t>
      </w:r>
      <w:r w:rsidRPr="003B7DA2">
        <w:rPr>
          <w:rFonts w:ascii="Calibri" w:hAnsi="Calibri"/>
          <w:snapToGrid w:val="0"/>
          <w:sz w:val="22"/>
          <w:szCs w:val="22"/>
          <w:lang w:eastAsia="en-US"/>
        </w:rPr>
        <w:t>miatt fixingkor fizetett, vagy bevételezett kamatkülönbözet összegét kell a fizetés iránya szerinti táblában, országonként összesítve szerepeltetni.</w:t>
      </w:r>
    </w:p>
    <w:p w:rsidR="0092684C" w:rsidRPr="003B7DA2" w:rsidRDefault="0092684C">
      <w:pPr>
        <w:jc w:val="both"/>
        <w:rPr>
          <w:rFonts w:ascii="Calibri" w:hAnsi="Calibri" w:cs="Garamond"/>
          <w:i/>
          <w:sz w:val="22"/>
          <w:szCs w:val="22"/>
        </w:rPr>
      </w:pPr>
    </w:p>
    <w:p w:rsidR="0092684C" w:rsidRPr="003B7DA2" w:rsidRDefault="0092684C">
      <w:pPr>
        <w:pStyle w:val="BodyText"/>
        <w:rPr>
          <w:rFonts w:ascii="Calibri" w:hAnsi="Calibri"/>
          <w:b/>
          <w:snapToGrid w:val="0"/>
          <w:sz w:val="22"/>
          <w:szCs w:val="22"/>
          <w:u w:val="single"/>
          <w:lang w:eastAsia="en-US"/>
        </w:rPr>
      </w:pPr>
      <w:r w:rsidRPr="003B7DA2">
        <w:rPr>
          <w:rFonts w:ascii="Calibri" w:hAnsi="Calibri"/>
          <w:b/>
          <w:snapToGrid w:val="0"/>
          <w:sz w:val="22"/>
          <w:szCs w:val="22"/>
          <w:u w:val="single"/>
          <w:lang w:eastAsia="en-US"/>
        </w:rPr>
        <w:t xml:space="preserve">Példa egy egyszerűsített FRA ügyletre: </w:t>
      </w:r>
    </w:p>
    <w:p w:rsidR="0092684C" w:rsidRPr="003B7DA2" w:rsidRDefault="0092684C">
      <w:pPr>
        <w:pStyle w:val="BodyText"/>
        <w:rPr>
          <w:rFonts w:ascii="Calibri" w:hAnsi="Calibri"/>
          <w:snapToGrid w:val="0"/>
          <w:sz w:val="22"/>
          <w:szCs w:val="22"/>
          <w:lang w:eastAsia="en-US"/>
        </w:rPr>
      </w:pPr>
      <w:r w:rsidRPr="003B7DA2">
        <w:rPr>
          <w:rFonts w:ascii="Calibri" w:hAnsi="Calibri"/>
          <w:snapToGrid w:val="0"/>
          <w:sz w:val="22"/>
          <w:szCs w:val="22"/>
          <w:lang w:eastAsia="en-US"/>
        </w:rPr>
        <w:t>A rezidens adatszolgáltató cég 2006. január 10-én megállapodást köt nem rezidens német partnerével</w:t>
      </w:r>
      <w:r w:rsidR="0058577D" w:rsidRPr="003B7DA2">
        <w:rPr>
          <w:rFonts w:ascii="Calibri" w:hAnsi="Calibri"/>
          <w:snapToGrid w:val="0"/>
          <w:sz w:val="22"/>
          <w:szCs w:val="22"/>
          <w:lang w:eastAsia="en-US"/>
        </w:rPr>
        <w:t>,</w:t>
      </w:r>
      <w:r w:rsidRPr="003B7DA2">
        <w:rPr>
          <w:rFonts w:ascii="Calibri" w:hAnsi="Calibri"/>
          <w:snapToGrid w:val="0"/>
          <w:sz w:val="22"/>
          <w:szCs w:val="22"/>
          <w:lang w:eastAsia="en-US"/>
        </w:rPr>
        <w:t xml:space="preserve"> 1 millió EUR </w:t>
      </w:r>
      <w:r w:rsidR="00F17625" w:rsidRPr="003B7DA2">
        <w:rPr>
          <w:rFonts w:ascii="Calibri" w:hAnsi="Calibri"/>
          <w:snapToGrid w:val="0"/>
          <w:sz w:val="22"/>
          <w:szCs w:val="22"/>
          <w:lang w:eastAsia="en-US"/>
        </w:rPr>
        <w:t>névleges</w:t>
      </w:r>
      <w:r w:rsidRPr="003B7DA2">
        <w:rPr>
          <w:rFonts w:ascii="Calibri" w:hAnsi="Calibri"/>
          <w:snapToGrid w:val="0"/>
          <w:sz w:val="22"/>
          <w:szCs w:val="22"/>
          <w:lang w:eastAsia="en-US"/>
        </w:rPr>
        <w:t xml:space="preserve"> tőkeösszeg után 5 hónap</w:t>
      </w:r>
      <w:r w:rsidR="0058577D" w:rsidRPr="003B7DA2">
        <w:rPr>
          <w:rFonts w:ascii="Calibri" w:hAnsi="Calibri"/>
          <w:snapToGrid w:val="0"/>
          <w:sz w:val="22"/>
          <w:szCs w:val="22"/>
          <w:lang w:eastAsia="en-US"/>
        </w:rPr>
        <w:t xml:space="preserve"> múlva</w:t>
      </w:r>
      <w:r w:rsidRPr="003B7DA2">
        <w:rPr>
          <w:rFonts w:ascii="Calibri" w:hAnsi="Calibri"/>
          <w:snapToGrid w:val="0"/>
          <w:sz w:val="22"/>
          <w:szCs w:val="22"/>
          <w:lang w:eastAsia="en-US"/>
        </w:rPr>
        <w:t xml:space="preserve"> </w:t>
      </w:r>
      <w:r w:rsidR="0058577D" w:rsidRPr="003B7DA2">
        <w:rPr>
          <w:rFonts w:ascii="Calibri" w:hAnsi="Calibri"/>
          <w:snapToGrid w:val="0"/>
          <w:sz w:val="22"/>
          <w:szCs w:val="22"/>
          <w:lang w:eastAsia="en-US"/>
        </w:rPr>
        <w:t>adott piacon meghirdetett 3 havi betéti kamatlábra, a szerződésben ezt a kamatlábat 3</w:t>
      </w:r>
      <w:r w:rsidRPr="003B7DA2">
        <w:rPr>
          <w:rFonts w:ascii="Calibri" w:hAnsi="Calibri"/>
          <w:snapToGrid w:val="0"/>
          <w:sz w:val="22"/>
          <w:szCs w:val="22"/>
          <w:lang w:eastAsia="en-US"/>
        </w:rPr>
        <w:t xml:space="preserve"> %</w:t>
      </w:r>
      <w:r w:rsidR="0058577D" w:rsidRPr="003B7DA2">
        <w:rPr>
          <w:rFonts w:ascii="Calibri" w:hAnsi="Calibri"/>
          <w:snapToGrid w:val="0"/>
          <w:sz w:val="22"/>
          <w:szCs w:val="22"/>
          <w:lang w:eastAsia="en-US"/>
        </w:rPr>
        <w:t>-ban állapítják meg.</w:t>
      </w:r>
      <w:r w:rsidRPr="003B7DA2">
        <w:rPr>
          <w:rFonts w:ascii="Calibri" w:hAnsi="Calibri"/>
          <w:snapToGrid w:val="0"/>
          <w:sz w:val="22"/>
          <w:szCs w:val="22"/>
          <w:lang w:eastAsia="en-US"/>
        </w:rPr>
        <w:t xml:space="preserve"> </w:t>
      </w:r>
      <w:r w:rsidR="004C73FB" w:rsidRPr="003B7DA2">
        <w:rPr>
          <w:rFonts w:ascii="Calibri" w:hAnsi="Calibri"/>
          <w:snapToGrid w:val="0"/>
          <w:sz w:val="22"/>
          <w:szCs w:val="22"/>
          <w:lang w:eastAsia="en-US"/>
        </w:rPr>
        <w:t>(</w:t>
      </w:r>
      <w:r w:rsidR="0052559A" w:rsidRPr="003B7DA2">
        <w:rPr>
          <w:rFonts w:ascii="Calibri" w:hAnsi="Calibri"/>
          <w:snapToGrid w:val="0"/>
          <w:sz w:val="22"/>
          <w:szCs w:val="22"/>
          <w:lang w:eastAsia="en-US"/>
        </w:rPr>
        <w:t>A német féllel abban állapodnak meg, hogy</w:t>
      </w:r>
      <w:r w:rsidR="004C73FB" w:rsidRPr="003B7DA2">
        <w:rPr>
          <w:rFonts w:ascii="Calibri" w:hAnsi="Calibri"/>
          <w:snapToGrid w:val="0"/>
          <w:sz w:val="22"/>
          <w:szCs w:val="22"/>
          <w:lang w:eastAsia="en-US"/>
        </w:rPr>
        <w:t xml:space="preserve"> a fixing időpontjában meghirdetett piaci kamatlábbal számolt kamatösszeg</w:t>
      </w:r>
      <w:r w:rsidR="0052559A" w:rsidRPr="003B7DA2">
        <w:rPr>
          <w:rFonts w:ascii="Calibri" w:hAnsi="Calibri"/>
          <w:snapToGrid w:val="0"/>
          <w:sz w:val="22"/>
          <w:szCs w:val="22"/>
          <w:lang w:eastAsia="en-US"/>
        </w:rPr>
        <w:t xml:space="preserve"> és ezen, szerződéses kamatösszeg különbözetét fogják rendezni aszerint, hogy az végül is nyereséget, vagy veszteséget okoz-e. Ha a piaci kamat tehát magasabb, akkor veszteség éri a rezidens felet, át kell utalnia a különbözetet, ha alacsonyabb, akkor nyeresége van, a német féltől megkapja a különbözetet.</w:t>
      </w:r>
      <w:r w:rsidR="004C73FB" w:rsidRPr="003B7DA2">
        <w:rPr>
          <w:rFonts w:ascii="Calibri" w:hAnsi="Calibri"/>
          <w:snapToGrid w:val="0"/>
          <w:sz w:val="22"/>
          <w:szCs w:val="22"/>
          <w:lang w:eastAsia="en-US"/>
        </w:rPr>
        <w:t>)</w:t>
      </w:r>
    </w:p>
    <w:p w:rsidR="0092684C" w:rsidRPr="003B7DA2" w:rsidRDefault="0092684C">
      <w:pPr>
        <w:pStyle w:val="BodyText"/>
        <w:rPr>
          <w:rFonts w:ascii="Calibri" w:hAnsi="Calibri"/>
          <w:snapToGrid w:val="0"/>
          <w:sz w:val="22"/>
          <w:szCs w:val="22"/>
          <w:lang w:eastAsia="en-US"/>
        </w:rPr>
      </w:pPr>
      <w:r w:rsidRPr="003B7DA2">
        <w:rPr>
          <w:rFonts w:ascii="Calibri" w:hAnsi="Calibri"/>
          <w:snapToGrid w:val="0"/>
          <w:sz w:val="22"/>
          <w:szCs w:val="22"/>
          <w:lang w:eastAsia="en-US"/>
        </w:rPr>
        <w:t>Az irányadó (a megállapodásban megjelölt) piacon 5 hónappal később (fixing) a 3 hónapos betét kamatláb</w:t>
      </w:r>
      <w:r w:rsidR="0058577D" w:rsidRPr="003B7DA2">
        <w:rPr>
          <w:rFonts w:ascii="Calibri" w:hAnsi="Calibri"/>
          <w:snapToGrid w:val="0"/>
          <w:sz w:val="22"/>
          <w:szCs w:val="22"/>
          <w:lang w:eastAsia="en-US"/>
        </w:rPr>
        <w:t>a</w:t>
      </w:r>
      <w:r w:rsidRPr="003B7DA2">
        <w:rPr>
          <w:rFonts w:ascii="Calibri" w:hAnsi="Calibri"/>
          <w:snapToGrid w:val="0"/>
          <w:sz w:val="22"/>
          <w:szCs w:val="22"/>
          <w:lang w:eastAsia="en-US"/>
        </w:rPr>
        <w:t xml:space="preserve"> 4 %-</w:t>
      </w:r>
      <w:r w:rsidR="0058577D" w:rsidRPr="003B7DA2">
        <w:rPr>
          <w:rFonts w:ascii="Calibri" w:hAnsi="Calibri"/>
          <w:snapToGrid w:val="0"/>
          <w:sz w:val="22"/>
          <w:szCs w:val="22"/>
          <w:lang w:eastAsia="en-US"/>
        </w:rPr>
        <w:t>ban kerül meghirdetésre.</w:t>
      </w:r>
      <w:r w:rsidRPr="003B7DA2">
        <w:rPr>
          <w:rFonts w:ascii="Calibri" w:hAnsi="Calibri"/>
          <w:snapToGrid w:val="0"/>
          <w:sz w:val="22"/>
          <w:szCs w:val="22"/>
          <w:lang w:eastAsia="en-US"/>
        </w:rPr>
        <w:t xml:space="preserve">  </w:t>
      </w:r>
    </w:p>
    <w:p w:rsidR="0092684C" w:rsidRPr="003B7DA2" w:rsidRDefault="0092684C">
      <w:pPr>
        <w:pStyle w:val="BodyText"/>
        <w:rPr>
          <w:rFonts w:ascii="Calibri" w:hAnsi="Calibri"/>
          <w:snapToGrid w:val="0"/>
          <w:sz w:val="22"/>
          <w:szCs w:val="22"/>
          <w:lang w:eastAsia="en-US"/>
        </w:rPr>
      </w:pPr>
      <w:r w:rsidRPr="003B7DA2">
        <w:rPr>
          <w:rFonts w:ascii="Calibri" w:hAnsi="Calibri"/>
          <w:snapToGrid w:val="0"/>
          <w:sz w:val="22"/>
          <w:szCs w:val="22"/>
          <w:lang w:eastAsia="en-US"/>
        </w:rPr>
        <w:t>A rezidens adatszolgáltató a szerződés megkötésétől kezdve minden jelentési időszak végén kiértékeli az ügyletet, megállapítja, hogy az akkor érvényes kamatlábak szerint az ügylet a szerződés szerinti kamatlábhoz viszonyítva nyereséges, vagy veszteséges-e, s az így kapott értéket tünteti fel a megfelelő tábla záró pozíciós mezőjében. (I., II., III., IV., V. hónap: + 1 millió forint, - 1 millió Ft, + 2 millió Ft, + 1 millió Ft, - 1 millió Ft, a forintra történt átszámítás után). Az átértékelések, a másik táblába történő „átvezetések” a korábban ismertetett módszerrel történhetnek.</w:t>
      </w:r>
    </w:p>
    <w:p w:rsidR="0092684C" w:rsidRPr="003B7DA2" w:rsidRDefault="0092684C">
      <w:pPr>
        <w:pStyle w:val="BodyText"/>
        <w:rPr>
          <w:rFonts w:ascii="Calibri" w:hAnsi="Calibri"/>
          <w:snapToGrid w:val="0"/>
          <w:sz w:val="22"/>
          <w:szCs w:val="22"/>
          <w:lang w:eastAsia="en-US"/>
        </w:rPr>
      </w:pPr>
      <w:r w:rsidRPr="003B7DA2">
        <w:rPr>
          <w:rFonts w:ascii="Calibri" w:hAnsi="Calibri"/>
          <w:snapToGrid w:val="0"/>
          <w:sz w:val="22"/>
          <w:szCs w:val="22"/>
          <w:lang w:eastAsia="en-US"/>
        </w:rPr>
        <w:t>Fixingkor kiderült, hogy a rezidens fél számára az ügylet veszteséges volt, mivel 4 %-os kamatláb he</w:t>
      </w:r>
      <w:r w:rsidR="004C73FB" w:rsidRPr="003B7DA2">
        <w:rPr>
          <w:rFonts w:ascii="Calibri" w:hAnsi="Calibri"/>
          <w:snapToGrid w:val="0"/>
          <w:sz w:val="22"/>
          <w:szCs w:val="22"/>
          <w:lang w:eastAsia="en-US"/>
        </w:rPr>
        <w:t xml:space="preserve">lyett csupán 3 %-os kamatlábat tud realizálni a szerződés szerint. </w:t>
      </w:r>
      <w:r w:rsidRPr="003B7DA2">
        <w:rPr>
          <w:rFonts w:ascii="Calibri" w:hAnsi="Calibri"/>
          <w:snapToGrid w:val="0"/>
          <w:sz w:val="22"/>
          <w:szCs w:val="22"/>
          <w:lang w:eastAsia="en-US"/>
        </w:rPr>
        <w:t xml:space="preserve">A veszteség kiszámítása után ezt az összeget kénytelen átutalni. A veszteség összege a forintra történő átszámítás után 600 ezer Ft-ot tesz ki. Ezt tehát a Tartozások táblában kiadásként kell feltüntetni. </w:t>
      </w:r>
    </w:p>
    <w:p w:rsidR="0092684C" w:rsidRPr="003B7DA2" w:rsidRDefault="0092684C">
      <w:pPr>
        <w:pStyle w:val="BodyText"/>
        <w:rPr>
          <w:rFonts w:ascii="Calibri" w:hAnsi="Calibri"/>
          <w:b/>
          <w:bCs/>
          <w:sz w:val="22"/>
          <w:szCs w:val="22"/>
          <w:u w:val="single"/>
        </w:rPr>
      </w:pPr>
    </w:p>
    <w:p w:rsidR="0092684C" w:rsidRPr="003B7DA2" w:rsidRDefault="00583402">
      <w:pPr>
        <w:pStyle w:val="BodyText"/>
        <w:rPr>
          <w:rFonts w:ascii="Calibri" w:hAnsi="Calibri"/>
          <w:b/>
          <w:bCs/>
          <w:sz w:val="22"/>
          <w:szCs w:val="22"/>
          <w:u w:val="single"/>
        </w:rPr>
      </w:pPr>
      <w:r w:rsidRPr="003B7DA2">
        <w:rPr>
          <w:rFonts w:ascii="Calibri" w:hAnsi="Calibri"/>
          <w:b/>
          <w:bCs/>
          <w:sz w:val="22"/>
          <w:szCs w:val="22"/>
          <w:u w:val="single"/>
        </w:rPr>
        <w:t>DERK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913"/>
        <w:gridCol w:w="797"/>
        <w:gridCol w:w="1080"/>
        <w:gridCol w:w="1080"/>
        <w:gridCol w:w="1080"/>
        <w:gridCol w:w="1195"/>
        <w:gridCol w:w="785"/>
        <w:gridCol w:w="1149"/>
      </w:tblGrid>
      <w:tr w:rsidR="0092684C" w:rsidRPr="003B7DA2" w:rsidTr="00D45209">
        <w:tc>
          <w:tcPr>
            <w:tcW w:w="918" w:type="dxa"/>
            <w:vMerge w:val="restart"/>
          </w:tcPr>
          <w:p w:rsidR="0092684C" w:rsidRPr="003B7DA2" w:rsidRDefault="0092684C" w:rsidP="00D45209">
            <w:pPr>
              <w:jc w:val="center"/>
              <w:rPr>
                <w:rFonts w:ascii="Calibri" w:hAnsi="Calibri"/>
                <w:bCs/>
                <w:sz w:val="22"/>
                <w:szCs w:val="22"/>
              </w:rPr>
            </w:pPr>
            <w:r w:rsidRPr="003B7DA2">
              <w:rPr>
                <w:rFonts w:ascii="Calibri" w:hAnsi="Calibri" w:cs="Arial"/>
                <w:sz w:val="22"/>
                <w:szCs w:val="22"/>
              </w:rPr>
              <w:t>Időszak</w:t>
            </w:r>
          </w:p>
        </w:tc>
        <w:tc>
          <w:tcPr>
            <w:tcW w:w="913" w:type="dxa"/>
            <w:vMerge w:val="restart"/>
          </w:tcPr>
          <w:p w:rsidR="0092684C" w:rsidRPr="003B7DA2" w:rsidRDefault="0092684C">
            <w:pPr>
              <w:pStyle w:val="BodyText"/>
              <w:rPr>
                <w:rFonts w:ascii="Calibri" w:hAnsi="Calibri"/>
                <w:b/>
                <w:bCs/>
                <w:sz w:val="22"/>
                <w:szCs w:val="22"/>
                <w:u w:val="single"/>
              </w:rPr>
            </w:pPr>
            <w:r w:rsidRPr="003B7DA2">
              <w:rPr>
                <w:rFonts w:ascii="Calibri" w:hAnsi="Calibri" w:cs="Arial"/>
                <w:sz w:val="22"/>
                <w:szCs w:val="22"/>
              </w:rPr>
              <w:t>Az ügylet típusa</w:t>
            </w:r>
          </w:p>
        </w:tc>
        <w:tc>
          <w:tcPr>
            <w:tcW w:w="797" w:type="dxa"/>
            <w:vMerge w:val="restart"/>
          </w:tcPr>
          <w:p w:rsidR="0092684C" w:rsidRPr="003B7DA2" w:rsidRDefault="0092684C">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1080" w:type="dxa"/>
            <w:vMerge w:val="restart"/>
          </w:tcPr>
          <w:p w:rsidR="0092684C" w:rsidRPr="003B7DA2" w:rsidRDefault="0092684C">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160" w:type="dxa"/>
            <w:gridSpan w:val="2"/>
          </w:tcPr>
          <w:p w:rsidR="0092684C" w:rsidRPr="003B7DA2" w:rsidRDefault="0092684C"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195" w:type="dxa"/>
            <w:vMerge w:val="restart"/>
          </w:tcPr>
          <w:p w:rsidR="0092684C" w:rsidRPr="003B7DA2" w:rsidRDefault="0092684C" w:rsidP="00D45209">
            <w:pPr>
              <w:jc w:val="center"/>
              <w:rPr>
                <w:rFonts w:ascii="Calibri" w:hAnsi="Calibri" w:cs="Arial"/>
                <w:sz w:val="22"/>
                <w:szCs w:val="22"/>
              </w:rPr>
            </w:pPr>
            <w:r w:rsidRPr="003B7DA2">
              <w:rPr>
                <w:rFonts w:ascii="Calibri" w:hAnsi="Calibri" w:cs="Arial"/>
                <w:sz w:val="22"/>
                <w:szCs w:val="22"/>
              </w:rPr>
              <w:t>Átértékelés</w:t>
            </w:r>
          </w:p>
        </w:tc>
        <w:tc>
          <w:tcPr>
            <w:tcW w:w="785" w:type="dxa"/>
            <w:vMerge w:val="restart"/>
            <w:vAlign w:val="center"/>
          </w:tcPr>
          <w:p w:rsidR="0092684C" w:rsidRPr="003B7DA2" w:rsidRDefault="0092684C" w:rsidP="00D45209">
            <w:pPr>
              <w:jc w:val="center"/>
              <w:rPr>
                <w:rFonts w:ascii="Calibri" w:hAnsi="Calibri" w:cs="Arial"/>
                <w:sz w:val="22"/>
                <w:szCs w:val="22"/>
              </w:rPr>
            </w:pPr>
            <w:r w:rsidRPr="003B7DA2">
              <w:rPr>
                <w:rFonts w:ascii="Calibri" w:hAnsi="Calibri" w:cs="Arial"/>
                <w:sz w:val="22"/>
                <w:szCs w:val="22"/>
              </w:rPr>
              <w:t>Egyéb változások</w:t>
            </w:r>
          </w:p>
        </w:tc>
        <w:tc>
          <w:tcPr>
            <w:tcW w:w="1149" w:type="dxa"/>
            <w:vMerge w:val="restart"/>
            <w:vAlign w:val="center"/>
          </w:tcPr>
          <w:p w:rsidR="0092684C" w:rsidRPr="003B7DA2" w:rsidRDefault="0092684C"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92684C" w:rsidRPr="003B7DA2" w:rsidTr="00D45209">
        <w:tc>
          <w:tcPr>
            <w:tcW w:w="918" w:type="dxa"/>
            <w:vMerge/>
          </w:tcPr>
          <w:p w:rsidR="0092684C" w:rsidRPr="003B7DA2" w:rsidRDefault="0092684C">
            <w:pPr>
              <w:pStyle w:val="BodyText"/>
              <w:rPr>
                <w:rFonts w:ascii="Calibri" w:hAnsi="Calibri"/>
                <w:b/>
                <w:bCs/>
                <w:sz w:val="22"/>
                <w:szCs w:val="22"/>
                <w:u w:val="single"/>
              </w:rPr>
            </w:pPr>
          </w:p>
        </w:tc>
        <w:tc>
          <w:tcPr>
            <w:tcW w:w="913" w:type="dxa"/>
            <w:vMerge/>
          </w:tcPr>
          <w:p w:rsidR="0092684C" w:rsidRPr="003B7DA2" w:rsidRDefault="0092684C">
            <w:pPr>
              <w:pStyle w:val="BodyText"/>
              <w:rPr>
                <w:rFonts w:ascii="Calibri" w:hAnsi="Calibri"/>
                <w:b/>
                <w:bCs/>
                <w:sz w:val="22"/>
                <w:szCs w:val="22"/>
                <w:u w:val="single"/>
              </w:rPr>
            </w:pPr>
          </w:p>
        </w:tc>
        <w:tc>
          <w:tcPr>
            <w:tcW w:w="797" w:type="dxa"/>
            <w:vMerge/>
          </w:tcPr>
          <w:p w:rsidR="0092684C" w:rsidRPr="003B7DA2" w:rsidRDefault="0092684C">
            <w:pPr>
              <w:pStyle w:val="BodyText"/>
              <w:rPr>
                <w:rFonts w:ascii="Calibri" w:hAnsi="Calibri"/>
                <w:b/>
                <w:bCs/>
                <w:sz w:val="22"/>
                <w:szCs w:val="22"/>
                <w:u w:val="single"/>
              </w:rPr>
            </w:pPr>
          </w:p>
        </w:tc>
        <w:tc>
          <w:tcPr>
            <w:tcW w:w="1080" w:type="dxa"/>
            <w:vMerge/>
          </w:tcPr>
          <w:p w:rsidR="0092684C" w:rsidRPr="003B7DA2" w:rsidRDefault="0092684C">
            <w:pPr>
              <w:pStyle w:val="BodyText"/>
              <w:rPr>
                <w:rFonts w:ascii="Calibri" w:hAnsi="Calibri"/>
                <w:b/>
                <w:bCs/>
                <w:sz w:val="22"/>
                <w:szCs w:val="22"/>
                <w:u w:val="single"/>
              </w:rPr>
            </w:pPr>
          </w:p>
        </w:tc>
        <w:tc>
          <w:tcPr>
            <w:tcW w:w="1080" w:type="dxa"/>
          </w:tcPr>
          <w:p w:rsidR="0092684C" w:rsidRPr="003B7DA2" w:rsidRDefault="0092684C" w:rsidP="00D45209">
            <w:pPr>
              <w:pStyle w:val="BodyText"/>
              <w:jc w:val="center"/>
              <w:rPr>
                <w:rFonts w:ascii="Calibri" w:hAnsi="Calibri" w:cs="Arial"/>
                <w:sz w:val="22"/>
                <w:szCs w:val="22"/>
              </w:rPr>
            </w:pPr>
            <w:r w:rsidRPr="003B7DA2">
              <w:rPr>
                <w:rFonts w:ascii="Calibri" w:hAnsi="Calibri" w:cs="Arial"/>
                <w:sz w:val="22"/>
                <w:szCs w:val="22"/>
              </w:rPr>
              <w:t>Állományt növelő</w:t>
            </w:r>
          </w:p>
          <w:p w:rsidR="0092684C" w:rsidRPr="003B7DA2" w:rsidRDefault="0092684C">
            <w:pPr>
              <w:pStyle w:val="BodyText"/>
              <w:rPr>
                <w:rFonts w:ascii="Calibri" w:hAnsi="Calibri" w:cs="Arial"/>
                <w:sz w:val="22"/>
                <w:szCs w:val="22"/>
              </w:rPr>
            </w:pPr>
            <w:r w:rsidRPr="003B7DA2">
              <w:rPr>
                <w:rFonts w:ascii="Calibri" w:hAnsi="Calibri" w:cs="Arial"/>
                <w:sz w:val="22"/>
                <w:szCs w:val="22"/>
              </w:rPr>
              <w:t>(Kiadás)</w:t>
            </w:r>
          </w:p>
        </w:tc>
        <w:tc>
          <w:tcPr>
            <w:tcW w:w="1080" w:type="dxa"/>
          </w:tcPr>
          <w:p w:rsidR="0092684C" w:rsidRPr="003B7DA2" w:rsidRDefault="0092684C" w:rsidP="00D45209">
            <w:pPr>
              <w:pStyle w:val="BodyText"/>
              <w:jc w:val="center"/>
              <w:rPr>
                <w:rFonts w:ascii="Calibri" w:hAnsi="Calibri" w:cs="Arial"/>
                <w:sz w:val="22"/>
                <w:szCs w:val="22"/>
              </w:rPr>
            </w:pPr>
            <w:r w:rsidRPr="003B7DA2">
              <w:rPr>
                <w:rFonts w:ascii="Calibri" w:hAnsi="Calibri" w:cs="Arial"/>
                <w:sz w:val="22"/>
                <w:szCs w:val="22"/>
              </w:rPr>
              <w:t>Állományt csökkentő</w:t>
            </w:r>
          </w:p>
          <w:p w:rsidR="0092684C" w:rsidRPr="003B7DA2" w:rsidRDefault="0092684C" w:rsidP="00D45209">
            <w:pPr>
              <w:pStyle w:val="BodyText"/>
              <w:jc w:val="center"/>
              <w:rPr>
                <w:rFonts w:ascii="Calibri" w:hAnsi="Calibri" w:cs="Arial"/>
                <w:sz w:val="22"/>
                <w:szCs w:val="22"/>
              </w:rPr>
            </w:pPr>
            <w:r w:rsidRPr="003B7DA2">
              <w:rPr>
                <w:rFonts w:ascii="Calibri" w:hAnsi="Calibri" w:cs="Arial"/>
                <w:sz w:val="22"/>
                <w:szCs w:val="22"/>
              </w:rPr>
              <w:t>(Bevétel)</w:t>
            </w:r>
          </w:p>
        </w:tc>
        <w:tc>
          <w:tcPr>
            <w:tcW w:w="1195" w:type="dxa"/>
            <w:vMerge/>
          </w:tcPr>
          <w:p w:rsidR="0092684C" w:rsidRPr="003B7DA2" w:rsidRDefault="0092684C">
            <w:pPr>
              <w:pStyle w:val="BodyText"/>
              <w:rPr>
                <w:rFonts w:ascii="Calibri" w:hAnsi="Calibri" w:cs="Arial"/>
                <w:sz w:val="22"/>
                <w:szCs w:val="22"/>
              </w:rPr>
            </w:pPr>
          </w:p>
        </w:tc>
        <w:tc>
          <w:tcPr>
            <w:tcW w:w="785" w:type="dxa"/>
            <w:vMerge/>
          </w:tcPr>
          <w:p w:rsidR="0092684C" w:rsidRPr="003B7DA2" w:rsidRDefault="0092684C">
            <w:pPr>
              <w:pStyle w:val="BodyText"/>
              <w:rPr>
                <w:rFonts w:ascii="Calibri" w:hAnsi="Calibri" w:cs="Arial"/>
                <w:sz w:val="22"/>
                <w:szCs w:val="22"/>
              </w:rPr>
            </w:pPr>
          </w:p>
        </w:tc>
        <w:tc>
          <w:tcPr>
            <w:tcW w:w="1149" w:type="dxa"/>
            <w:vMerge/>
          </w:tcPr>
          <w:p w:rsidR="0092684C" w:rsidRPr="003B7DA2" w:rsidRDefault="0092684C">
            <w:pPr>
              <w:pStyle w:val="BodyText"/>
              <w:rPr>
                <w:rFonts w:ascii="Calibri" w:hAnsi="Calibri" w:cs="Arial"/>
                <w:sz w:val="22"/>
                <w:szCs w:val="22"/>
              </w:rPr>
            </w:pPr>
          </w:p>
        </w:tc>
      </w:tr>
      <w:tr w:rsidR="0092684C" w:rsidRPr="003B7DA2" w:rsidTr="00D45209">
        <w:tc>
          <w:tcPr>
            <w:tcW w:w="918" w:type="dxa"/>
          </w:tcPr>
          <w:p w:rsidR="0092684C" w:rsidRPr="003B7DA2" w:rsidRDefault="0092684C" w:rsidP="00D45209">
            <w:pPr>
              <w:jc w:val="center"/>
              <w:rPr>
                <w:rFonts w:ascii="Calibri" w:hAnsi="Calibri"/>
                <w:b/>
                <w:bCs/>
                <w:sz w:val="22"/>
                <w:szCs w:val="22"/>
                <w:u w:val="single"/>
              </w:rPr>
            </w:pPr>
            <w:r w:rsidRPr="003B7DA2">
              <w:rPr>
                <w:rFonts w:ascii="Calibri" w:hAnsi="Calibri" w:cs="Arial"/>
                <w:sz w:val="22"/>
                <w:szCs w:val="22"/>
              </w:rPr>
              <w:t>Január</w:t>
            </w:r>
          </w:p>
        </w:tc>
        <w:tc>
          <w:tcPr>
            <w:tcW w:w="913" w:type="dxa"/>
          </w:tcPr>
          <w:p w:rsidR="0092684C" w:rsidRPr="003B7DA2" w:rsidRDefault="00B65BA2">
            <w:pPr>
              <w:pStyle w:val="BodyText"/>
              <w:rPr>
                <w:rFonts w:ascii="Calibri" w:hAnsi="Calibri" w:cs="Arial"/>
                <w:sz w:val="22"/>
                <w:szCs w:val="22"/>
              </w:rPr>
            </w:pPr>
            <w:r w:rsidRPr="003B7DA2">
              <w:rPr>
                <w:rFonts w:ascii="Calibri" w:hAnsi="Calibri" w:cs="Arial"/>
                <w:sz w:val="22"/>
                <w:szCs w:val="22"/>
              </w:rPr>
              <w:t>EG</w:t>
            </w:r>
          </w:p>
        </w:tc>
        <w:tc>
          <w:tcPr>
            <w:tcW w:w="797" w:type="dxa"/>
          </w:tcPr>
          <w:p w:rsidR="0092684C" w:rsidRPr="003B7DA2" w:rsidRDefault="0092684C">
            <w:pPr>
              <w:pStyle w:val="BodyText"/>
              <w:rPr>
                <w:rFonts w:ascii="Calibri" w:hAnsi="Calibri"/>
                <w:bCs/>
                <w:sz w:val="22"/>
                <w:szCs w:val="22"/>
              </w:rPr>
            </w:pPr>
            <w:r w:rsidRPr="003B7DA2">
              <w:rPr>
                <w:rFonts w:ascii="Calibri" w:hAnsi="Calibri" w:cs="Arial"/>
                <w:sz w:val="22"/>
                <w:szCs w:val="22"/>
              </w:rPr>
              <w:t>DE</w:t>
            </w:r>
          </w:p>
        </w:tc>
        <w:tc>
          <w:tcPr>
            <w:tcW w:w="1080"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195" w:type="dxa"/>
          </w:tcPr>
          <w:p w:rsidR="0092684C" w:rsidRPr="003B7DA2" w:rsidRDefault="0092684C" w:rsidP="00D45209">
            <w:pPr>
              <w:pStyle w:val="BodyText"/>
              <w:jc w:val="center"/>
              <w:rPr>
                <w:rFonts w:ascii="Calibri" w:hAnsi="Calibri" w:cs="Arial"/>
                <w:sz w:val="22"/>
                <w:szCs w:val="22"/>
              </w:rPr>
            </w:pPr>
            <w:r w:rsidRPr="003B7DA2">
              <w:rPr>
                <w:rFonts w:ascii="Calibri" w:hAnsi="Calibri"/>
                <w:bCs/>
                <w:sz w:val="22"/>
                <w:szCs w:val="22"/>
              </w:rPr>
              <w:t>1</w:t>
            </w:r>
            <w:r w:rsidR="005F1451" w:rsidRPr="003B7DA2">
              <w:rPr>
                <w:rFonts w:ascii="Calibri" w:hAnsi="Calibri"/>
                <w:bCs/>
                <w:sz w:val="22"/>
                <w:szCs w:val="22"/>
              </w:rPr>
              <w:t xml:space="preserve"> </w:t>
            </w:r>
            <w:r w:rsidRPr="003B7DA2">
              <w:rPr>
                <w:rFonts w:ascii="Calibri" w:hAnsi="Calibri"/>
                <w:bCs/>
                <w:sz w:val="22"/>
                <w:szCs w:val="22"/>
              </w:rPr>
              <w:t>000</w:t>
            </w:r>
            <w:r w:rsidR="005F1451" w:rsidRPr="003B7DA2">
              <w:rPr>
                <w:rFonts w:ascii="Calibri" w:hAnsi="Calibri"/>
                <w:bCs/>
                <w:sz w:val="22"/>
                <w:szCs w:val="22"/>
              </w:rPr>
              <w:t xml:space="preserve"> 000</w:t>
            </w:r>
          </w:p>
        </w:tc>
        <w:tc>
          <w:tcPr>
            <w:tcW w:w="785"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c>
          <w:tcPr>
            <w:tcW w:w="1149" w:type="dxa"/>
          </w:tcPr>
          <w:p w:rsidR="0092684C" w:rsidRPr="003B7DA2" w:rsidRDefault="0092684C">
            <w:pPr>
              <w:pStyle w:val="BodyText"/>
              <w:rPr>
                <w:rFonts w:ascii="Calibri" w:hAnsi="Calibri"/>
                <w:bCs/>
                <w:sz w:val="22"/>
                <w:szCs w:val="22"/>
              </w:rPr>
            </w:pPr>
            <w:r w:rsidRPr="003B7DA2">
              <w:rPr>
                <w:rFonts w:ascii="Calibri" w:hAnsi="Calibri"/>
                <w:bCs/>
                <w:sz w:val="22"/>
                <w:szCs w:val="22"/>
              </w:rPr>
              <w:t>1</w:t>
            </w:r>
            <w:r w:rsidR="005F1451" w:rsidRPr="003B7DA2">
              <w:rPr>
                <w:rFonts w:ascii="Calibri" w:hAnsi="Calibri"/>
                <w:bCs/>
                <w:sz w:val="22"/>
                <w:szCs w:val="22"/>
              </w:rPr>
              <w:t xml:space="preserve"> </w:t>
            </w:r>
            <w:r w:rsidRPr="003B7DA2">
              <w:rPr>
                <w:rFonts w:ascii="Calibri" w:hAnsi="Calibri"/>
                <w:bCs/>
                <w:sz w:val="22"/>
                <w:szCs w:val="22"/>
              </w:rPr>
              <w:t>000</w:t>
            </w:r>
            <w:r w:rsidR="005F1451" w:rsidRPr="003B7DA2">
              <w:rPr>
                <w:rFonts w:ascii="Calibri" w:hAnsi="Calibri"/>
                <w:bCs/>
                <w:sz w:val="22"/>
                <w:szCs w:val="22"/>
              </w:rPr>
              <w:t xml:space="preserve"> 000</w:t>
            </w:r>
          </w:p>
        </w:tc>
      </w:tr>
      <w:tr w:rsidR="0092684C" w:rsidRPr="003B7DA2" w:rsidTr="00D45209">
        <w:tc>
          <w:tcPr>
            <w:tcW w:w="918" w:type="dxa"/>
          </w:tcPr>
          <w:p w:rsidR="0092684C" w:rsidRPr="003B7DA2" w:rsidRDefault="0092684C" w:rsidP="00D45209">
            <w:pPr>
              <w:jc w:val="center"/>
              <w:rPr>
                <w:rFonts w:ascii="Calibri" w:hAnsi="Calibri" w:cs="Arial"/>
                <w:sz w:val="22"/>
                <w:szCs w:val="22"/>
              </w:rPr>
            </w:pPr>
            <w:r w:rsidRPr="003B7DA2">
              <w:rPr>
                <w:rFonts w:ascii="Calibri" w:hAnsi="Calibri" w:cs="Arial"/>
                <w:sz w:val="22"/>
                <w:szCs w:val="22"/>
              </w:rPr>
              <w:t>Február</w:t>
            </w:r>
          </w:p>
        </w:tc>
        <w:tc>
          <w:tcPr>
            <w:tcW w:w="913" w:type="dxa"/>
          </w:tcPr>
          <w:p w:rsidR="0092684C" w:rsidRPr="003B7DA2" w:rsidRDefault="00B65BA2">
            <w:pPr>
              <w:pStyle w:val="BodyText"/>
              <w:rPr>
                <w:rFonts w:ascii="Calibri" w:hAnsi="Calibri" w:cs="Arial"/>
                <w:sz w:val="22"/>
                <w:szCs w:val="22"/>
              </w:rPr>
            </w:pPr>
            <w:r w:rsidRPr="003B7DA2">
              <w:rPr>
                <w:rFonts w:ascii="Calibri" w:hAnsi="Calibri" w:cs="Arial"/>
                <w:sz w:val="22"/>
                <w:szCs w:val="22"/>
              </w:rPr>
              <w:t>EG</w:t>
            </w:r>
          </w:p>
        </w:tc>
        <w:tc>
          <w:tcPr>
            <w:tcW w:w="797" w:type="dxa"/>
          </w:tcPr>
          <w:p w:rsidR="0092684C" w:rsidRPr="003B7DA2" w:rsidRDefault="0092684C">
            <w:pPr>
              <w:pStyle w:val="BodyText"/>
              <w:rPr>
                <w:rFonts w:ascii="Calibri" w:hAnsi="Calibri"/>
                <w:bCs/>
                <w:sz w:val="22"/>
                <w:szCs w:val="22"/>
              </w:rPr>
            </w:pPr>
            <w:r w:rsidRPr="003B7DA2">
              <w:rPr>
                <w:rFonts w:ascii="Calibri" w:hAnsi="Calibri" w:cs="Arial"/>
                <w:sz w:val="22"/>
                <w:szCs w:val="22"/>
              </w:rPr>
              <w:t>DE</w:t>
            </w:r>
          </w:p>
        </w:tc>
        <w:tc>
          <w:tcPr>
            <w:tcW w:w="1080" w:type="dxa"/>
          </w:tcPr>
          <w:p w:rsidR="0092684C" w:rsidRPr="003B7DA2" w:rsidRDefault="0092684C">
            <w:pPr>
              <w:pStyle w:val="BodyText"/>
              <w:rPr>
                <w:rFonts w:ascii="Calibri" w:hAnsi="Calibri"/>
                <w:bCs/>
                <w:sz w:val="22"/>
                <w:szCs w:val="22"/>
              </w:rPr>
            </w:pPr>
            <w:r w:rsidRPr="003B7DA2">
              <w:rPr>
                <w:rFonts w:ascii="Calibri" w:hAnsi="Calibri"/>
                <w:bCs/>
                <w:sz w:val="22"/>
                <w:szCs w:val="22"/>
              </w:rPr>
              <w:t>1</w:t>
            </w:r>
            <w:r w:rsidR="005F1451" w:rsidRPr="003B7DA2">
              <w:rPr>
                <w:rFonts w:ascii="Calibri" w:hAnsi="Calibri"/>
                <w:bCs/>
                <w:sz w:val="22"/>
                <w:szCs w:val="22"/>
              </w:rPr>
              <w:t> </w:t>
            </w:r>
            <w:r w:rsidRPr="003B7DA2">
              <w:rPr>
                <w:rFonts w:ascii="Calibri" w:hAnsi="Calibri"/>
                <w:bCs/>
                <w:sz w:val="22"/>
                <w:szCs w:val="22"/>
              </w:rPr>
              <w:t>000</w:t>
            </w:r>
            <w:r w:rsidR="005F1451" w:rsidRPr="003B7DA2">
              <w:rPr>
                <w:rFonts w:ascii="Calibri" w:hAnsi="Calibri"/>
                <w:bCs/>
                <w:sz w:val="22"/>
                <w:szCs w:val="22"/>
              </w:rPr>
              <w:t xml:space="preserve"> 000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195" w:type="dxa"/>
          </w:tcPr>
          <w:p w:rsidR="0092684C" w:rsidRPr="003B7DA2" w:rsidRDefault="0092684C">
            <w:pPr>
              <w:pStyle w:val="BodyText"/>
              <w:rPr>
                <w:rFonts w:ascii="Calibri" w:hAnsi="Calibri"/>
                <w:bCs/>
                <w:sz w:val="22"/>
                <w:szCs w:val="22"/>
              </w:rPr>
            </w:pPr>
            <w:r w:rsidRPr="003B7DA2">
              <w:rPr>
                <w:rFonts w:ascii="Calibri" w:hAnsi="Calibri"/>
                <w:bCs/>
                <w:sz w:val="22"/>
                <w:szCs w:val="22"/>
              </w:rPr>
              <w:t>- 1</w:t>
            </w:r>
            <w:r w:rsidR="005F1451" w:rsidRPr="003B7DA2">
              <w:rPr>
                <w:rFonts w:ascii="Calibri" w:hAnsi="Calibri"/>
                <w:bCs/>
                <w:sz w:val="22"/>
                <w:szCs w:val="22"/>
              </w:rPr>
              <w:t xml:space="preserve"> </w:t>
            </w:r>
            <w:r w:rsidRPr="003B7DA2">
              <w:rPr>
                <w:rFonts w:ascii="Calibri" w:hAnsi="Calibri"/>
                <w:bCs/>
                <w:sz w:val="22"/>
                <w:szCs w:val="22"/>
              </w:rPr>
              <w:t>000</w:t>
            </w:r>
            <w:r w:rsidR="005F1451" w:rsidRPr="003B7DA2">
              <w:rPr>
                <w:rFonts w:ascii="Calibri" w:hAnsi="Calibri"/>
                <w:bCs/>
                <w:sz w:val="22"/>
                <w:szCs w:val="22"/>
              </w:rPr>
              <w:t xml:space="preserve"> 000</w:t>
            </w:r>
          </w:p>
        </w:tc>
        <w:tc>
          <w:tcPr>
            <w:tcW w:w="785"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c>
          <w:tcPr>
            <w:tcW w:w="1149"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r>
      <w:tr w:rsidR="0092684C" w:rsidRPr="003B7DA2" w:rsidTr="00D45209">
        <w:tc>
          <w:tcPr>
            <w:tcW w:w="918" w:type="dxa"/>
          </w:tcPr>
          <w:p w:rsidR="0092684C" w:rsidRPr="003B7DA2" w:rsidRDefault="0092684C" w:rsidP="00D45209">
            <w:pPr>
              <w:jc w:val="center"/>
              <w:rPr>
                <w:rFonts w:ascii="Calibri" w:hAnsi="Calibri" w:cs="Arial"/>
                <w:sz w:val="22"/>
                <w:szCs w:val="22"/>
              </w:rPr>
            </w:pPr>
            <w:r w:rsidRPr="003B7DA2">
              <w:rPr>
                <w:rFonts w:ascii="Calibri" w:hAnsi="Calibri" w:cs="Arial"/>
                <w:sz w:val="22"/>
                <w:szCs w:val="22"/>
              </w:rPr>
              <w:t xml:space="preserve">Március </w:t>
            </w:r>
          </w:p>
        </w:tc>
        <w:tc>
          <w:tcPr>
            <w:tcW w:w="913" w:type="dxa"/>
          </w:tcPr>
          <w:p w:rsidR="0092684C" w:rsidRPr="003B7DA2" w:rsidRDefault="00B65BA2">
            <w:pPr>
              <w:pStyle w:val="BodyText"/>
              <w:rPr>
                <w:rFonts w:ascii="Calibri" w:hAnsi="Calibri" w:cs="Arial"/>
                <w:sz w:val="22"/>
                <w:szCs w:val="22"/>
              </w:rPr>
            </w:pPr>
            <w:r w:rsidRPr="003B7DA2">
              <w:rPr>
                <w:rFonts w:ascii="Calibri" w:hAnsi="Calibri" w:cs="Arial"/>
                <w:sz w:val="22"/>
                <w:szCs w:val="22"/>
              </w:rPr>
              <w:t>EG</w:t>
            </w:r>
          </w:p>
        </w:tc>
        <w:tc>
          <w:tcPr>
            <w:tcW w:w="797" w:type="dxa"/>
          </w:tcPr>
          <w:p w:rsidR="0092684C" w:rsidRPr="003B7DA2" w:rsidRDefault="0092684C">
            <w:pPr>
              <w:pStyle w:val="BodyText"/>
              <w:rPr>
                <w:rFonts w:ascii="Calibri" w:hAnsi="Calibri"/>
                <w:bCs/>
                <w:sz w:val="22"/>
                <w:szCs w:val="22"/>
              </w:rPr>
            </w:pPr>
            <w:r w:rsidRPr="003B7DA2">
              <w:rPr>
                <w:rFonts w:ascii="Calibri" w:hAnsi="Calibri" w:cs="Arial"/>
                <w:sz w:val="22"/>
                <w:szCs w:val="22"/>
              </w:rPr>
              <w:t>DE</w:t>
            </w:r>
          </w:p>
        </w:tc>
        <w:tc>
          <w:tcPr>
            <w:tcW w:w="1080"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195" w:type="dxa"/>
          </w:tcPr>
          <w:p w:rsidR="0092684C" w:rsidRPr="003B7DA2" w:rsidRDefault="0092684C" w:rsidP="00D45209">
            <w:pPr>
              <w:pStyle w:val="BodyText"/>
              <w:jc w:val="center"/>
              <w:rPr>
                <w:rFonts w:ascii="Calibri" w:hAnsi="Calibri"/>
                <w:bCs/>
                <w:sz w:val="22"/>
                <w:szCs w:val="22"/>
              </w:rPr>
            </w:pPr>
            <w:r w:rsidRPr="003B7DA2">
              <w:rPr>
                <w:rFonts w:ascii="Calibri" w:hAnsi="Calibri"/>
                <w:bCs/>
                <w:sz w:val="22"/>
                <w:szCs w:val="22"/>
              </w:rPr>
              <w:t>2</w:t>
            </w:r>
            <w:r w:rsidR="005F1451" w:rsidRPr="003B7DA2">
              <w:rPr>
                <w:rFonts w:ascii="Calibri" w:hAnsi="Calibri"/>
                <w:bCs/>
                <w:sz w:val="22"/>
                <w:szCs w:val="22"/>
              </w:rPr>
              <w:t xml:space="preserve"> </w:t>
            </w:r>
            <w:r w:rsidRPr="003B7DA2">
              <w:rPr>
                <w:rFonts w:ascii="Calibri" w:hAnsi="Calibri"/>
                <w:bCs/>
                <w:sz w:val="22"/>
                <w:szCs w:val="22"/>
              </w:rPr>
              <w:t>000</w:t>
            </w:r>
            <w:r w:rsidR="005F1451" w:rsidRPr="003B7DA2">
              <w:rPr>
                <w:rFonts w:ascii="Calibri" w:hAnsi="Calibri"/>
                <w:bCs/>
                <w:sz w:val="22"/>
                <w:szCs w:val="22"/>
              </w:rPr>
              <w:t xml:space="preserve"> 000</w:t>
            </w:r>
          </w:p>
        </w:tc>
        <w:tc>
          <w:tcPr>
            <w:tcW w:w="785"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c>
          <w:tcPr>
            <w:tcW w:w="1149" w:type="dxa"/>
          </w:tcPr>
          <w:p w:rsidR="0092684C" w:rsidRPr="003B7DA2" w:rsidRDefault="0092684C">
            <w:pPr>
              <w:pStyle w:val="BodyText"/>
              <w:rPr>
                <w:rFonts w:ascii="Calibri" w:hAnsi="Calibri"/>
                <w:bCs/>
                <w:sz w:val="22"/>
                <w:szCs w:val="22"/>
              </w:rPr>
            </w:pPr>
            <w:r w:rsidRPr="003B7DA2">
              <w:rPr>
                <w:rFonts w:ascii="Calibri" w:hAnsi="Calibri"/>
                <w:bCs/>
                <w:sz w:val="22"/>
                <w:szCs w:val="22"/>
              </w:rPr>
              <w:t>2</w:t>
            </w:r>
            <w:r w:rsidR="005F1451" w:rsidRPr="003B7DA2">
              <w:rPr>
                <w:rFonts w:ascii="Calibri" w:hAnsi="Calibri"/>
                <w:bCs/>
                <w:sz w:val="22"/>
                <w:szCs w:val="22"/>
              </w:rPr>
              <w:t xml:space="preserve"> </w:t>
            </w:r>
            <w:r w:rsidRPr="003B7DA2">
              <w:rPr>
                <w:rFonts w:ascii="Calibri" w:hAnsi="Calibri"/>
                <w:bCs/>
                <w:sz w:val="22"/>
                <w:szCs w:val="22"/>
              </w:rPr>
              <w:t>000</w:t>
            </w:r>
            <w:r w:rsidR="005F1451" w:rsidRPr="003B7DA2">
              <w:rPr>
                <w:rFonts w:ascii="Calibri" w:hAnsi="Calibri"/>
                <w:bCs/>
                <w:sz w:val="22"/>
                <w:szCs w:val="22"/>
              </w:rPr>
              <w:t xml:space="preserve"> 000</w:t>
            </w:r>
          </w:p>
        </w:tc>
      </w:tr>
      <w:tr w:rsidR="0092684C" w:rsidRPr="003B7DA2" w:rsidTr="00D45209">
        <w:tc>
          <w:tcPr>
            <w:tcW w:w="918" w:type="dxa"/>
          </w:tcPr>
          <w:p w:rsidR="0092684C" w:rsidRPr="003B7DA2" w:rsidRDefault="0092684C" w:rsidP="00D45209">
            <w:pPr>
              <w:jc w:val="center"/>
              <w:rPr>
                <w:rFonts w:ascii="Calibri" w:hAnsi="Calibri" w:cs="Arial"/>
                <w:sz w:val="22"/>
                <w:szCs w:val="22"/>
              </w:rPr>
            </w:pPr>
            <w:r w:rsidRPr="003B7DA2">
              <w:rPr>
                <w:rFonts w:ascii="Calibri" w:hAnsi="Calibri" w:cs="Arial"/>
                <w:sz w:val="22"/>
                <w:szCs w:val="22"/>
              </w:rPr>
              <w:t>Április</w:t>
            </w:r>
          </w:p>
        </w:tc>
        <w:tc>
          <w:tcPr>
            <w:tcW w:w="913" w:type="dxa"/>
          </w:tcPr>
          <w:p w:rsidR="0092684C" w:rsidRPr="003B7DA2" w:rsidRDefault="00B65BA2">
            <w:pPr>
              <w:pStyle w:val="BodyText"/>
              <w:rPr>
                <w:rFonts w:ascii="Calibri" w:hAnsi="Calibri" w:cs="Arial"/>
                <w:sz w:val="22"/>
                <w:szCs w:val="22"/>
              </w:rPr>
            </w:pPr>
            <w:r w:rsidRPr="003B7DA2">
              <w:rPr>
                <w:rFonts w:ascii="Calibri" w:hAnsi="Calibri" w:cs="Arial"/>
                <w:sz w:val="22"/>
                <w:szCs w:val="22"/>
              </w:rPr>
              <w:t>EG</w:t>
            </w:r>
          </w:p>
        </w:tc>
        <w:tc>
          <w:tcPr>
            <w:tcW w:w="797" w:type="dxa"/>
          </w:tcPr>
          <w:p w:rsidR="0092684C" w:rsidRPr="003B7DA2" w:rsidRDefault="0092684C">
            <w:pPr>
              <w:pStyle w:val="BodyText"/>
              <w:rPr>
                <w:rFonts w:ascii="Calibri" w:hAnsi="Calibri"/>
                <w:bCs/>
                <w:sz w:val="22"/>
                <w:szCs w:val="22"/>
              </w:rPr>
            </w:pPr>
            <w:r w:rsidRPr="003B7DA2">
              <w:rPr>
                <w:rFonts w:ascii="Calibri" w:hAnsi="Calibri" w:cs="Arial"/>
                <w:sz w:val="22"/>
                <w:szCs w:val="22"/>
              </w:rPr>
              <w:t>DE</w:t>
            </w:r>
          </w:p>
        </w:tc>
        <w:tc>
          <w:tcPr>
            <w:tcW w:w="1080" w:type="dxa"/>
          </w:tcPr>
          <w:p w:rsidR="0092684C" w:rsidRPr="003B7DA2" w:rsidRDefault="0092684C">
            <w:pPr>
              <w:pStyle w:val="BodyText"/>
              <w:rPr>
                <w:rFonts w:ascii="Calibri" w:hAnsi="Calibri"/>
                <w:bCs/>
                <w:sz w:val="22"/>
                <w:szCs w:val="22"/>
              </w:rPr>
            </w:pPr>
            <w:r w:rsidRPr="003B7DA2">
              <w:rPr>
                <w:rFonts w:ascii="Calibri" w:hAnsi="Calibri"/>
                <w:bCs/>
                <w:sz w:val="22"/>
                <w:szCs w:val="22"/>
              </w:rPr>
              <w:t>2</w:t>
            </w:r>
            <w:r w:rsidR="005F1451" w:rsidRPr="003B7DA2">
              <w:rPr>
                <w:rFonts w:ascii="Calibri" w:hAnsi="Calibri"/>
                <w:bCs/>
                <w:sz w:val="22"/>
                <w:szCs w:val="22"/>
              </w:rPr>
              <w:t xml:space="preserve"> </w:t>
            </w:r>
            <w:r w:rsidRPr="003B7DA2">
              <w:rPr>
                <w:rFonts w:ascii="Calibri" w:hAnsi="Calibri"/>
                <w:bCs/>
                <w:sz w:val="22"/>
                <w:szCs w:val="22"/>
              </w:rPr>
              <w:t>000</w:t>
            </w:r>
            <w:r w:rsidR="005F1451" w:rsidRPr="003B7DA2">
              <w:rPr>
                <w:rFonts w:ascii="Calibri" w:hAnsi="Calibri"/>
                <w:bCs/>
                <w:sz w:val="22"/>
                <w:szCs w:val="22"/>
              </w:rPr>
              <w:t xml:space="preserve"> </w:t>
            </w:r>
            <w:r w:rsidR="005F1451" w:rsidRPr="003B7DA2">
              <w:rPr>
                <w:rFonts w:ascii="Calibri" w:hAnsi="Calibri"/>
                <w:bCs/>
                <w:sz w:val="22"/>
                <w:szCs w:val="22"/>
              </w:rPr>
              <w:lastRenderedPageBreak/>
              <w:t>000</w:t>
            </w:r>
          </w:p>
        </w:tc>
        <w:tc>
          <w:tcPr>
            <w:tcW w:w="1080" w:type="dxa"/>
          </w:tcPr>
          <w:p w:rsidR="0092684C" w:rsidRPr="003B7DA2" w:rsidRDefault="0092684C">
            <w:pPr>
              <w:pStyle w:val="BodyText"/>
              <w:rPr>
                <w:rFonts w:ascii="Calibri" w:hAnsi="Calibri"/>
                <w:b/>
                <w:bCs/>
                <w:sz w:val="22"/>
                <w:szCs w:val="22"/>
                <w:u w:val="single"/>
              </w:rPr>
            </w:pPr>
            <w:r w:rsidRPr="003B7DA2">
              <w:rPr>
                <w:rFonts w:ascii="Calibri" w:hAnsi="Calibri" w:cs="Arial"/>
                <w:sz w:val="22"/>
                <w:szCs w:val="22"/>
              </w:rPr>
              <w:lastRenderedPageBreak/>
              <w:t>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195" w:type="dxa"/>
          </w:tcPr>
          <w:p w:rsidR="0092684C" w:rsidRPr="003B7DA2" w:rsidRDefault="0092684C">
            <w:pPr>
              <w:pStyle w:val="BodyText"/>
              <w:rPr>
                <w:rFonts w:ascii="Calibri" w:hAnsi="Calibri" w:cs="Arial"/>
                <w:sz w:val="22"/>
                <w:szCs w:val="22"/>
              </w:rPr>
            </w:pPr>
            <w:r w:rsidRPr="003B7DA2">
              <w:rPr>
                <w:rFonts w:ascii="Calibri" w:hAnsi="Calibri"/>
                <w:bCs/>
                <w:sz w:val="22"/>
                <w:szCs w:val="22"/>
              </w:rPr>
              <w:t>- 1</w:t>
            </w:r>
            <w:r w:rsidR="005F1451" w:rsidRPr="003B7DA2">
              <w:rPr>
                <w:rFonts w:ascii="Calibri" w:hAnsi="Calibri"/>
                <w:bCs/>
                <w:sz w:val="22"/>
                <w:szCs w:val="22"/>
              </w:rPr>
              <w:t xml:space="preserve"> </w:t>
            </w:r>
            <w:r w:rsidRPr="003B7DA2">
              <w:rPr>
                <w:rFonts w:ascii="Calibri" w:hAnsi="Calibri"/>
                <w:bCs/>
                <w:sz w:val="22"/>
                <w:szCs w:val="22"/>
              </w:rPr>
              <w:t>000</w:t>
            </w:r>
            <w:r w:rsidR="005F1451" w:rsidRPr="003B7DA2">
              <w:rPr>
                <w:rFonts w:ascii="Calibri" w:hAnsi="Calibri"/>
                <w:bCs/>
                <w:sz w:val="22"/>
                <w:szCs w:val="22"/>
              </w:rPr>
              <w:t xml:space="preserve"> </w:t>
            </w:r>
            <w:r w:rsidR="005F1451" w:rsidRPr="003B7DA2">
              <w:rPr>
                <w:rFonts w:ascii="Calibri" w:hAnsi="Calibri"/>
                <w:bCs/>
                <w:sz w:val="22"/>
                <w:szCs w:val="22"/>
              </w:rPr>
              <w:lastRenderedPageBreak/>
              <w:t>000</w:t>
            </w:r>
          </w:p>
        </w:tc>
        <w:tc>
          <w:tcPr>
            <w:tcW w:w="785" w:type="dxa"/>
          </w:tcPr>
          <w:p w:rsidR="0092684C" w:rsidRPr="003B7DA2" w:rsidRDefault="0092684C">
            <w:pPr>
              <w:pStyle w:val="BodyText"/>
              <w:rPr>
                <w:rFonts w:ascii="Calibri" w:hAnsi="Calibri"/>
                <w:bCs/>
                <w:sz w:val="22"/>
                <w:szCs w:val="22"/>
              </w:rPr>
            </w:pPr>
            <w:r w:rsidRPr="003B7DA2">
              <w:rPr>
                <w:rFonts w:ascii="Calibri" w:hAnsi="Calibri"/>
                <w:bCs/>
                <w:sz w:val="22"/>
                <w:szCs w:val="22"/>
              </w:rPr>
              <w:lastRenderedPageBreak/>
              <w:t>0</w:t>
            </w:r>
          </w:p>
        </w:tc>
        <w:tc>
          <w:tcPr>
            <w:tcW w:w="1149" w:type="dxa"/>
          </w:tcPr>
          <w:p w:rsidR="0092684C" w:rsidRPr="003B7DA2" w:rsidRDefault="0092684C">
            <w:pPr>
              <w:pStyle w:val="BodyText"/>
              <w:rPr>
                <w:rFonts w:ascii="Calibri" w:hAnsi="Calibri"/>
                <w:bCs/>
                <w:sz w:val="22"/>
                <w:szCs w:val="22"/>
              </w:rPr>
            </w:pPr>
            <w:r w:rsidRPr="003B7DA2">
              <w:rPr>
                <w:rFonts w:ascii="Calibri" w:hAnsi="Calibri"/>
                <w:bCs/>
                <w:sz w:val="22"/>
                <w:szCs w:val="22"/>
              </w:rPr>
              <w:t>1</w:t>
            </w:r>
            <w:r w:rsidR="005F1451" w:rsidRPr="003B7DA2">
              <w:rPr>
                <w:rFonts w:ascii="Calibri" w:hAnsi="Calibri"/>
                <w:bCs/>
                <w:sz w:val="22"/>
                <w:szCs w:val="22"/>
              </w:rPr>
              <w:t xml:space="preserve"> </w:t>
            </w:r>
            <w:r w:rsidRPr="003B7DA2">
              <w:rPr>
                <w:rFonts w:ascii="Calibri" w:hAnsi="Calibri"/>
                <w:bCs/>
                <w:sz w:val="22"/>
                <w:szCs w:val="22"/>
              </w:rPr>
              <w:t>000</w:t>
            </w:r>
            <w:r w:rsidR="005F1451" w:rsidRPr="003B7DA2">
              <w:rPr>
                <w:rFonts w:ascii="Calibri" w:hAnsi="Calibri"/>
                <w:bCs/>
                <w:sz w:val="22"/>
                <w:szCs w:val="22"/>
              </w:rPr>
              <w:t xml:space="preserve"> 000</w:t>
            </w:r>
          </w:p>
        </w:tc>
      </w:tr>
      <w:tr w:rsidR="0092684C" w:rsidRPr="003B7DA2" w:rsidTr="00D45209">
        <w:tc>
          <w:tcPr>
            <w:tcW w:w="918" w:type="dxa"/>
          </w:tcPr>
          <w:p w:rsidR="0092684C" w:rsidRPr="003B7DA2" w:rsidRDefault="0092684C" w:rsidP="00D45209">
            <w:pPr>
              <w:jc w:val="center"/>
              <w:rPr>
                <w:rFonts w:ascii="Calibri" w:hAnsi="Calibri" w:cs="Arial"/>
                <w:sz w:val="22"/>
                <w:szCs w:val="22"/>
              </w:rPr>
            </w:pPr>
            <w:r w:rsidRPr="003B7DA2">
              <w:rPr>
                <w:rFonts w:ascii="Calibri" w:hAnsi="Calibri" w:cs="Arial"/>
                <w:sz w:val="22"/>
                <w:szCs w:val="22"/>
              </w:rPr>
              <w:t xml:space="preserve">Május </w:t>
            </w:r>
          </w:p>
        </w:tc>
        <w:tc>
          <w:tcPr>
            <w:tcW w:w="913" w:type="dxa"/>
          </w:tcPr>
          <w:p w:rsidR="0092684C" w:rsidRPr="003B7DA2" w:rsidRDefault="00B65BA2">
            <w:pPr>
              <w:pStyle w:val="BodyText"/>
              <w:rPr>
                <w:rFonts w:ascii="Calibri" w:hAnsi="Calibri" w:cs="Arial"/>
                <w:sz w:val="22"/>
                <w:szCs w:val="22"/>
              </w:rPr>
            </w:pPr>
            <w:r w:rsidRPr="003B7DA2">
              <w:rPr>
                <w:rFonts w:ascii="Calibri" w:hAnsi="Calibri" w:cs="Arial"/>
                <w:sz w:val="22"/>
                <w:szCs w:val="22"/>
              </w:rPr>
              <w:t>EG</w:t>
            </w:r>
          </w:p>
        </w:tc>
        <w:tc>
          <w:tcPr>
            <w:tcW w:w="797" w:type="dxa"/>
          </w:tcPr>
          <w:p w:rsidR="0092684C" w:rsidRPr="003B7DA2" w:rsidRDefault="0092684C">
            <w:pPr>
              <w:pStyle w:val="BodyText"/>
              <w:rPr>
                <w:rFonts w:ascii="Calibri" w:hAnsi="Calibri"/>
                <w:bCs/>
                <w:sz w:val="22"/>
                <w:szCs w:val="22"/>
              </w:rPr>
            </w:pPr>
            <w:r w:rsidRPr="003B7DA2">
              <w:rPr>
                <w:rFonts w:ascii="Calibri" w:hAnsi="Calibri" w:cs="Arial"/>
                <w:sz w:val="22"/>
                <w:szCs w:val="22"/>
              </w:rPr>
              <w:t>DE</w:t>
            </w:r>
          </w:p>
        </w:tc>
        <w:tc>
          <w:tcPr>
            <w:tcW w:w="1080" w:type="dxa"/>
          </w:tcPr>
          <w:p w:rsidR="0092684C" w:rsidRPr="003B7DA2" w:rsidRDefault="0092684C">
            <w:pPr>
              <w:pStyle w:val="BodyText"/>
              <w:rPr>
                <w:rFonts w:ascii="Calibri" w:hAnsi="Calibri"/>
                <w:bCs/>
                <w:sz w:val="22"/>
                <w:szCs w:val="22"/>
              </w:rPr>
            </w:pPr>
            <w:r w:rsidRPr="003B7DA2">
              <w:rPr>
                <w:rFonts w:ascii="Calibri" w:hAnsi="Calibri"/>
                <w:bCs/>
                <w:sz w:val="22"/>
                <w:szCs w:val="22"/>
              </w:rPr>
              <w:t>1</w:t>
            </w:r>
            <w:r w:rsidR="005F1451" w:rsidRPr="003B7DA2">
              <w:rPr>
                <w:rFonts w:ascii="Calibri" w:hAnsi="Calibri"/>
                <w:bCs/>
                <w:sz w:val="22"/>
                <w:szCs w:val="22"/>
              </w:rPr>
              <w:t> </w:t>
            </w:r>
            <w:r w:rsidRPr="003B7DA2">
              <w:rPr>
                <w:rFonts w:ascii="Calibri" w:hAnsi="Calibri"/>
                <w:bCs/>
                <w:sz w:val="22"/>
                <w:szCs w:val="22"/>
              </w:rPr>
              <w:t>000</w:t>
            </w:r>
            <w:r w:rsidR="005F1451" w:rsidRPr="003B7DA2">
              <w:rPr>
                <w:rFonts w:ascii="Calibri" w:hAnsi="Calibri"/>
                <w:bCs/>
                <w:sz w:val="22"/>
                <w:szCs w:val="22"/>
              </w:rPr>
              <w:t xml:space="preserve"> 000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195" w:type="dxa"/>
          </w:tcPr>
          <w:p w:rsidR="0092684C" w:rsidRPr="003B7DA2" w:rsidRDefault="0092684C">
            <w:pPr>
              <w:pStyle w:val="BodyText"/>
              <w:rPr>
                <w:rFonts w:ascii="Calibri" w:hAnsi="Calibri"/>
                <w:bCs/>
                <w:sz w:val="22"/>
                <w:szCs w:val="22"/>
              </w:rPr>
            </w:pPr>
            <w:r w:rsidRPr="003B7DA2">
              <w:rPr>
                <w:rFonts w:ascii="Calibri" w:hAnsi="Calibri"/>
                <w:bCs/>
                <w:sz w:val="22"/>
                <w:szCs w:val="22"/>
              </w:rPr>
              <w:t>- 1</w:t>
            </w:r>
            <w:r w:rsidR="005F1451" w:rsidRPr="003B7DA2">
              <w:rPr>
                <w:rFonts w:ascii="Calibri" w:hAnsi="Calibri"/>
                <w:bCs/>
                <w:sz w:val="22"/>
                <w:szCs w:val="22"/>
              </w:rPr>
              <w:t xml:space="preserve"> </w:t>
            </w:r>
            <w:r w:rsidRPr="003B7DA2">
              <w:rPr>
                <w:rFonts w:ascii="Calibri" w:hAnsi="Calibri"/>
                <w:bCs/>
                <w:sz w:val="22"/>
                <w:szCs w:val="22"/>
              </w:rPr>
              <w:t>000</w:t>
            </w:r>
            <w:r w:rsidR="005F1451" w:rsidRPr="003B7DA2">
              <w:rPr>
                <w:rFonts w:ascii="Calibri" w:hAnsi="Calibri"/>
                <w:bCs/>
                <w:sz w:val="22"/>
                <w:szCs w:val="22"/>
              </w:rPr>
              <w:t xml:space="preserve"> 000</w:t>
            </w:r>
          </w:p>
        </w:tc>
        <w:tc>
          <w:tcPr>
            <w:tcW w:w="785"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c>
          <w:tcPr>
            <w:tcW w:w="1149"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r>
      <w:tr w:rsidR="0092684C" w:rsidRPr="003B7DA2" w:rsidTr="00D45209">
        <w:tc>
          <w:tcPr>
            <w:tcW w:w="918" w:type="dxa"/>
          </w:tcPr>
          <w:p w:rsidR="0092684C" w:rsidRPr="003B7DA2" w:rsidRDefault="0092684C" w:rsidP="00D45209">
            <w:pPr>
              <w:jc w:val="center"/>
              <w:rPr>
                <w:rFonts w:ascii="Calibri" w:hAnsi="Calibri" w:cs="Arial"/>
                <w:sz w:val="22"/>
                <w:szCs w:val="22"/>
              </w:rPr>
            </w:pPr>
            <w:r w:rsidRPr="003B7DA2">
              <w:rPr>
                <w:rFonts w:ascii="Calibri" w:hAnsi="Calibri" w:cs="Arial"/>
                <w:sz w:val="22"/>
                <w:szCs w:val="22"/>
              </w:rPr>
              <w:t>Június</w:t>
            </w:r>
          </w:p>
        </w:tc>
        <w:tc>
          <w:tcPr>
            <w:tcW w:w="913" w:type="dxa"/>
          </w:tcPr>
          <w:p w:rsidR="0092684C" w:rsidRPr="003B7DA2" w:rsidRDefault="00B65BA2">
            <w:pPr>
              <w:pStyle w:val="BodyText"/>
              <w:rPr>
                <w:rFonts w:ascii="Calibri" w:hAnsi="Calibri" w:cs="Arial"/>
                <w:sz w:val="22"/>
                <w:szCs w:val="22"/>
              </w:rPr>
            </w:pPr>
            <w:r w:rsidRPr="003B7DA2">
              <w:rPr>
                <w:rFonts w:ascii="Calibri" w:hAnsi="Calibri" w:cs="Arial"/>
                <w:sz w:val="22"/>
                <w:szCs w:val="22"/>
              </w:rPr>
              <w:t>EG</w:t>
            </w:r>
          </w:p>
        </w:tc>
        <w:tc>
          <w:tcPr>
            <w:tcW w:w="797" w:type="dxa"/>
          </w:tcPr>
          <w:p w:rsidR="0092684C" w:rsidRPr="003B7DA2" w:rsidRDefault="0092684C">
            <w:pPr>
              <w:pStyle w:val="BodyText"/>
              <w:rPr>
                <w:rFonts w:ascii="Calibri" w:hAnsi="Calibri"/>
                <w:bCs/>
                <w:sz w:val="22"/>
                <w:szCs w:val="22"/>
              </w:rPr>
            </w:pPr>
            <w:r w:rsidRPr="003B7DA2">
              <w:rPr>
                <w:rFonts w:ascii="Calibri" w:hAnsi="Calibri" w:cs="Arial"/>
                <w:sz w:val="22"/>
                <w:szCs w:val="22"/>
              </w:rPr>
              <w:t>DE</w:t>
            </w:r>
          </w:p>
        </w:tc>
        <w:tc>
          <w:tcPr>
            <w:tcW w:w="1080"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195" w:type="dxa"/>
          </w:tcPr>
          <w:p w:rsidR="0092684C" w:rsidRPr="003B7DA2" w:rsidRDefault="0092684C">
            <w:pPr>
              <w:pStyle w:val="BodyText"/>
              <w:rPr>
                <w:rFonts w:ascii="Calibri" w:hAnsi="Calibri" w:cs="Arial"/>
                <w:sz w:val="22"/>
                <w:szCs w:val="22"/>
              </w:rPr>
            </w:pPr>
          </w:p>
        </w:tc>
        <w:tc>
          <w:tcPr>
            <w:tcW w:w="785"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c>
          <w:tcPr>
            <w:tcW w:w="1149"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r>
    </w:tbl>
    <w:p w:rsidR="0092684C" w:rsidRPr="003B7DA2" w:rsidRDefault="0092684C">
      <w:pPr>
        <w:jc w:val="both"/>
        <w:rPr>
          <w:rFonts w:ascii="Calibri" w:hAnsi="Calibri" w:cs="Garamond"/>
          <w:sz w:val="22"/>
          <w:szCs w:val="22"/>
        </w:rPr>
      </w:pPr>
    </w:p>
    <w:p w:rsidR="0092684C" w:rsidRPr="003B7DA2" w:rsidRDefault="00583402">
      <w:pPr>
        <w:pStyle w:val="BodyText"/>
        <w:rPr>
          <w:rFonts w:ascii="Calibri" w:hAnsi="Calibri"/>
          <w:b/>
          <w:bCs/>
          <w:sz w:val="22"/>
          <w:szCs w:val="22"/>
          <w:u w:val="single"/>
        </w:rPr>
      </w:pPr>
      <w:r w:rsidRPr="003B7DA2">
        <w:rPr>
          <w:rFonts w:ascii="Calibri" w:hAnsi="Calibri"/>
          <w:b/>
          <w:bCs/>
          <w:sz w:val="22"/>
          <w:szCs w:val="22"/>
          <w:u w:val="single"/>
        </w:rPr>
        <w:t>DERT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913"/>
        <w:gridCol w:w="797"/>
        <w:gridCol w:w="1080"/>
        <w:gridCol w:w="1080"/>
        <w:gridCol w:w="1080"/>
        <w:gridCol w:w="1195"/>
        <w:gridCol w:w="785"/>
        <w:gridCol w:w="1149"/>
      </w:tblGrid>
      <w:tr w:rsidR="0092684C" w:rsidRPr="003B7DA2" w:rsidTr="00D45209">
        <w:tc>
          <w:tcPr>
            <w:tcW w:w="918" w:type="dxa"/>
            <w:vMerge w:val="restart"/>
          </w:tcPr>
          <w:p w:rsidR="0092684C" w:rsidRPr="003B7DA2" w:rsidRDefault="0092684C">
            <w:pPr>
              <w:pStyle w:val="BodyText"/>
              <w:rPr>
                <w:rFonts w:ascii="Calibri" w:hAnsi="Calibri"/>
                <w:bCs/>
                <w:sz w:val="22"/>
                <w:szCs w:val="22"/>
              </w:rPr>
            </w:pPr>
            <w:r w:rsidRPr="003B7DA2">
              <w:rPr>
                <w:rFonts w:ascii="Calibri" w:hAnsi="Calibri"/>
                <w:bCs/>
                <w:sz w:val="22"/>
                <w:szCs w:val="22"/>
              </w:rPr>
              <w:t>Időszak</w:t>
            </w:r>
          </w:p>
        </w:tc>
        <w:tc>
          <w:tcPr>
            <w:tcW w:w="913" w:type="dxa"/>
            <w:vMerge w:val="restart"/>
          </w:tcPr>
          <w:p w:rsidR="0092684C" w:rsidRPr="003B7DA2" w:rsidRDefault="0092684C">
            <w:pPr>
              <w:pStyle w:val="BodyText"/>
              <w:rPr>
                <w:rFonts w:ascii="Calibri" w:hAnsi="Calibri"/>
                <w:b/>
                <w:bCs/>
                <w:sz w:val="22"/>
                <w:szCs w:val="22"/>
                <w:u w:val="single"/>
              </w:rPr>
            </w:pPr>
            <w:r w:rsidRPr="003B7DA2">
              <w:rPr>
                <w:rFonts w:ascii="Calibri" w:hAnsi="Calibri" w:cs="Arial"/>
                <w:sz w:val="22"/>
                <w:szCs w:val="22"/>
              </w:rPr>
              <w:t>Az ügylet típusa</w:t>
            </w:r>
          </w:p>
        </w:tc>
        <w:tc>
          <w:tcPr>
            <w:tcW w:w="797" w:type="dxa"/>
            <w:vMerge w:val="restart"/>
          </w:tcPr>
          <w:p w:rsidR="0092684C" w:rsidRPr="003B7DA2" w:rsidRDefault="0092684C">
            <w:pPr>
              <w:pStyle w:val="BodyText"/>
              <w:rPr>
                <w:rFonts w:ascii="Calibri" w:hAnsi="Calibri"/>
                <w:b/>
                <w:bCs/>
                <w:sz w:val="22"/>
                <w:szCs w:val="22"/>
                <w:u w:val="single"/>
              </w:rPr>
            </w:pPr>
            <w:r w:rsidRPr="003B7DA2">
              <w:rPr>
                <w:rFonts w:ascii="Calibri" w:hAnsi="Calibri" w:cs="Arial"/>
                <w:sz w:val="22"/>
                <w:szCs w:val="22"/>
              </w:rPr>
              <w:t>A partner ISO országkódja</w:t>
            </w:r>
          </w:p>
        </w:tc>
        <w:tc>
          <w:tcPr>
            <w:tcW w:w="1080" w:type="dxa"/>
            <w:vMerge w:val="restart"/>
          </w:tcPr>
          <w:p w:rsidR="0092684C" w:rsidRPr="003B7DA2" w:rsidRDefault="0092684C">
            <w:pPr>
              <w:pStyle w:val="BodyText"/>
              <w:rPr>
                <w:rFonts w:ascii="Calibri" w:hAnsi="Calibri"/>
                <w:b/>
                <w:bCs/>
                <w:sz w:val="22"/>
                <w:szCs w:val="22"/>
                <w:u w:val="single"/>
              </w:rPr>
            </w:pPr>
            <w:r w:rsidRPr="003B7DA2">
              <w:rPr>
                <w:rFonts w:ascii="Calibri" w:hAnsi="Calibri" w:cs="Arial"/>
                <w:sz w:val="22"/>
                <w:szCs w:val="22"/>
              </w:rPr>
              <w:t>Időszak eleji nyitó pozíció</w:t>
            </w:r>
          </w:p>
        </w:tc>
        <w:tc>
          <w:tcPr>
            <w:tcW w:w="2160" w:type="dxa"/>
            <w:gridSpan w:val="2"/>
          </w:tcPr>
          <w:p w:rsidR="0092684C" w:rsidRPr="003B7DA2" w:rsidRDefault="0092684C" w:rsidP="00D45209">
            <w:pPr>
              <w:pStyle w:val="BodyText"/>
              <w:jc w:val="center"/>
              <w:rPr>
                <w:rFonts w:ascii="Calibri" w:hAnsi="Calibri" w:cs="Arial"/>
                <w:sz w:val="22"/>
                <w:szCs w:val="22"/>
              </w:rPr>
            </w:pPr>
            <w:r w:rsidRPr="003B7DA2">
              <w:rPr>
                <w:rFonts w:ascii="Calibri" w:hAnsi="Calibri" w:cs="Arial"/>
                <w:sz w:val="22"/>
                <w:szCs w:val="22"/>
              </w:rPr>
              <w:t>Tranzakció</w:t>
            </w:r>
          </w:p>
        </w:tc>
        <w:tc>
          <w:tcPr>
            <w:tcW w:w="1195" w:type="dxa"/>
            <w:vMerge w:val="restart"/>
          </w:tcPr>
          <w:p w:rsidR="0092684C" w:rsidRPr="003B7DA2" w:rsidRDefault="0092684C">
            <w:pPr>
              <w:pStyle w:val="BodyText"/>
              <w:rPr>
                <w:rFonts w:ascii="Calibri" w:hAnsi="Calibri" w:cs="Arial"/>
                <w:sz w:val="22"/>
                <w:szCs w:val="22"/>
              </w:rPr>
            </w:pPr>
            <w:r w:rsidRPr="003B7DA2">
              <w:rPr>
                <w:rFonts w:ascii="Calibri" w:hAnsi="Calibri" w:cs="Arial"/>
                <w:sz w:val="22"/>
                <w:szCs w:val="22"/>
              </w:rPr>
              <w:t>Átértékelés</w:t>
            </w:r>
          </w:p>
        </w:tc>
        <w:tc>
          <w:tcPr>
            <w:tcW w:w="785" w:type="dxa"/>
            <w:vMerge w:val="restart"/>
            <w:vAlign w:val="center"/>
          </w:tcPr>
          <w:p w:rsidR="0092684C" w:rsidRPr="003B7DA2" w:rsidRDefault="0092684C" w:rsidP="00D45209">
            <w:pPr>
              <w:jc w:val="center"/>
              <w:rPr>
                <w:rFonts w:ascii="Calibri" w:hAnsi="Calibri" w:cs="Arial"/>
                <w:sz w:val="22"/>
                <w:szCs w:val="22"/>
              </w:rPr>
            </w:pPr>
            <w:r w:rsidRPr="003B7DA2">
              <w:rPr>
                <w:rFonts w:ascii="Calibri" w:hAnsi="Calibri" w:cs="Arial"/>
                <w:sz w:val="22"/>
                <w:szCs w:val="22"/>
              </w:rPr>
              <w:t>Egyéb változások</w:t>
            </w:r>
          </w:p>
        </w:tc>
        <w:tc>
          <w:tcPr>
            <w:tcW w:w="1149" w:type="dxa"/>
            <w:vMerge w:val="restart"/>
            <w:vAlign w:val="center"/>
          </w:tcPr>
          <w:p w:rsidR="0092684C" w:rsidRPr="003B7DA2" w:rsidRDefault="0092684C" w:rsidP="00D45209">
            <w:pPr>
              <w:jc w:val="center"/>
              <w:rPr>
                <w:rFonts w:ascii="Calibri" w:hAnsi="Calibri" w:cs="Arial"/>
                <w:sz w:val="22"/>
                <w:szCs w:val="22"/>
              </w:rPr>
            </w:pPr>
            <w:r w:rsidRPr="003B7DA2">
              <w:rPr>
                <w:rFonts w:ascii="Calibri" w:hAnsi="Calibri" w:cs="Arial"/>
                <w:sz w:val="22"/>
                <w:szCs w:val="22"/>
              </w:rPr>
              <w:t xml:space="preserve">Időszak végi záró pozíció </w:t>
            </w:r>
          </w:p>
        </w:tc>
      </w:tr>
      <w:tr w:rsidR="0092684C" w:rsidRPr="003B7DA2" w:rsidTr="00D45209">
        <w:tc>
          <w:tcPr>
            <w:tcW w:w="918" w:type="dxa"/>
            <w:vMerge/>
          </w:tcPr>
          <w:p w:rsidR="0092684C" w:rsidRPr="003B7DA2" w:rsidRDefault="0092684C">
            <w:pPr>
              <w:pStyle w:val="BodyText"/>
              <w:rPr>
                <w:rFonts w:ascii="Calibri" w:hAnsi="Calibri"/>
                <w:b/>
                <w:bCs/>
                <w:sz w:val="22"/>
                <w:szCs w:val="22"/>
                <w:u w:val="single"/>
              </w:rPr>
            </w:pPr>
          </w:p>
        </w:tc>
        <w:tc>
          <w:tcPr>
            <w:tcW w:w="913" w:type="dxa"/>
            <w:vMerge/>
          </w:tcPr>
          <w:p w:rsidR="0092684C" w:rsidRPr="003B7DA2" w:rsidRDefault="0092684C">
            <w:pPr>
              <w:pStyle w:val="BodyText"/>
              <w:rPr>
                <w:rFonts w:ascii="Calibri" w:hAnsi="Calibri"/>
                <w:b/>
                <w:bCs/>
                <w:sz w:val="22"/>
                <w:szCs w:val="22"/>
                <w:u w:val="single"/>
              </w:rPr>
            </w:pPr>
          </w:p>
        </w:tc>
        <w:tc>
          <w:tcPr>
            <w:tcW w:w="797" w:type="dxa"/>
            <w:vMerge/>
          </w:tcPr>
          <w:p w:rsidR="0092684C" w:rsidRPr="003B7DA2" w:rsidRDefault="0092684C">
            <w:pPr>
              <w:pStyle w:val="BodyText"/>
              <w:rPr>
                <w:rFonts w:ascii="Calibri" w:hAnsi="Calibri"/>
                <w:b/>
                <w:bCs/>
                <w:sz w:val="22"/>
                <w:szCs w:val="22"/>
                <w:u w:val="single"/>
              </w:rPr>
            </w:pPr>
          </w:p>
        </w:tc>
        <w:tc>
          <w:tcPr>
            <w:tcW w:w="1080" w:type="dxa"/>
            <w:vMerge/>
          </w:tcPr>
          <w:p w:rsidR="0092684C" w:rsidRPr="003B7DA2" w:rsidRDefault="0092684C">
            <w:pPr>
              <w:pStyle w:val="BodyText"/>
              <w:rPr>
                <w:rFonts w:ascii="Calibri" w:hAnsi="Calibri"/>
                <w:b/>
                <w:bCs/>
                <w:sz w:val="22"/>
                <w:szCs w:val="22"/>
                <w:u w:val="single"/>
              </w:rPr>
            </w:pP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Állományt növelő (Bevétel)</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Állományt csökkentő (Kiadás)</w:t>
            </w:r>
          </w:p>
        </w:tc>
        <w:tc>
          <w:tcPr>
            <w:tcW w:w="1195" w:type="dxa"/>
            <w:vMerge/>
          </w:tcPr>
          <w:p w:rsidR="0092684C" w:rsidRPr="003B7DA2" w:rsidRDefault="0092684C">
            <w:pPr>
              <w:pStyle w:val="BodyText"/>
              <w:rPr>
                <w:rFonts w:ascii="Calibri" w:hAnsi="Calibri" w:cs="Arial"/>
                <w:sz w:val="22"/>
                <w:szCs w:val="22"/>
              </w:rPr>
            </w:pPr>
          </w:p>
        </w:tc>
        <w:tc>
          <w:tcPr>
            <w:tcW w:w="785" w:type="dxa"/>
            <w:vMerge/>
          </w:tcPr>
          <w:p w:rsidR="0092684C" w:rsidRPr="003B7DA2" w:rsidRDefault="0092684C">
            <w:pPr>
              <w:pStyle w:val="BodyText"/>
              <w:rPr>
                <w:rFonts w:ascii="Calibri" w:hAnsi="Calibri" w:cs="Arial"/>
                <w:sz w:val="22"/>
                <w:szCs w:val="22"/>
              </w:rPr>
            </w:pPr>
          </w:p>
        </w:tc>
        <w:tc>
          <w:tcPr>
            <w:tcW w:w="1149" w:type="dxa"/>
            <w:vMerge/>
          </w:tcPr>
          <w:p w:rsidR="0092684C" w:rsidRPr="003B7DA2" w:rsidRDefault="0092684C">
            <w:pPr>
              <w:pStyle w:val="BodyText"/>
              <w:rPr>
                <w:rFonts w:ascii="Calibri" w:hAnsi="Calibri" w:cs="Arial"/>
                <w:sz w:val="22"/>
                <w:szCs w:val="22"/>
              </w:rPr>
            </w:pPr>
          </w:p>
        </w:tc>
      </w:tr>
      <w:tr w:rsidR="0092684C" w:rsidRPr="003B7DA2" w:rsidTr="00D45209">
        <w:tc>
          <w:tcPr>
            <w:tcW w:w="918" w:type="dxa"/>
          </w:tcPr>
          <w:p w:rsidR="0092684C" w:rsidRPr="003B7DA2" w:rsidRDefault="0092684C" w:rsidP="00D45209">
            <w:pPr>
              <w:jc w:val="center"/>
              <w:rPr>
                <w:rFonts w:ascii="Calibri" w:hAnsi="Calibri"/>
                <w:b/>
                <w:bCs/>
                <w:sz w:val="22"/>
                <w:szCs w:val="22"/>
                <w:u w:val="single"/>
              </w:rPr>
            </w:pPr>
            <w:r w:rsidRPr="003B7DA2">
              <w:rPr>
                <w:rFonts w:ascii="Calibri" w:hAnsi="Calibri" w:cs="Arial"/>
                <w:sz w:val="22"/>
                <w:szCs w:val="22"/>
              </w:rPr>
              <w:t>Január</w:t>
            </w:r>
          </w:p>
        </w:tc>
        <w:tc>
          <w:tcPr>
            <w:tcW w:w="913" w:type="dxa"/>
          </w:tcPr>
          <w:p w:rsidR="0092684C" w:rsidRPr="003B7DA2" w:rsidRDefault="00B65BA2">
            <w:pPr>
              <w:pStyle w:val="BodyText"/>
              <w:rPr>
                <w:rFonts w:ascii="Calibri" w:hAnsi="Calibri" w:cs="Arial"/>
                <w:sz w:val="22"/>
                <w:szCs w:val="22"/>
              </w:rPr>
            </w:pPr>
            <w:r w:rsidRPr="003B7DA2">
              <w:rPr>
                <w:rFonts w:ascii="Calibri" w:hAnsi="Calibri" w:cs="Arial"/>
                <w:sz w:val="22"/>
                <w:szCs w:val="22"/>
              </w:rPr>
              <w:t>EG</w:t>
            </w:r>
          </w:p>
        </w:tc>
        <w:tc>
          <w:tcPr>
            <w:tcW w:w="797" w:type="dxa"/>
          </w:tcPr>
          <w:p w:rsidR="0092684C" w:rsidRPr="003B7DA2" w:rsidRDefault="0092684C">
            <w:pPr>
              <w:pStyle w:val="BodyText"/>
              <w:rPr>
                <w:rFonts w:ascii="Calibri" w:hAnsi="Calibri"/>
                <w:bCs/>
                <w:sz w:val="22"/>
                <w:szCs w:val="22"/>
              </w:rPr>
            </w:pPr>
            <w:r w:rsidRPr="003B7DA2">
              <w:rPr>
                <w:rFonts w:ascii="Calibri" w:hAnsi="Calibri" w:cs="Arial"/>
                <w:sz w:val="22"/>
                <w:szCs w:val="22"/>
              </w:rPr>
              <w:t>DE</w:t>
            </w:r>
          </w:p>
        </w:tc>
        <w:tc>
          <w:tcPr>
            <w:tcW w:w="1080"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195" w:type="dxa"/>
          </w:tcPr>
          <w:p w:rsidR="0092684C" w:rsidRPr="003B7DA2" w:rsidRDefault="0092684C">
            <w:pPr>
              <w:pStyle w:val="BodyText"/>
              <w:rPr>
                <w:rFonts w:ascii="Calibri" w:hAnsi="Calibri" w:cs="Arial"/>
                <w:sz w:val="22"/>
                <w:szCs w:val="22"/>
              </w:rPr>
            </w:pPr>
          </w:p>
        </w:tc>
        <w:tc>
          <w:tcPr>
            <w:tcW w:w="785"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c>
          <w:tcPr>
            <w:tcW w:w="1149"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r>
      <w:tr w:rsidR="0092684C" w:rsidRPr="003B7DA2" w:rsidTr="00D45209">
        <w:tc>
          <w:tcPr>
            <w:tcW w:w="918" w:type="dxa"/>
          </w:tcPr>
          <w:p w:rsidR="0092684C" w:rsidRPr="003B7DA2" w:rsidRDefault="0092684C" w:rsidP="00D45209">
            <w:pPr>
              <w:jc w:val="center"/>
              <w:rPr>
                <w:rFonts w:ascii="Calibri" w:hAnsi="Calibri" w:cs="Arial"/>
                <w:sz w:val="22"/>
                <w:szCs w:val="22"/>
              </w:rPr>
            </w:pPr>
            <w:r w:rsidRPr="003B7DA2">
              <w:rPr>
                <w:rFonts w:ascii="Calibri" w:hAnsi="Calibri" w:cs="Arial"/>
                <w:sz w:val="22"/>
                <w:szCs w:val="22"/>
              </w:rPr>
              <w:t>Február</w:t>
            </w:r>
          </w:p>
        </w:tc>
        <w:tc>
          <w:tcPr>
            <w:tcW w:w="913" w:type="dxa"/>
          </w:tcPr>
          <w:p w:rsidR="0092684C" w:rsidRPr="003B7DA2" w:rsidRDefault="00B65BA2">
            <w:pPr>
              <w:pStyle w:val="BodyText"/>
              <w:rPr>
                <w:rFonts w:ascii="Calibri" w:hAnsi="Calibri" w:cs="Arial"/>
                <w:sz w:val="22"/>
                <w:szCs w:val="22"/>
              </w:rPr>
            </w:pPr>
            <w:r w:rsidRPr="003B7DA2">
              <w:rPr>
                <w:rFonts w:ascii="Calibri" w:hAnsi="Calibri" w:cs="Arial"/>
                <w:sz w:val="22"/>
                <w:szCs w:val="22"/>
              </w:rPr>
              <w:t>EG</w:t>
            </w:r>
          </w:p>
        </w:tc>
        <w:tc>
          <w:tcPr>
            <w:tcW w:w="797" w:type="dxa"/>
          </w:tcPr>
          <w:p w:rsidR="0092684C" w:rsidRPr="003B7DA2" w:rsidRDefault="0092684C">
            <w:pPr>
              <w:pStyle w:val="BodyText"/>
              <w:rPr>
                <w:rFonts w:ascii="Calibri" w:hAnsi="Calibri"/>
                <w:bCs/>
                <w:sz w:val="22"/>
                <w:szCs w:val="22"/>
              </w:rPr>
            </w:pPr>
            <w:r w:rsidRPr="003B7DA2">
              <w:rPr>
                <w:rFonts w:ascii="Calibri" w:hAnsi="Calibri" w:cs="Arial"/>
                <w:sz w:val="22"/>
                <w:szCs w:val="22"/>
              </w:rPr>
              <w:t>DE</w:t>
            </w:r>
          </w:p>
        </w:tc>
        <w:tc>
          <w:tcPr>
            <w:tcW w:w="1080"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195" w:type="dxa"/>
          </w:tcPr>
          <w:p w:rsidR="0092684C" w:rsidRPr="003B7DA2" w:rsidRDefault="0092684C">
            <w:pPr>
              <w:pStyle w:val="BodyText"/>
              <w:rPr>
                <w:rFonts w:ascii="Calibri" w:hAnsi="Calibri"/>
                <w:b/>
                <w:bCs/>
                <w:sz w:val="22"/>
                <w:szCs w:val="22"/>
                <w:u w:val="single"/>
              </w:rPr>
            </w:pPr>
            <w:r w:rsidRPr="003B7DA2">
              <w:rPr>
                <w:rFonts w:ascii="Calibri" w:hAnsi="Calibri"/>
                <w:bCs/>
                <w:sz w:val="22"/>
                <w:szCs w:val="22"/>
              </w:rPr>
              <w:t>1</w:t>
            </w:r>
            <w:r w:rsidR="005F1451" w:rsidRPr="003B7DA2">
              <w:rPr>
                <w:rFonts w:ascii="Calibri" w:hAnsi="Calibri"/>
                <w:bCs/>
                <w:sz w:val="22"/>
                <w:szCs w:val="22"/>
              </w:rPr>
              <w:t xml:space="preserve"> </w:t>
            </w:r>
            <w:r w:rsidRPr="003B7DA2">
              <w:rPr>
                <w:rFonts w:ascii="Calibri" w:hAnsi="Calibri"/>
                <w:bCs/>
                <w:sz w:val="22"/>
                <w:szCs w:val="22"/>
              </w:rPr>
              <w:t>000</w:t>
            </w:r>
            <w:r w:rsidR="005F1451" w:rsidRPr="003B7DA2">
              <w:rPr>
                <w:rFonts w:ascii="Calibri" w:hAnsi="Calibri"/>
                <w:bCs/>
                <w:sz w:val="22"/>
                <w:szCs w:val="22"/>
              </w:rPr>
              <w:t xml:space="preserve"> 000</w:t>
            </w:r>
          </w:p>
        </w:tc>
        <w:tc>
          <w:tcPr>
            <w:tcW w:w="785"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c>
          <w:tcPr>
            <w:tcW w:w="1149" w:type="dxa"/>
          </w:tcPr>
          <w:p w:rsidR="0092684C" w:rsidRPr="003B7DA2" w:rsidRDefault="0092684C">
            <w:pPr>
              <w:pStyle w:val="BodyText"/>
              <w:rPr>
                <w:rFonts w:ascii="Calibri" w:hAnsi="Calibri"/>
                <w:bCs/>
                <w:sz w:val="22"/>
                <w:szCs w:val="22"/>
              </w:rPr>
            </w:pPr>
            <w:r w:rsidRPr="003B7DA2">
              <w:rPr>
                <w:rFonts w:ascii="Calibri" w:hAnsi="Calibri"/>
                <w:bCs/>
                <w:sz w:val="22"/>
                <w:szCs w:val="22"/>
              </w:rPr>
              <w:t>1</w:t>
            </w:r>
            <w:r w:rsidR="005F1451" w:rsidRPr="003B7DA2">
              <w:rPr>
                <w:rFonts w:ascii="Calibri" w:hAnsi="Calibri"/>
                <w:bCs/>
                <w:sz w:val="22"/>
                <w:szCs w:val="22"/>
              </w:rPr>
              <w:t> </w:t>
            </w:r>
            <w:r w:rsidRPr="003B7DA2">
              <w:rPr>
                <w:rFonts w:ascii="Calibri" w:hAnsi="Calibri"/>
                <w:bCs/>
                <w:sz w:val="22"/>
                <w:szCs w:val="22"/>
              </w:rPr>
              <w:t>000</w:t>
            </w:r>
            <w:r w:rsidR="005F1451" w:rsidRPr="003B7DA2">
              <w:rPr>
                <w:rFonts w:ascii="Calibri" w:hAnsi="Calibri"/>
                <w:bCs/>
                <w:sz w:val="22"/>
                <w:szCs w:val="22"/>
              </w:rPr>
              <w:t xml:space="preserve"> 000</w:t>
            </w:r>
          </w:p>
        </w:tc>
      </w:tr>
      <w:tr w:rsidR="0092684C" w:rsidRPr="003B7DA2" w:rsidTr="00D45209">
        <w:tc>
          <w:tcPr>
            <w:tcW w:w="918" w:type="dxa"/>
          </w:tcPr>
          <w:p w:rsidR="0092684C" w:rsidRPr="003B7DA2" w:rsidRDefault="0092684C" w:rsidP="00D45209">
            <w:pPr>
              <w:jc w:val="center"/>
              <w:rPr>
                <w:rFonts w:ascii="Calibri" w:hAnsi="Calibri" w:cs="Arial"/>
                <w:sz w:val="22"/>
                <w:szCs w:val="22"/>
              </w:rPr>
            </w:pPr>
            <w:r w:rsidRPr="003B7DA2">
              <w:rPr>
                <w:rFonts w:ascii="Calibri" w:hAnsi="Calibri" w:cs="Arial"/>
                <w:sz w:val="22"/>
                <w:szCs w:val="22"/>
              </w:rPr>
              <w:t xml:space="preserve">Március </w:t>
            </w:r>
          </w:p>
        </w:tc>
        <w:tc>
          <w:tcPr>
            <w:tcW w:w="913" w:type="dxa"/>
          </w:tcPr>
          <w:p w:rsidR="0092684C" w:rsidRPr="003B7DA2" w:rsidRDefault="00B65BA2">
            <w:pPr>
              <w:pStyle w:val="BodyText"/>
              <w:rPr>
                <w:rFonts w:ascii="Calibri" w:hAnsi="Calibri" w:cs="Arial"/>
                <w:sz w:val="22"/>
                <w:szCs w:val="22"/>
              </w:rPr>
            </w:pPr>
            <w:r w:rsidRPr="003B7DA2">
              <w:rPr>
                <w:rFonts w:ascii="Calibri" w:hAnsi="Calibri" w:cs="Arial"/>
                <w:sz w:val="22"/>
                <w:szCs w:val="22"/>
              </w:rPr>
              <w:t>EG</w:t>
            </w:r>
          </w:p>
        </w:tc>
        <w:tc>
          <w:tcPr>
            <w:tcW w:w="797" w:type="dxa"/>
          </w:tcPr>
          <w:p w:rsidR="0092684C" w:rsidRPr="003B7DA2" w:rsidRDefault="0092684C">
            <w:pPr>
              <w:pStyle w:val="BodyText"/>
              <w:rPr>
                <w:rFonts w:ascii="Calibri" w:hAnsi="Calibri"/>
                <w:bCs/>
                <w:sz w:val="22"/>
                <w:szCs w:val="22"/>
              </w:rPr>
            </w:pPr>
            <w:r w:rsidRPr="003B7DA2">
              <w:rPr>
                <w:rFonts w:ascii="Calibri" w:hAnsi="Calibri" w:cs="Arial"/>
                <w:sz w:val="22"/>
                <w:szCs w:val="22"/>
              </w:rPr>
              <w:t>DE</w:t>
            </w:r>
          </w:p>
        </w:tc>
        <w:tc>
          <w:tcPr>
            <w:tcW w:w="1080" w:type="dxa"/>
          </w:tcPr>
          <w:p w:rsidR="0092684C" w:rsidRPr="003B7DA2" w:rsidRDefault="0092684C">
            <w:pPr>
              <w:pStyle w:val="BodyText"/>
              <w:rPr>
                <w:rFonts w:ascii="Calibri" w:hAnsi="Calibri"/>
                <w:bCs/>
                <w:sz w:val="22"/>
                <w:szCs w:val="22"/>
              </w:rPr>
            </w:pPr>
            <w:r w:rsidRPr="003B7DA2">
              <w:rPr>
                <w:rFonts w:ascii="Calibri" w:hAnsi="Calibri"/>
                <w:bCs/>
                <w:sz w:val="22"/>
                <w:szCs w:val="22"/>
              </w:rPr>
              <w:t>1</w:t>
            </w:r>
            <w:r w:rsidR="005F1451" w:rsidRPr="003B7DA2">
              <w:rPr>
                <w:rFonts w:ascii="Calibri" w:hAnsi="Calibri"/>
                <w:bCs/>
                <w:sz w:val="22"/>
                <w:szCs w:val="22"/>
              </w:rPr>
              <w:t> </w:t>
            </w:r>
            <w:r w:rsidRPr="003B7DA2">
              <w:rPr>
                <w:rFonts w:ascii="Calibri" w:hAnsi="Calibri"/>
                <w:bCs/>
                <w:sz w:val="22"/>
                <w:szCs w:val="22"/>
              </w:rPr>
              <w:t>000</w:t>
            </w:r>
            <w:r w:rsidR="005F1451" w:rsidRPr="003B7DA2">
              <w:rPr>
                <w:rFonts w:ascii="Calibri" w:hAnsi="Calibri"/>
                <w:bCs/>
                <w:sz w:val="22"/>
                <w:szCs w:val="22"/>
              </w:rPr>
              <w:t xml:space="preserve"> 000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195" w:type="dxa"/>
          </w:tcPr>
          <w:p w:rsidR="0092684C" w:rsidRPr="003B7DA2" w:rsidRDefault="0092684C">
            <w:pPr>
              <w:pStyle w:val="BodyText"/>
              <w:rPr>
                <w:rFonts w:ascii="Calibri" w:hAnsi="Calibri"/>
                <w:bCs/>
                <w:sz w:val="22"/>
                <w:szCs w:val="22"/>
              </w:rPr>
            </w:pPr>
            <w:r w:rsidRPr="003B7DA2">
              <w:rPr>
                <w:rFonts w:ascii="Calibri" w:hAnsi="Calibri"/>
                <w:bCs/>
                <w:sz w:val="22"/>
                <w:szCs w:val="22"/>
              </w:rPr>
              <w:t>- 1</w:t>
            </w:r>
            <w:r w:rsidR="005F1451" w:rsidRPr="003B7DA2">
              <w:rPr>
                <w:rFonts w:ascii="Calibri" w:hAnsi="Calibri"/>
                <w:bCs/>
                <w:sz w:val="22"/>
                <w:szCs w:val="22"/>
              </w:rPr>
              <w:t> </w:t>
            </w:r>
            <w:r w:rsidRPr="003B7DA2">
              <w:rPr>
                <w:rFonts w:ascii="Calibri" w:hAnsi="Calibri"/>
                <w:bCs/>
                <w:sz w:val="22"/>
                <w:szCs w:val="22"/>
              </w:rPr>
              <w:t>000</w:t>
            </w:r>
            <w:r w:rsidR="005F1451" w:rsidRPr="003B7DA2">
              <w:rPr>
                <w:rFonts w:ascii="Calibri" w:hAnsi="Calibri"/>
                <w:bCs/>
                <w:sz w:val="22"/>
                <w:szCs w:val="22"/>
              </w:rPr>
              <w:t xml:space="preserve"> 000</w:t>
            </w:r>
          </w:p>
        </w:tc>
        <w:tc>
          <w:tcPr>
            <w:tcW w:w="785"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c>
          <w:tcPr>
            <w:tcW w:w="1149"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r>
      <w:tr w:rsidR="0092684C" w:rsidRPr="003B7DA2" w:rsidTr="00D45209">
        <w:tc>
          <w:tcPr>
            <w:tcW w:w="918" w:type="dxa"/>
          </w:tcPr>
          <w:p w:rsidR="0092684C" w:rsidRPr="003B7DA2" w:rsidRDefault="0092684C" w:rsidP="00D45209">
            <w:pPr>
              <w:jc w:val="center"/>
              <w:rPr>
                <w:rFonts w:ascii="Calibri" w:hAnsi="Calibri" w:cs="Arial"/>
                <w:sz w:val="22"/>
                <w:szCs w:val="22"/>
              </w:rPr>
            </w:pPr>
            <w:r w:rsidRPr="003B7DA2">
              <w:rPr>
                <w:rFonts w:ascii="Calibri" w:hAnsi="Calibri" w:cs="Arial"/>
                <w:sz w:val="22"/>
                <w:szCs w:val="22"/>
              </w:rPr>
              <w:t>Április</w:t>
            </w:r>
          </w:p>
        </w:tc>
        <w:tc>
          <w:tcPr>
            <w:tcW w:w="913" w:type="dxa"/>
          </w:tcPr>
          <w:p w:rsidR="0092684C" w:rsidRPr="003B7DA2" w:rsidRDefault="00B65BA2">
            <w:pPr>
              <w:pStyle w:val="BodyText"/>
              <w:rPr>
                <w:rFonts w:ascii="Calibri" w:hAnsi="Calibri" w:cs="Arial"/>
                <w:sz w:val="22"/>
                <w:szCs w:val="22"/>
              </w:rPr>
            </w:pPr>
            <w:r w:rsidRPr="003B7DA2">
              <w:rPr>
                <w:rFonts w:ascii="Calibri" w:hAnsi="Calibri" w:cs="Arial"/>
                <w:sz w:val="22"/>
                <w:szCs w:val="22"/>
              </w:rPr>
              <w:t>EG</w:t>
            </w:r>
          </w:p>
        </w:tc>
        <w:tc>
          <w:tcPr>
            <w:tcW w:w="797" w:type="dxa"/>
          </w:tcPr>
          <w:p w:rsidR="0092684C" w:rsidRPr="003B7DA2" w:rsidRDefault="0092684C">
            <w:pPr>
              <w:pStyle w:val="BodyText"/>
              <w:rPr>
                <w:rFonts w:ascii="Calibri" w:hAnsi="Calibri"/>
                <w:bCs/>
                <w:sz w:val="22"/>
                <w:szCs w:val="22"/>
              </w:rPr>
            </w:pPr>
            <w:r w:rsidRPr="003B7DA2">
              <w:rPr>
                <w:rFonts w:ascii="Calibri" w:hAnsi="Calibri" w:cs="Arial"/>
                <w:sz w:val="22"/>
                <w:szCs w:val="22"/>
              </w:rPr>
              <w:t>DE</w:t>
            </w:r>
          </w:p>
        </w:tc>
        <w:tc>
          <w:tcPr>
            <w:tcW w:w="1080"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195"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c>
          <w:tcPr>
            <w:tcW w:w="785"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c>
          <w:tcPr>
            <w:tcW w:w="1149"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r>
      <w:tr w:rsidR="0092684C" w:rsidRPr="003B7DA2" w:rsidTr="00D45209">
        <w:tc>
          <w:tcPr>
            <w:tcW w:w="918" w:type="dxa"/>
          </w:tcPr>
          <w:p w:rsidR="0092684C" w:rsidRPr="003B7DA2" w:rsidRDefault="0092684C" w:rsidP="00D45209">
            <w:pPr>
              <w:jc w:val="center"/>
              <w:rPr>
                <w:rFonts w:ascii="Calibri" w:hAnsi="Calibri" w:cs="Arial"/>
                <w:sz w:val="22"/>
                <w:szCs w:val="22"/>
              </w:rPr>
            </w:pPr>
            <w:r w:rsidRPr="003B7DA2">
              <w:rPr>
                <w:rFonts w:ascii="Calibri" w:hAnsi="Calibri" w:cs="Arial"/>
                <w:sz w:val="22"/>
                <w:szCs w:val="22"/>
              </w:rPr>
              <w:t xml:space="preserve">Május </w:t>
            </w:r>
          </w:p>
        </w:tc>
        <w:tc>
          <w:tcPr>
            <w:tcW w:w="913" w:type="dxa"/>
          </w:tcPr>
          <w:p w:rsidR="0092684C" w:rsidRPr="003B7DA2" w:rsidRDefault="00B65BA2">
            <w:pPr>
              <w:pStyle w:val="BodyText"/>
              <w:rPr>
                <w:rFonts w:ascii="Calibri" w:hAnsi="Calibri" w:cs="Arial"/>
                <w:sz w:val="22"/>
                <w:szCs w:val="22"/>
              </w:rPr>
            </w:pPr>
            <w:r w:rsidRPr="003B7DA2">
              <w:rPr>
                <w:rFonts w:ascii="Calibri" w:hAnsi="Calibri" w:cs="Arial"/>
                <w:sz w:val="22"/>
                <w:szCs w:val="22"/>
              </w:rPr>
              <w:t>EG</w:t>
            </w:r>
          </w:p>
        </w:tc>
        <w:tc>
          <w:tcPr>
            <w:tcW w:w="797" w:type="dxa"/>
          </w:tcPr>
          <w:p w:rsidR="0092684C" w:rsidRPr="003B7DA2" w:rsidRDefault="0092684C">
            <w:pPr>
              <w:pStyle w:val="BodyText"/>
              <w:rPr>
                <w:rFonts w:ascii="Calibri" w:hAnsi="Calibri"/>
                <w:bCs/>
                <w:sz w:val="22"/>
                <w:szCs w:val="22"/>
              </w:rPr>
            </w:pPr>
            <w:r w:rsidRPr="003B7DA2">
              <w:rPr>
                <w:rFonts w:ascii="Calibri" w:hAnsi="Calibri" w:cs="Arial"/>
                <w:sz w:val="22"/>
                <w:szCs w:val="22"/>
              </w:rPr>
              <w:t>DE</w:t>
            </w:r>
          </w:p>
        </w:tc>
        <w:tc>
          <w:tcPr>
            <w:tcW w:w="1080"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195"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1</w:t>
            </w:r>
            <w:r w:rsidR="005F1451" w:rsidRPr="003B7DA2">
              <w:rPr>
                <w:rFonts w:ascii="Calibri" w:hAnsi="Calibri" w:cs="Arial"/>
                <w:sz w:val="22"/>
                <w:szCs w:val="22"/>
              </w:rPr>
              <w:t xml:space="preserve"> </w:t>
            </w:r>
            <w:r w:rsidRPr="003B7DA2">
              <w:rPr>
                <w:rFonts w:ascii="Calibri" w:hAnsi="Calibri" w:cs="Arial"/>
                <w:sz w:val="22"/>
                <w:szCs w:val="22"/>
              </w:rPr>
              <w:t>000</w:t>
            </w:r>
            <w:r w:rsidR="005F1451" w:rsidRPr="003B7DA2">
              <w:rPr>
                <w:rFonts w:ascii="Calibri" w:hAnsi="Calibri" w:cs="Arial"/>
                <w:sz w:val="22"/>
                <w:szCs w:val="22"/>
              </w:rPr>
              <w:t xml:space="preserve"> 000</w:t>
            </w:r>
          </w:p>
        </w:tc>
        <w:tc>
          <w:tcPr>
            <w:tcW w:w="785"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c>
          <w:tcPr>
            <w:tcW w:w="1149" w:type="dxa"/>
          </w:tcPr>
          <w:p w:rsidR="0092684C" w:rsidRPr="003B7DA2" w:rsidRDefault="0092684C">
            <w:pPr>
              <w:pStyle w:val="BodyText"/>
              <w:rPr>
                <w:rFonts w:ascii="Calibri" w:hAnsi="Calibri"/>
                <w:bCs/>
                <w:sz w:val="22"/>
                <w:szCs w:val="22"/>
              </w:rPr>
            </w:pPr>
            <w:r w:rsidRPr="003B7DA2">
              <w:rPr>
                <w:rFonts w:ascii="Calibri" w:hAnsi="Calibri"/>
                <w:bCs/>
                <w:sz w:val="22"/>
                <w:szCs w:val="22"/>
              </w:rPr>
              <w:t>1</w:t>
            </w:r>
            <w:r w:rsidR="005F1451" w:rsidRPr="003B7DA2">
              <w:rPr>
                <w:rFonts w:ascii="Calibri" w:hAnsi="Calibri"/>
                <w:bCs/>
                <w:sz w:val="22"/>
                <w:szCs w:val="22"/>
              </w:rPr>
              <w:t> </w:t>
            </w:r>
            <w:r w:rsidRPr="003B7DA2">
              <w:rPr>
                <w:rFonts w:ascii="Calibri" w:hAnsi="Calibri"/>
                <w:bCs/>
                <w:sz w:val="22"/>
                <w:szCs w:val="22"/>
              </w:rPr>
              <w:t>000</w:t>
            </w:r>
            <w:r w:rsidR="005F1451" w:rsidRPr="003B7DA2">
              <w:rPr>
                <w:rFonts w:ascii="Calibri" w:hAnsi="Calibri"/>
                <w:bCs/>
                <w:sz w:val="22"/>
                <w:szCs w:val="22"/>
              </w:rPr>
              <w:t xml:space="preserve"> 000</w:t>
            </w:r>
          </w:p>
        </w:tc>
      </w:tr>
      <w:tr w:rsidR="0092684C" w:rsidRPr="003B7DA2" w:rsidTr="00D45209">
        <w:tc>
          <w:tcPr>
            <w:tcW w:w="918" w:type="dxa"/>
          </w:tcPr>
          <w:p w:rsidR="0092684C" w:rsidRPr="003B7DA2" w:rsidRDefault="0092684C" w:rsidP="00D45209">
            <w:pPr>
              <w:jc w:val="center"/>
              <w:rPr>
                <w:rFonts w:ascii="Calibri" w:hAnsi="Calibri" w:cs="Arial"/>
                <w:sz w:val="22"/>
                <w:szCs w:val="22"/>
              </w:rPr>
            </w:pPr>
            <w:r w:rsidRPr="003B7DA2">
              <w:rPr>
                <w:rFonts w:ascii="Calibri" w:hAnsi="Calibri" w:cs="Arial"/>
                <w:sz w:val="22"/>
                <w:szCs w:val="22"/>
              </w:rPr>
              <w:t>Június</w:t>
            </w:r>
          </w:p>
        </w:tc>
        <w:tc>
          <w:tcPr>
            <w:tcW w:w="913" w:type="dxa"/>
          </w:tcPr>
          <w:p w:rsidR="0092684C" w:rsidRPr="003B7DA2" w:rsidRDefault="00B65BA2">
            <w:pPr>
              <w:pStyle w:val="BodyText"/>
              <w:rPr>
                <w:rFonts w:ascii="Calibri" w:hAnsi="Calibri" w:cs="Arial"/>
                <w:sz w:val="22"/>
                <w:szCs w:val="22"/>
              </w:rPr>
            </w:pPr>
            <w:r w:rsidRPr="003B7DA2">
              <w:rPr>
                <w:rFonts w:ascii="Calibri" w:hAnsi="Calibri" w:cs="Arial"/>
                <w:sz w:val="22"/>
                <w:szCs w:val="22"/>
              </w:rPr>
              <w:t>EG</w:t>
            </w:r>
          </w:p>
        </w:tc>
        <w:tc>
          <w:tcPr>
            <w:tcW w:w="797" w:type="dxa"/>
          </w:tcPr>
          <w:p w:rsidR="0092684C" w:rsidRPr="003B7DA2" w:rsidRDefault="0092684C">
            <w:pPr>
              <w:pStyle w:val="BodyText"/>
              <w:rPr>
                <w:rFonts w:ascii="Calibri" w:hAnsi="Calibri"/>
                <w:bCs/>
                <w:sz w:val="22"/>
                <w:szCs w:val="22"/>
              </w:rPr>
            </w:pPr>
            <w:r w:rsidRPr="003B7DA2">
              <w:rPr>
                <w:rFonts w:ascii="Calibri" w:hAnsi="Calibri" w:cs="Arial"/>
                <w:sz w:val="22"/>
                <w:szCs w:val="22"/>
              </w:rPr>
              <w:t>DE</w:t>
            </w:r>
          </w:p>
        </w:tc>
        <w:tc>
          <w:tcPr>
            <w:tcW w:w="1080" w:type="dxa"/>
          </w:tcPr>
          <w:p w:rsidR="0092684C" w:rsidRPr="003B7DA2" w:rsidRDefault="0092684C">
            <w:pPr>
              <w:pStyle w:val="BodyText"/>
              <w:rPr>
                <w:rFonts w:ascii="Calibri" w:hAnsi="Calibri"/>
                <w:bCs/>
                <w:sz w:val="22"/>
                <w:szCs w:val="22"/>
              </w:rPr>
            </w:pPr>
            <w:r w:rsidRPr="003B7DA2">
              <w:rPr>
                <w:rFonts w:ascii="Calibri" w:hAnsi="Calibri"/>
                <w:bCs/>
                <w:sz w:val="22"/>
                <w:szCs w:val="22"/>
              </w:rPr>
              <w:t>1</w:t>
            </w:r>
            <w:r w:rsidR="005F1451" w:rsidRPr="003B7DA2">
              <w:rPr>
                <w:rFonts w:ascii="Calibri" w:hAnsi="Calibri"/>
                <w:bCs/>
                <w:sz w:val="22"/>
                <w:szCs w:val="22"/>
              </w:rPr>
              <w:t> </w:t>
            </w:r>
            <w:r w:rsidRPr="003B7DA2">
              <w:rPr>
                <w:rFonts w:ascii="Calibri" w:hAnsi="Calibri"/>
                <w:bCs/>
                <w:sz w:val="22"/>
                <w:szCs w:val="22"/>
              </w:rPr>
              <w:t>000</w:t>
            </w:r>
            <w:r w:rsidR="005F1451" w:rsidRPr="003B7DA2">
              <w:rPr>
                <w:rFonts w:ascii="Calibri" w:hAnsi="Calibri"/>
                <w:bCs/>
                <w:sz w:val="22"/>
                <w:szCs w:val="22"/>
              </w:rPr>
              <w:t xml:space="preserve"> 000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0</w:t>
            </w:r>
          </w:p>
        </w:tc>
        <w:tc>
          <w:tcPr>
            <w:tcW w:w="1080" w:type="dxa"/>
          </w:tcPr>
          <w:p w:rsidR="0092684C" w:rsidRPr="003B7DA2" w:rsidRDefault="0092684C">
            <w:pPr>
              <w:pStyle w:val="BodyText"/>
              <w:rPr>
                <w:rFonts w:ascii="Calibri" w:hAnsi="Calibri" w:cs="Arial"/>
                <w:sz w:val="22"/>
                <w:szCs w:val="22"/>
              </w:rPr>
            </w:pPr>
            <w:r w:rsidRPr="003B7DA2">
              <w:rPr>
                <w:rFonts w:ascii="Calibri" w:hAnsi="Calibri" w:cs="Arial"/>
                <w:sz w:val="22"/>
                <w:szCs w:val="22"/>
              </w:rPr>
              <w:t>600</w:t>
            </w:r>
            <w:r w:rsidR="005F1451" w:rsidRPr="003B7DA2">
              <w:rPr>
                <w:rFonts w:ascii="Calibri" w:hAnsi="Calibri" w:cs="Arial"/>
                <w:sz w:val="22"/>
                <w:szCs w:val="22"/>
              </w:rPr>
              <w:t xml:space="preserve"> 000</w:t>
            </w:r>
          </w:p>
        </w:tc>
        <w:tc>
          <w:tcPr>
            <w:tcW w:w="1195" w:type="dxa"/>
          </w:tcPr>
          <w:p w:rsidR="0092684C" w:rsidRPr="003B7DA2" w:rsidRDefault="0092684C">
            <w:pPr>
              <w:pStyle w:val="BodyText"/>
              <w:rPr>
                <w:rFonts w:ascii="Calibri" w:hAnsi="Calibri" w:cs="Arial"/>
                <w:sz w:val="22"/>
                <w:szCs w:val="22"/>
              </w:rPr>
            </w:pPr>
            <w:r w:rsidRPr="003B7DA2">
              <w:rPr>
                <w:rFonts w:ascii="Calibri" w:hAnsi="Calibri"/>
                <w:bCs/>
                <w:sz w:val="22"/>
                <w:szCs w:val="22"/>
              </w:rPr>
              <w:t>- 400</w:t>
            </w:r>
            <w:r w:rsidR="005F1451" w:rsidRPr="003B7DA2">
              <w:rPr>
                <w:rFonts w:ascii="Calibri" w:hAnsi="Calibri"/>
                <w:bCs/>
                <w:sz w:val="22"/>
                <w:szCs w:val="22"/>
              </w:rPr>
              <w:t xml:space="preserve"> 000</w:t>
            </w:r>
          </w:p>
        </w:tc>
        <w:tc>
          <w:tcPr>
            <w:tcW w:w="785"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c>
          <w:tcPr>
            <w:tcW w:w="1149" w:type="dxa"/>
          </w:tcPr>
          <w:p w:rsidR="0092684C" w:rsidRPr="003B7DA2" w:rsidRDefault="0092684C">
            <w:pPr>
              <w:pStyle w:val="BodyText"/>
              <w:rPr>
                <w:rFonts w:ascii="Calibri" w:hAnsi="Calibri"/>
                <w:bCs/>
                <w:sz w:val="22"/>
                <w:szCs w:val="22"/>
              </w:rPr>
            </w:pPr>
            <w:r w:rsidRPr="003B7DA2">
              <w:rPr>
                <w:rFonts w:ascii="Calibri" w:hAnsi="Calibri"/>
                <w:bCs/>
                <w:sz w:val="22"/>
                <w:szCs w:val="22"/>
              </w:rPr>
              <w:t>0</w:t>
            </w:r>
          </w:p>
        </w:tc>
      </w:tr>
    </w:tbl>
    <w:p w:rsidR="0092684C" w:rsidRPr="003B7DA2" w:rsidRDefault="0092684C">
      <w:pPr>
        <w:rPr>
          <w:rFonts w:ascii="Calibri" w:hAnsi="Calibri"/>
          <w:sz w:val="22"/>
          <w:szCs w:val="22"/>
        </w:rPr>
      </w:pPr>
    </w:p>
    <w:p w:rsidR="0092684C" w:rsidRPr="003B7DA2" w:rsidRDefault="0092684C">
      <w:pPr>
        <w:jc w:val="both"/>
        <w:rPr>
          <w:rFonts w:ascii="Calibri" w:hAnsi="Calibri" w:cs="Garamond"/>
          <w:i/>
          <w:sz w:val="22"/>
          <w:szCs w:val="22"/>
        </w:rPr>
      </w:pPr>
    </w:p>
    <w:p w:rsidR="0092684C" w:rsidRPr="003B7DA2" w:rsidRDefault="0092684C">
      <w:pPr>
        <w:jc w:val="both"/>
        <w:rPr>
          <w:rFonts w:ascii="Calibri" w:hAnsi="Calibri" w:cs="Garamond"/>
          <w:i/>
          <w:sz w:val="22"/>
          <w:szCs w:val="22"/>
        </w:rPr>
      </w:pPr>
    </w:p>
    <w:p w:rsidR="0092684C" w:rsidRPr="003B7DA2" w:rsidRDefault="0092684C">
      <w:pPr>
        <w:ind w:firstLine="720"/>
        <w:jc w:val="both"/>
        <w:rPr>
          <w:rFonts w:ascii="Calibri" w:hAnsi="Calibri"/>
          <w:sz w:val="22"/>
          <w:szCs w:val="22"/>
        </w:rPr>
      </w:pPr>
      <w:r w:rsidRPr="003B7DA2">
        <w:rPr>
          <w:rFonts w:ascii="Calibri" w:hAnsi="Calibri"/>
          <w:b/>
          <w:snapToGrid w:val="0"/>
          <w:sz w:val="22"/>
          <w:szCs w:val="22"/>
          <w:lang w:eastAsia="en-US"/>
        </w:rPr>
        <w:t>Devizától, valutától eltérő mögöttes termék</w:t>
      </w:r>
      <w:r w:rsidRPr="003B7DA2">
        <w:rPr>
          <w:rFonts w:ascii="Calibri" w:hAnsi="Calibri"/>
          <w:sz w:val="22"/>
          <w:szCs w:val="22"/>
        </w:rPr>
        <w:t xml:space="preserve"> esetében: </w:t>
      </w:r>
    </w:p>
    <w:p w:rsidR="0092684C" w:rsidRPr="003B7DA2" w:rsidRDefault="0092684C">
      <w:pPr>
        <w:ind w:left="720"/>
        <w:jc w:val="both"/>
        <w:rPr>
          <w:rFonts w:ascii="Calibri" w:hAnsi="Calibri"/>
          <w:b/>
          <w:snapToGrid w:val="0"/>
          <w:sz w:val="22"/>
          <w:szCs w:val="22"/>
          <w:lang w:eastAsia="en-US"/>
        </w:rPr>
      </w:pPr>
    </w:p>
    <w:p w:rsidR="0092684C" w:rsidRPr="003B7DA2" w:rsidRDefault="0092684C">
      <w:pPr>
        <w:ind w:left="720"/>
        <w:jc w:val="both"/>
        <w:rPr>
          <w:rFonts w:ascii="Calibri" w:hAnsi="Calibri"/>
          <w:b/>
          <w:snapToGrid w:val="0"/>
          <w:sz w:val="22"/>
          <w:szCs w:val="22"/>
          <w:lang w:eastAsia="en-US"/>
        </w:rPr>
      </w:pPr>
      <w:r w:rsidRPr="003B7DA2">
        <w:rPr>
          <w:rFonts w:ascii="Calibri" w:hAnsi="Calibri"/>
          <w:b/>
          <w:snapToGrid w:val="0"/>
          <w:sz w:val="22"/>
          <w:szCs w:val="22"/>
          <w:lang w:eastAsia="en-US"/>
        </w:rPr>
        <w:t>Tranzakciók:</w:t>
      </w:r>
    </w:p>
    <w:p w:rsidR="0092684C" w:rsidRPr="003B7DA2" w:rsidRDefault="0092684C">
      <w:pPr>
        <w:ind w:left="720"/>
        <w:jc w:val="both"/>
        <w:rPr>
          <w:rFonts w:ascii="Calibri" w:hAnsi="Calibri"/>
          <w:snapToGrid w:val="0"/>
          <w:sz w:val="22"/>
          <w:szCs w:val="22"/>
          <w:lang w:eastAsia="en-US"/>
        </w:rPr>
      </w:pPr>
    </w:p>
    <w:p w:rsidR="0092684C" w:rsidRPr="003B7DA2" w:rsidRDefault="0092684C">
      <w:pPr>
        <w:ind w:left="720"/>
        <w:jc w:val="both"/>
        <w:rPr>
          <w:rFonts w:ascii="Calibri" w:hAnsi="Calibri"/>
          <w:snapToGrid w:val="0"/>
          <w:sz w:val="22"/>
          <w:szCs w:val="22"/>
          <w:lang w:eastAsia="en-US"/>
        </w:rPr>
      </w:pPr>
      <w:r w:rsidRPr="003B7DA2">
        <w:rPr>
          <w:rFonts w:ascii="Calibri" w:hAnsi="Calibri"/>
          <w:snapToGrid w:val="0"/>
          <w:sz w:val="22"/>
          <w:szCs w:val="22"/>
          <w:lang w:eastAsia="en-US"/>
        </w:rPr>
        <w:t xml:space="preserve">Amennyiben egy pénzügyi </w:t>
      </w:r>
      <w:proofErr w:type="spellStart"/>
      <w:r w:rsidRPr="003B7DA2">
        <w:rPr>
          <w:rFonts w:ascii="Calibri" w:hAnsi="Calibri"/>
          <w:snapToGrid w:val="0"/>
          <w:sz w:val="22"/>
          <w:szCs w:val="22"/>
          <w:lang w:eastAsia="en-US"/>
        </w:rPr>
        <w:t>derivatíva</w:t>
      </w:r>
      <w:proofErr w:type="spellEnd"/>
      <w:r w:rsidRPr="003B7DA2">
        <w:rPr>
          <w:rFonts w:ascii="Calibri" w:hAnsi="Calibri"/>
          <w:snapToGrid w:val="0"/>
          <w:sz w:val="22"/>
          <w:szCs w:val="22"/>
          <w:lang w:eastAsia="en-US"/>
        </w:rPr>
        <w:t xml:space="preserve"> ügylet az alapul szolgáló valamely reál termék tényleges leszállításával jár, e táblákban </w:t>
      </w:r>
      <w:proofErr w:type="spellStart"/>
      <w:r w:rsidRPr="003B7DA2">
        <w:rPr>
          <w:rFonts w:ascii="Calibri" w:hAnsi="Calibri"/>
          <w:snapToGrid w:val="0"/>
          <w:sz w:val="22"/>
          <w:szCs w:val="22"/>
          <w:lang w:eastAsia="en-US"/>
        </w:rPr>
        <w:t>derivatíva</w:t>
      </w:r>
      <w:proofErr w:type="spellEnd"/>
      <w:r w:rsidRPr="003B7DA2">
        <w:rPr>
          <w:rFonts w:ascii="Calibri" w:hAnsi="Calibri"/>
          <w:snapToGrid w:val="0"/>
          <w:sz w:val="22"/>
          <w:szCs w:val="22"/>
          <w:lang w:eastAsia="en-US"/>
        </w:rPr>
        <w:t xml:space="preserve"> tranzakcióként csak a mögöttes termék aktuális piaci ára és a szerződéses (kötési) ára közötti különbözeteket kell jelenteni az adatszolgáltató szempontjából nézve bevételként, vagy kiadásként, az iránynak megfelelő táblában. Az időszak végi kiértékelések a mögöttes termék árváltozásait figyelembe véve történnek, a tábla kitöltése a megfelelő instrumentum szerint történik (pl. az elszámolásos </w:t>
      </w:r>
      <w:proofErr w:type="spellStart"/>
      <w:r w:rsidRPr="003B7DA2">
        <w:rPr>
          <w:rFonts w:ascii="Calibri" w:hAnsi="Calibri"/>
          <w:snapToGrid w:val="0"/>
          <w:sz w:val="22"/>
          <w:szCs w:val="22"/>
          <w:lang w:eastAsia="en-US"/>
        </w:rPr>
        <w:t>forward</w:t>
      </w:r>
      <w:proofErr w:type="spellEnd"/>
      <w:r w:rsidRPr="003B7DA2">
        <w:rPr>
          <w:rFonts w:ascii="Calibri" w:hAnsi="Calibri"/>
          <w:snapToGrid w:val="0"/>
          <w:sz w:val="22"/>
          <w:szCs w:val="22"/>
          <w:lang w:eastAsia="en-US"/>
        </w:rPr>
        <w:t xml:space="preserve"> ügyletre adott példa szerint, amennyiben határidős áru, vagy értékpapír vásárlásról van szó, mivel az értékkülönbözet lesz a pénzügyi </w:t>
      </w:r>
      <w:proofErr w:type="spellStart"/>
      <w:r w:rsidRPr="003B7DA2">
        <w:rPr>
          <w:rFonts w:ascii="Calibri" w:hAnsi="Calibri"/>
          <w:snapToGrid w:val="0"/>
          <w:sz w:val="22"/>
          <w:szCs w:val="22"/>
          <w:lang w:eastAsia="en-US"/>
        </w:rPr>
        <w:t>derivatíva</w:t>
      </w:r>
      <w:proofErr w:type="spellEnd"/>
      <w:r w:rsidRPr="003B7DA2">
        <w:rPr>
          <w:rFonts w:ascii="Calibri" w:hAnsi="Calibri"/>
          <w:snapToGrid w:val="0"/>
          <w:sz w:val="22"/>
          <w:szCs w:val="22"/>
          <w:lang w:eastAsia="en-US"/>
        </w:rPr>
        <w:t xml:space="preserve"> tranzakció, maga a leszállítás nem jelentendő </w:t>
      </w:r>
      <w:proofErr w:type="spellStart"/>
      <w:r w:rsidRPr="003B7DA2">
        <w:rPr>
          <w:rFonts w:ascii="Calibri" w:hAnsi="Calibri"/>
          <w:snapToGrid w:val="0"/>
          <w:sz w:val="22"/>
          <w:szCs w:val="22"/>
          <w:lang w:eastAsia="en-US"/>
        </w:rPr>
        <w:t>derivatívaként</w:t>
      </w:r>
      <w:proofErr w:type="spellEnd"/>
      <w:r w:rsidRPr="003B7DA2">
        <w:rPr>
          <w:rFonts w:ascii="Calibri" w:hAnsi="Calibri"/>
          <w:snapToGrid w:val="0"/>
          <w:sz w:val="22"/>
          <w:szCs w:val="22"/>
          <w:lang w:eastAsia="en-US"/>
        </w:rPr>
        <w:t xml:space="preserve">, vagy </w:t>
      </w:r>
      <w:proofErr w:type="spellStart"/>
      <w:r w:rsidRPr="003B7DA2">
        <w:rPr>
          <w:rFonts w:ascii="Calibri" w:hAnsi="Calibri"/>
          <w:snapToGrid w:val="0"/>
          <w:sz w:val="22"/>
          <w:szCs w:val="22"/>
          <w:lang w:eastAsia="en-US"/>
        </w:rPr>
        <w:t>futures</w:t>
      </w:r>
      <w:proofErr w:type="spellEnd"/>
      <w:r w:rsidRPr="003B7DA2">
        <w:rPr>
          <w:rFonts w:ascii="Calibri" w:hAnsi="Calibri"/>
          <w:snapToGrid w:val="0"/>
          <w:sz w:val="22"/>
          <w:szCs w:val="22"/>
          <w:lang w:eastAsia="en-US"/>
        </w:rPr>
        <w:t xml:space="preserve"> ügyletre adott példa szerint, amennyiben a vonatkozó tőzsdén a szóban forgó ügylettel kapcsolatban folyamatosan megtörténik az értékkülönbözetek rendezése, esetleg az opcióknál adott példa szerint, amennyiben opciós ügyletről van szó). </w:t>
      </w:r>
    </w:p>
    <w:p w:rsidR="0092684C" w:rsidRPr="003B7DA2" w:rsidRDefault="0092684C">
      <w:pPr>
        <w:ind w:left="720"/>
        <w:jc w:val="both"/>
        <w:rPr>
          <w:rFonts w:ascii="Calibri" w:hAnsi="Calibri"/>
          <w:snapToGrid w:val="0"/>
          <w:sz w:val="22"/>
          <w:szCs w:val="22"/>
          <w:lang w:eastAsia="en-US"/>
        </w:rPr>
      </w:pPr>
    </w:p>
    <w:p w:rsidR="0092684C" w:rsidRPr="003B7DA2" w:rsidRDefault="0092684C">
      <w:pPr>
        <w:tabs>
          <w:tab w:val="left" w:pos="1440"/>
        </w:tabs>
        <w:jc w:val="both"/>
        <w:rPr>
          <w:rFonts w:ascii="Calibri" w:hAnsi="Calibri"/>
          <w:sz w:val="22"/>
          <w:szCs w:val="22"/>
        </w:rPr>
      </w:pPr>
    </w:p>
    <w:sectPr w:rsidR="0092684C" w:rsidRPr="003B7DA2">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6FE" w:rsidRDefault="005B46FE">
      <w:r>
        <w:separator/>
      </w:r>
    </w:p>
  </w:endnote>
  <w:endnote w:type="continuationSeparator" w:id="0">
    <w:p w:rsidR="005B46FE" w:rsidRDefault="005B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748" w:rsidRDefault="00EF0748" w:rsidP="005834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0748" w:rsidRDefault="00EF0748" w:rsidP="005834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748" w:rsidRDefault="00EF0748" w:rsidP="005834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7DA2">
      <w:rPr>
        <w:rStyle w:val="PageNumber"/>
        <w:noProof/>
      </w:rPr>
      <w:t>19</w:t>
    </w:r>
    <w:r>
      <w:rPr>
        <w:rStyle w:val="PageNumber"/>
      </w:rPr>
      <w:fldChar w:fldCharType="end"/>
    </w:r>
  </w:p>
  <w:p w:rsidR="00EF0748" w:rsidRDefault="00EF0748" w:rsidP="005834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6FE" w:rsidRDefault="005B46FE">
      <w:r>
        <w:separator/>
      </w:r>
    </w:p>
  </w:footnote>
  <w:footnote w:type="continuationSeparator" w:id="0">
    <w:p w:rsidR="005B46FE" w:rsidRDefault="005B4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032C0"/>
    <w:multiLevelType w:val="hybridMultilevel"/>
    <w:tmpl w:val="5DB2CE42"/>
    <w:lvl w:ilvl="0" w:tplc="763084F4">
      <w:start w:val="1"/>
      <w:numFmt w:val="upperLetter"/>
      <w:lvlText w:val="%1."/>
      <w:lvlJc w:val="left"/>
      <w:pPr>
        <w:tabs>
          <w:tab w:val="num" w:pos="360"/>
        </w:tabs>
        <w:ind w:left="360" w:hanging="360"/>
      </w:pPr>
      <w:rPr>
        <w:rFonts w:hint="default"/>
        <w:b/>
      </w:rPr>
    </w:lvl>
    <w:lvl w:ilvl="1" w:tplc="040E0013">
      <w:start w:val="1"/>
      <w:numFmt w:val="upperRoman"/>
      <w:lvlText w:val="%2."/>
      <w:lvlJc w:val="right"/>
      <w:pPr>
        <w:tabs>
          <w:tab w:val="num" w:pos="900"/>
        </w:tabs>
        <w:ind w:left="900" w:hanging="180"/>
      </w:pPr>
      <w:rPr>
        <w:rFonts w:hint="default"/>
      </w:rPr>
    </w:lvl>
    <w:lvl w:ilvl="2" w:tplc="878EC85E">
      <w:start w:val="7"/>
      <w:numFmt w:val="decimal"/>
      <w:lvlText w:val="%3."/>
      <w:lvlJc w:val="left"/>
      <w:pPr>
        <w:tabs>
          <w:tab w:val="num" w:pos="1800"/>
        </w:tabs>
        <w:ind w:left="1800" w:hanging="360"/>
      </w:pPr>
      <w:rPr>
        <w:rFonts w:hint="default"/>
      </w:rPr>
    </w:lvl>
    <w:lvl w:ilvl="3" w:tplc="5EA8C3DE">
      <w:start w:val="1"/>
      <w:numFmt w:val="lowerLetter"/>
      <w:lvlText w:val="%4.)"/>
      <w:lvlJc w:val="left"/>
      <w:pPr>
        <w:tabs>
          <w:tab w:val="num" w:pos="2520"/>
        </w:tabs>
        <w:ind w:left="2520" w:hanging="360"/>
      </w:pPr>
      <w:rPr>
        <w:rFonts w:hint="default"/>
        <w:b/>
        <w:u w:val="single"/>
      </w:rPr>
    </w:lvl>
    <w:lvl w:ilvl="4" w:tplc="2A9ACB74">
      <w:start w:val="2"/>
      <w:numFmt w:val="upperLetter"/>
      <w:lvlText w:val="%5.)"/>
      <w:lvlJc w:val="left"/>
      <w:pPr>
        <w:tabs>
          <w:tab w:val="num" w:pos="3240"/>
        </w:tabs>
        <w:ind w:left="3240" w:hanging="360"/>
      </w:pPr>
      <w:rPr>
        <w:rFonts w:ascii="Garamond" w:hAnsi="Garamond"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4214A09"/>
    <w:multiLevelType w:val="hybridMultilevel"/>
    <w:tmpl w:val="6A001E88"/>
    <w:lvl w:ilvl="0" w:tplc="040E0005">
      <w:start w:val="1"/>
      <w:numFmt w:val="bullet"/>
      <w:lvlText w:val=""/>
      <w:lvlJc w:val="left"/>
      <w:pPr>
        <w:tabs>
          <w:tab w:val="num" w:pos="360"/>
        </w:tabs>
        <w:ind w:left="360" w:hanging="360"/>
      </w:pPr>
      <w:rPr>
        <w:rFonts w:ascii="Wingdings" w:hAnsi="Wingdings" w:hint="default"/>
      </w:rPr>
    </w:lvl>
    <w:lvl w:ilvl="1" w:tplc="46E4E632">
      <w:numFmt w:val="bullet"/>
      <w:lvlText w:val="-"/>
      <w:lvlJc w:val="left"/>
      <w:pPr>
        <w:tabs>
          <w:tab w:val="num" w:pos="1080"/>
        </w:tabs>
        <w:ind w:left="1080" w:hanging="360"/>
      </w:pPr>
      <w:rPr>
        <w:rFonts w:ascii="Garamond" w:eastAsia="Times New Roman" w:hAnsi="Garamond" w:cs="Times New Roman" w:hint="default"/>
      </w:rPr>
    </w:lvl>
    <w:lvl w:ilvl="2" w:tplc="040E0005">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2151B8"/>
    <w:multiLevelType w:val="hybridMultilevel"/>
    <w:tmpl w:val="974A5BA4"/>
    <w:lvl w:ilvl="0" w:tplc="040E0017">
      <w:start w:val="1"/>
      <w:numFmt w:val="lowerLetter"/>
      <w:lvlText w:val="%1)"/>
      <w:lvlJc w:val="left"/>
      <w:pPr>
        <w:tabs>
          <w:tab w:val="num" w:pos="720"/>
        </w:tabs>
        <w:ind w:left="720" w:hanging="360"/>
      </w:p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6AD966BA"/>
    <w:multiLevelType w:val="hybridMultilevel"/>
    <w:tmpl w:val="6E1E1136"/>
    <w:lvl w:ilvl="0" w:tplc="040E0005">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D2550B"/>
    <w:multiLevelType w:val="hybridMultilevel"/>
    <w:tmpl w:val="BC7A2CEA"/>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3402"/>
    <w:rsid w:val="0006326C"/>
    <w:rsid w:val="00127224"/>
    <w:rsid w:val="00146264"/>
    <w:rsid w:val="001677E7"/>
    <w:rsid w:val="001B44CE"/>
    <w:rsid w:val="00215FBE"/>
    <w:rsid w:val="00260413"/>
    <w:rsid w:val="0027262F"/>
    <w:rsid w:val="002E01FF"/>
    <w:rsid w:val="00343062"/>
    <w:rsid w:val="003A3297"/>
    <w:rsid w:val="003B7DA2"/>
    <w:rsid w:val="003D468D"/>
    <w:rsid w:val="00401CFA"/>
    <w:rsid w:val="0042568A"/>
    <w:rsid w:val="00450DB8"/>
    <w:rsid w:val="004C73FB"/>
    <w:rsid w:val="004C7EE0"/>
    <w:rsid w:val="0052559A"/>
    <w:rsid w:val="00531997"/>
    <w:rsid w:val="00583402"/>
    <w:rsid w:val="0058577D"/>
    <w:rsid w:val="00595B8E"/>
    <w:rsid w:val="005A655A"/>
    <w:rsid w:val="005B46FE"/>
    <w:rsid w:val="005F1451"/>
    <w:rsid w:val="00601BFA"/>
    <w:rsid w:val="00695875"/>
    <w:rsid w:val="00722D7A"/>
    <w:rsid w:val="00727BF5"/>
    <w:rsid w:val="00744347"/>
    <w:rsid w:val="00874533"/>
    <w:rsid w:val="00921A62"/>
    <w:rsid w:val="0092684C"/>
    <w:rsid w:val="00932E05"/>
    <w:rsid w:val="009C20F5"/>
    <w:rsid w:val="009D212F"/>
    <w:rsid w:val="00A37F7F"/>
    <w:rsid w:val="00A80ACF"/>
    <w:rsid w:val="00A95B1D"/>
    <w:rsid w:val="00B17209"/>
    <w:rsid w:val="00B65BA2"/>
    <w:rsid w:val="00BE22CF"/>
    <w:rsid w:val="00BF7D76"/>
    <w:rsid w:val="00C30686"/>
    <w:rsid w:val="00C414DE"/>
    <w:rsid w:val="00C70DED"/>
    <w:rsid w:val="00C973AB"/>
    <w:rsid w:val="00CD6D72"/>
    <w:rsid w:val="00CE7EB0"/>
    <w:rsid w:val="00CF4CDD"/>
    <w:rsid w:val="00D45209"/>
    <w:rsid w:val="00E10029"/>
    <w:rsid w:val="00EF0748"/>
    <w:rsid w:val="00F01240"/>
    <w:rsid w:val="00F16E63"/>
    <w:rsid w:val="00F17625"/>
    <w:rsid w:val="00FA292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FC165FB-E1EB-4CC1-BFA5-6FA2C155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hAnsi="Garamond"/>
      <w:sz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before="60"/>
      <w:jc w:val="both"/>
    </w:pPr>
    <w:rPr>
      <w:rFonts w:ascii="Times New Roman" w:hAnsi="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FootnoteReference">
    <w:name w:val="footnote reference"/>
    <w:basedOn w:val="DefaultParagraphFont"/>
    <w:semiHidden/>
    <w:rPr>
      <w:vertAlign w:val="superscript"/>
    </w:rPr>
  </w:style>
  <w:style w:type="paragraph" w:styleId="BlockText">
    <w:name w:val="Block Text"/>
    <w:basedOn w:val="Normal"/>
    <w:pPr>
      <w:spacing w:before="120"/>
      <w:ind w:left="283" w:right="562"/>
      <w:jc w:val="both"/>
    </w:pPr>
    <w:rPr>
      <w:rFonts w:ascii="Times New Roman" w:hAnsi="Times New Roman"/>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Times New Roman" w:hAnsi="Times New Roman"/>
      <w:sz w:val="20"/>
    </w:rPr>
  </w:style>
  <w:style w:type="paragraph" w:customStyle="1" w:styleId="CharChar1CharCharCharCharCharCharCharCharCharCharCharCharChar">
    <w:name w:val=" Char Char1 Char Char Char Char Char Char Char Char Char Char Char Char Char"/>
    <w:basedOn w:val="Normal"/>
    <w:rsid w:val="00EF0748"/>
    <w:pPr>
      <w:spacing w:after="160" w:line="240" w:lineRule="exact"/>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96972">
      <w:bodyDiv w:val="1"/>
      <w:marLeft w:val="0"/>
      <w:marRight w:val="0"/>
      <w:marTop w:val="0"/>
      <w:marBottom w:val="0"/>
      <w:divBdr>
        <w:top w:val="none" w:sz="0" w:space="0" w:color="auto"/>
        <w:left w:val="none" w:sz="0" w:space="0" w:color="auto"/>
        <w:bottom w:val="none" w:sz="0" w:space="0" w:color="auto"/>
        <w:right w:val="none" w:sz="0" w:space="0" w:color="auto"/>
      </w:divBdr>
    </w:div>
    <w:div w:id="213277825">
      <w:bodyDiv w:val="1"/>
      <w:marLeft w:val="0"/>
      <w:marRight w:val="0"/>
      <w:marTop w:val="0"/>
      <w:marBottom w:val="0"/>
      <w:divBdr>
        <w:top w:val="none" w:sz="0" w:space="0" w:color="auto"/>
        <w:left w:val="none" w:sz="0" w:space="0" w:color="auto"/>
        <w:bottom w:val="none" w:sz="0" w:space="0" w:color="auto"/>
        <w:right w:val="none" w:sz="0" w:space="0" w:color="auto"/>
      </w:divBdr>
    </w:div>
    <w:div w:id="594896954">
      <w:bodyDiv w:val="1"/>
      <w:marLeft w:val="0"/>
      <w:marRight w:val="0"/>
      <w:marTop w:val="0"/>
      <w:marBottom w:val="0"/>
      <w:divBdr>
        <w:top w:val="none" w:sz="0" w:space="0" w:color="auto"/>
        <w:left w:val="none" w:sz="0" w:space="0" w:color="auto"/>
        <w:bottom w:val="none" w:sz="0" w:space="0" w:color="auto"/>
        <w:right w:val="none" w:sz="0" w:space="0" w:color="auto"/>
      </w:divBdr>
    </w:div>
    <w:div w:id="72773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5864</Words>
  <Characters>40462</Characters>
  <Application>Microsoft Office Word</Application>
  <DocSecurity>0</DocSecurity>
  <Lines>337</Lines>
  <Paragraphs>92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„Option style margining” arra a rendszerre utal, amikor a szerződésben kikötött érték változását a lejáratkor rendezik</vt:lpstr>
      <vt:lpstr>„Option style margining” arra a rendszerre utal, amikor a szerződésben kikötött érték változását a lejáratkor rendezik</vt:lpstr>
    </vt:vector>
  </TitlesOfParts>
  <Company>Magyar Nemzeti Bank</Company>
  <LinksUpToDate>false</LinksUpToDate>
  <CharactersWithSpaces>46234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style margining” arra a rendszerre utal, amikor a szerződésben kikötött érték változását a lejáratkor rendezik</dc:title>
  <dc:subject/>
  <dc:creator>Horvátthné Fedor Katalin</dc:creator>
  <cp:keywords/>
  <dc:description/>
  <cp:lastModifiedBy>STA</cp:lastModifiedBy>
  <cp:revision>2</cp:revision>
  <dcterms:created xsi:type="dcterms:W3CDTF">2022-11-22T15:50:00Z</dcterms:created>
  <dcterms:modified xsi:type="dcterms:W3CDTF">2022-11-22T15:50:00Z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-2069107237</vt:i4>
  </property>
  <property fmtid="{D5CDD505-2E9C-101B-9397-08002B2CF9AE}" pid="3" name="_EmailSubject">
    <vt:lpwstr/>
  </property>
  <property fmtid="{D5CDD505-2E9C-101B-9397-08002B2CF9AE}" pid="4" name="_AuthorEmail">
    <vt:lpwstr>horvathnek@mnb.hu</vt:lpwstr>
  </property>
  <property fmtid="{D5CDD505-2E9C-101B-9397-08002B2CF9AE}" pid="5" name="_AuthorEmailDisplayName">
    <vt:lpwstr>Horvátthné Fedor Katalin</vt:lpwstr>
  </property>
  <property fmtid="{D5CDD505-2E9C-101B-9397-08002B2CF9AE}" pid="6" name="_ReviewingToolsShownOnce">
    <vt:lpwstr/>
  </property>
  <property fmtid="{D5CDD505-2E9C-101B-9397-08002B2CF9AE}" pid="7" name="Érvényességi idő">
    <vt:filetime>2027-11-22T15:50:37Z</vt:filetime>
  </property>
  <property fmtid="{D5CDD505-2E9C-101B-9397-08002B2CF9AE}" pid="8" name="Érvényességet beállító">
    <vt:lpwstr>kotulicsnem</vt:lpwstr>
  </property>
  <property fmtid="{D5CDD505-2E9C-101B-9397-08002B2CF9AE}" pid="9" name="Érvényességi idő első beállítása">
    <vt:filetime>2022-11-22T15:50:37Z</vt:filetime>
  </property>
  <property fmtid="{D5CDD505-2E9C-101B-9397-08002B2CF9AE}" pid="10" name="MSIP_Label_b0d11092-50c9-4e74-84b5-b1af078dc3d0_Enabled">
    <vt:lpwstr>True</vt:lpwstr>
  </property>
  <property fmtid="{D5CDD505-2E9C-101B-9397-08002B2CF9AE}" pid="11" name="MSIP_Label_b0d11092-50c9-4e74-84b5-b1af078dc3d0_SiteId">
    <vt:lpwstr>97c01ef8-0264-4eef-9c08-fb4a9ba1c0db</vt:lpwstr>
  </property>
  <property fmtid="{D5CDD505-2E9C-101B-9397-08002B2CF9AE}" pid="12" name="MSIP_Label_b0d11092-50c9-4e74-84b5-b1af078dc3d0_Owner">
    <vt:lpwstr>kotulicsnem@mnb.hu</vt:lpwstr>
  </property>
  <property fmtid="{D5CDD505-2E9C-101B-9397-08002B2CF9AE}" pid="13" name="MSIP_Label_b0d11092-50c9-4e74-84b5-b1af078dc3d0_SetDate">
    <vt:lpwstr>2022-11-22T15:50:51.3923795Z</vt:lpwstr>
  </property>
  <property fmtid="{D5CDD505-2E9C-101B-9397-08002B2CF9AE}" pid="14" name="MSIP_Label_b0d11092-50c9-4e74-84b5-b1af078dc3d0_Name">
    <vt:lpwstr>Protected</vt:lpwstr>
  </property>
  <property fmtid="{D5CDD505-2E9C-101B-9397-08002B2CF9AE}" pid="15" name="MSIP_Label_b0d11092-50c9-4e74-84b5-b1af078dc3d0_Application">
    <vt:lpwstr>Microsoft Azure Information Protection</vt:lpwstr>
  </property>
  <property fmtid="{D5CDD505-2E9C-101B-9397-08002B2CF9AE}" pid="16" name="MSIP_Label_b0d11092-50c9-4e74-84b5-b1af078dc3d0_ActionId">
    <vt:lpwstr>fae4bd07-11aa-44c6-9c78-a571a8297bc6</vt:lpwstr>
  </property>
  <property fmtid="{D5CDD505-2E9C-101B-9397-08002B2CF9AE}" pid="17" name="MSIP_Label_b0d11092-50c9-4e74-84b5-b1af078dc3d0_Extended_MSFT_Method">
    <vt:lpwstr>Automatic</vt:lpwstr>
  </property>
  <property fmtid="{D5CDD505-2E9C-101B-9397-08002B2CF9AE}" pid="18" name="Sensitivity">
    <vt:lpwstr>Protected</vt:lpwstr>
  </property>
</Properties>
</file>