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6CA" w:rsidRPr="00913BBC" w:rsidRDefault="004366CA">
      <w:pPr>
        <w:pStyle w:val="Heading4"/>
        <w:rPr>
          <w:rFonts w:ascii="Calibri" w:hAnsi="Calibri"/>
          <w:sz w:val="22"/>
          <w:szCs w:val="22"/>
        </w:rPr>
      </w:pPr>
      <w:bookmarkStart w:id="0" w:name="_Toc122489421"/>
      <w:bookmarkStart w:id="1" w:name="_Toc122489789"/>
      <w:bookmarkStart w:id="2" w:name="_Toc122850672"/>
      <w:bookmarkStart w:id="3" w:name="_Toc125788686"/>
      <w:bookmarkStart w:id="4" w:name="_Toc494530912"/>
      <w:bookmarkStart w:id="5" w:name="_Toc494534298"/>
      <w:bookmarkStart w:id="6" w:name="_Toc494534626"/>
      <w:bookmarkStart w:id="7" w:name="_Toc494534867"/>
      <w:bookmarkStart w:id="8" w:name="_Toc494535029"/>
      <w:bookmarkStart w:id="9" w:name="_Toc494535098"/>
      <w:bookmarkStart w:id="10" w:name="_Toc494535245"/>
      <w:bookmarkStart w:id="11" w:name="_Toc494535710"/>
      <w:bookmarkStart w:id="12" w:name="_Toc494536507"/>
      <w:bookmarkStart w:id="13" w:name="_Toc494536876"/>
      <w:bookmarkStart w:id="14" w:name="_Toc494537100"/>
      <w:bookmarkStart w:id="15" w:name="_Toc494537194"/>
      <w:bookmarkStart w:id="16" w:name="_Toc494542640"/>
      <w:bookmarkStart w:id="17" w:name="_Toc494544118"/>
      <w:bookmarkStart w:id="18" w:name="_Toc494550718"/>
      <w:bookmarkStart w:id="19" w:name="_Toc494597449"/>
      <w:bookmarkStart w:id="20" w:name="_Toc494607512"/>
      <w:bookmarkStart w:id="21" w:name="_Toc494623843"/>
      <w:bookmarkStart w:id="22" w:name="_Toc494624575"/>
      <w:bookmarkStart w:id="23" w:name="_GoBack"/>
      <w:bookmarkEnd w:id="23"/>
      <w:r w:rsidRPr="00913BBC">
        <w:rPr>
          <w:rFonts w:ascii="Calibri" w:hAnsi="Calibri"/>
          <w:b w:val="0"/>
          <w:sz w:val="22"/>
          <w:szCs w:val="22"/>
        </w:rPr>
        <w:t xml:space="preserve">MNB azonosító: </w:t>
      </w:r>
      <w:r w:rsidRPr="00913BBC">
        <w:rPr>
          <w:rFonts w:ascii="Calibri" w:hAnsi="Calibri"/>
          <w:sz w:val="22"/>
          <w:szCs w:val="22"/>
        </w:rPr>
        <w:t xml:space="preserve">R05 és R14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366CA" w:rsidRPr="00913BBC" w:rsidRDefault="004366CA">
      <w:pPr>
        <w:rPr>
          <w:rFonts w:ascii="Calibri" w:hAnsi="Calibri"/>
          <w:sz w:val="22"/>
          <w:szCs w:val="22"/>
        </w:rPr>
      </w:pPr>
    </w:p>
    <w:p w:rsidR="004366CA" w:rsidRPr="00913BBC" w:rsidRDefault="004366CA">
      <w:pPr>
        <w:rPr>
          <w:rFonts w:ascii="Calibri" w:hAnsi="Calibri"/>
          <w:sz w:val="22"/>
          <w:szCs w:val="22"/>
        </w:rPr>
      </w:pPr>
    </w:p>
    <w:p w:rsidR="007F2634" w:rsidRPr="00913BBC" w:rsidRDefault="007F2634" w:rsidP="007F2634">
      <w:pPr>
        <w:jc w:val="center"/>
        <w:rPr>
          <w:rFonts w:ascii="Calibri" w:hAnsi="Calibri"/>
          <w:b/>
          <w:sz w:val="22"/>
          <w:szCs w:val="22"/>
        </w:rPr>
      </w:pPr>
      <w:r w:rsidRPr="00913BBC">
        <w:rPr>
          <w:rFonts w:ascii="Calibri" w:hAnsi="Calibri"/>
          <w:b/>
          <w:sz w:val="22"/>
          <w:szCs w:val="22"/>
        </w:rPr>
        <w:t>MÓDSZERTANI SEGÉDLET</w:t>
      </w:r>
    </w:p>
    <w:p w:rsidR="004366CA" w:rsidRPr="00913BBC" w:rsidRDefault="007F2634" w:rsidP="007F2634">
      <w:pPr>
        <w:jc w:val="center"/>
        <w:rPr>
          <w:rFonts w:ascii="Calibri" w:hAnsi="Calibri"/>
          <w:b/>
          <w:sz w:val="22"/>
          <w:szCs w:val="22"/>
        </w:rPr>
      </w:pPr>
      <w:r w:rsidRPr="00913BBC">
        <w:rPr>
          <w:rFonts w:ascii="Calibri" w:hAnsi="Calibri"/>
          <w:b/>
          <w:sz w:val="22"/>
          <w:szCs w:val="22"/>
        </w:rPr>
        <w:t>A p</w:t>
      </w:r>
      <w:r w:rsidR="004366CA" w:rsidRPr="00913BBC">
        <w:rPr>
          <w:rFonts w:ascii="Calibri" w:hAnsi="Calibri"/>
          <w:b/>
          <w:sz w:val="22"/>
          <w:szCs w:val="22"/>
        </w:rPr>
        <w:t xml:space="preserve">énzügyi </w:t>
      </w:r>
      <w:proofErr w:type="spellStart"/>
      <w:r w:rsidR="004366CA" w:rsidRPr="00913BBC">
        <w:rPr>
          <w:rFonts w:ascii="Calibri" w:hAnsi="Calibri"/>
          <w:b/>
          <w:sz w:val="22"/>
          <w:szCs w:val="22"/>
        </w:rPr>
        <w:t>derivatívák</w:t>
      </w:r>
      <w:proofErr w:type="spellEnd"/>
      <w:r w:rsidR="004366CA" w:rsidRPr="00913BBC">
        <w:rPr>
          <w:rFonts w:ascii="Calibri" w:hAnsi="Calibri"/>
          <w:b/>
          <w:sz w:val="22"/>
          <w:szCs w:val="22"/>
        </w:rPr>
        <w:t xml:space="preserve"> havi</w:t>
      </w:r>
      <w:r w:rsidRPr="00913BBC">
        <w:rPr>
          <w:rFonts w:ascii="Calibri" w:hAnsi="Calibri"/>
          <w:b/>
          <w:sz w:val="22"/>
          <w:szCs w:val="22"/>
        </w:rPr>
        <w:t xml:space="preserve"> és negyedéves</w:t>
      </w:r>
      <w:r w:rsidR="004366CA" w:rsidRPr="00913BBC">
        <w:rPr>
          <w:rFonts w:ascii="Calibri" w:hAnsi="Calibri"/>
          <w:b/>
          <w:sz w:val="22"/>
          <w:szCs w:val="22"/>
        </w:rPr>
        <w:t xml:space="preserve"> adatszolgáltatása </w:t>
      </w:r>
    </w:p>
    <w:bookmarkEnd w:id="0"/>
    <w:bookmarkEnd w:id="1"/>
    <w:bookmarkEnd w:id="2"/>
    <w:bookmarkEnd w:id="3"/>
    <w:p w:rsidR="004366CA" w:rsidRPr="00913BBC" w:rsidRDefault="007F2634">
      <w:pPr>
        <w:jc w:val="center"/>
        <w:rPr>
          <w:rFonts w:ascii="Calibri" w:hAnsi="Calibri"/>
          <w:sz w:val="22"/>
          <w:szCs w:val="22"/>
        </w:rPr>
      </w:pPr>
      <w:r w:rsidRPr="00913BBC">
        <w:rPr>
          <w:rFonts w:ascii="Calibri" w:hAnsi="Calibri"/>
          <w:sz w:val="22"/>
          <w:szCs w:val="22"/>
        </w:rPr>
        <w:t>kitöltéséhez</w:t>
      </w:r>
    </w:p>
    <w:p w:rsidR="004366CA" w:rsidRPr="00913BBC" w:rsidRDefault="004366CA">
      <w:pPr>
        <w:jc w:val="center"/>
        <w:rPr>
          <w:rFonts w:ascii="Calibri" w:hAnsi="Calibri"/>
          <w:sz w:val="22"/>
          <w:szCs w:val="22"/>
        </w:rPr>
      </w:pPr>
    </w:p>
    <w:p w:rsidR="00DC03B2" w:rsidRPr="00913BBC" w:rsidRDefault="00DC03B2">
      <w:pPr>
        <w:jc w:val="center"/>
        <w:rPr>
          <w:rFonts w:ascii="Calibri" w:hAnsi="Calibri"/>
          <w:b/>
          <w:sz w:val="22"/>
          <w:szCs w:val="22"/>
        </w:rPr>
      </w:pPr>
    </w:p>
    <w:p w:rsidR="00DC03B2" w:rsidRPr="00913BBC" w:rsidRDefault="00DC03B2" w:rsidP="00DC03B2">
      <w:pPr>
        <w:jc w:val="both"/>
        <w:rPr>
          <w:rFonts w:ascii="Calibri" w:hAnsi="Calibri"/>
          <w:sz w:val="22"/>
          <w:szCs w:val="22"/>
        </w:rPr>
      </w:pPr>
      <w:r w:rsidRPr="00913BBC">
        <w:rPr>
          <w:rFonts w:ascii="Calibri" w:hAnsi="Calibri"/>
          <w:sz w:val="22"/>
          <w:szCs w:val="22"/>
        </w:rPr>
        <w:t>Jelen módszertani segédlet a teljeskörűség érdekében tartalmazza a kitöltési előírásokban megadott általános tudnivalókat is.</w:t>
      </w:r>
    </w:p>
    <w:p w:rsidR="008E31BA" w:rsidRPr="00913BBC" w:rsidRDefault="008E31BA" w:rsidP="00DC03B2">
      <w:pPr>
        <w:jc w:val="both"/>
        <w:rPr>
          <w:rFonts w:ascii="Calibri" w:hAnsi="Calibri"/>
          <w:sz w:val="22"/>
          <w:szCs w:val="22"/>
        </w:rPr>
      </w:pPr>
    </w:p>
    <w:p w:rsidR="00DC03B2" w:rsidRPr="00913BBC" w:rsidRDefault="004366CA" w:rsidP="00662AB8">
      <w:pPr>
        <w:numPr>
          <w:ilvl w:val="0"/>
          <w:numId w:val="2"/>
        </w:numPr>
        <w:tabs>
          <w:tab w:val="clear" w:pos="720"/>
          <w:tab w:val="num" w:pos="426"/>
        </w:tabs>
        <w:spacing w:before="120"/>
        <w:jc w:val="both"/>
        <w:rPr>
          <w:rFonts w:ascii="Calibri" w:hAnsi="Calibri"/>
          <w:b/>
          <w:sz w:val="22"/>
          <w:szCs w:val="22"/>
        </w:rPr>
      </w:pPr>
      <w:bookmarkStart w:id="24" w:name="_Toc125788687"/>
      <w:r w:rsidRPr="00913BBC">
        <w:rPr>
          <w:rFonts w:ascii="Calibri" w:hAnsi="Calibri"/>
          <w:b/>
          <w:sz w:val="22"/>
          <w:szCs w:val="22"/>
        </w:rPr>
        <w:t>Általános tudnivalók</w:t>
      </w:r>
    </w:p>
    <w:p w:rsidR="004366CA" w:rsidRPr="00913BBC" w:rsidRDefault="004366CA">
      <w:pPr>
        <w:pStyle w:val="Heading3"/>
        <w:rPr>
          <w:rFonts w:ascii="Calibri" w:hAnsi="Calibri"/>
          <w:color w:val="000000"/>
          <w:sz w:val="22"/>
          <w:szCs w:val="22"/>
        </w:rPr>
      </w:pPr>
      <w:bookmarkStart w:id="25" w:name="_I._A_pénzügyi_derivatívák fogalma, "/>
      <w:bookmarkStart w:id="26" w:name="_II._Általános_tudnivalók"/>
      <w:bookmarkEnd w:id="24"/>
      <w:bookmarkEnd w:id="25"/>
      <w:bookmarkEnd w:id="26"/>
      <w:r w:rsidRPr="00913BBC">
        <w:rPr>
          <w:rFonts w:ascii="Calibri" w:hAnsi="Calibri"/>
          <w:color w:val="000000"/>
          <w:sz w:val="22"/>
          <w:szCs w:val="22"/>
        </w:rPr>
        <w:t>1.   Az adatszolgáltatásban szerepeltetendő ügyletek</w:t>
      </w:r>
    </w:p>
    <w:p w:rsidR="004366CA" w:rsidRPr="00913BBC" w:rsidRDefault="004366CA">
      <w:pPr>
        <w:jc w:val="both"/>
        <w:rPr>
          <w:rFonts w:ascii="Calibri" w:hAnsi="Calibri"/>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 xml:space="preserve">Derivatív (származékos) ügylet, amelynek értéke az alapjául szolgáló befektetési eszköz, deviza, áru vagy referenciaráta (alaptermék) értékétől függ és önálló kereskedés tárgyát képezi, ezért annak pozícióját és tranzakcióit külön (a pénzügyi </w:t>
      </w:r>
      <w:proofErr w:type="spellStart"/>
      <w:r w:rsidRPr="00913BBC">
        <w:rPr>
          <w:rFonts w:ascii="Calibri" w:hAnsi="Calibri"/>
          <w:sz w:val="22"/>
          <w:szCs w:val="22"/>
        </w:rPr>
        <w:t>derivatíva</w:t>
      </w:r>
      <w:proofErr w:type="spellEnd"/>
      <w:r w:rsidRPr="00913BBC">
        <w:rPr>
          <w:rFonts w:ascii="Calibri" w:hAnsi="Calibri"/>
          <w:sz w:val="22"/>
          <w:szCs w:val="22"/>
        </w:rPr>
        <w:t xml:space="preserve"> adatszolgáltatásban) kell kezelni, nem a mögöttes ügylet részeként. </w:t>
      </w:r>
    </w:p>
    <w:p w:rsidR="004366CA" w:rsidRPr="00913BBC" w:rsidRDefault="004366CA">
      <w:pPr>
        <w:jc w:val="both"/>
        <w:rPr>
          <w:rFonts w:ascii="Calibri" w:hAnsi="Calibri"/>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 xml:space="preserve">A </w:t>
      </w:r>
      <w:proofErr w:type="spellStart"/>
      <w:r w:rsidRPr="00913BBC">
        <w:rPr>
          <w:rFonts w:ascii="Calibri" w:hAnsi="Calibri"/>
          <w:sz w:val="22"/>
          <w:szCs w:val="22"/>
        </w:rPr>
        <w:t>derivatívák</w:t>
      </w:r>
      <w:proofErr w:type="spellEnd"/>
      <w:r w:rsidRPr="00913BBC">
        <w:rPr>
          <w:rFonts w:ascii="Calibri" w:hAnsi="Calibri"/>
          <w:sz w:val="22"/>
          <w:szCs w:val="22"/>
        </w:rPr>
        <w:t xml:space="preserve"> minden kockázati kategóriája alapvetően három alapinstrumentumra bontható: határidős tőzsdei (</w:t>
      </w:r>
      <w:proofErr w:type="spellStart"/>
      <w:r w:rsidRPr="00913BBC">
        <w:rPr>
          <w:rFonts w:ascii="Calibri" w:hAnsi="Calibri"/>
          <w:sz w:val="22"/>
          <w:szCs w:val="22"/>
        </w:rPr>
        <w:t>futures</w:t>
      </w:r>
      <w:proofErr w:type="spellEnd"/>
      <w:r w:rsidRPr="00913BBC">
        <w:rPr>
          <w:rFonts w:ascii="Calibri" w:hAnsi="Calibri"/>
          <w:sz w:val="22"/>
          <w:szCs w:val="22"/>
        </w:rPr>
        <w:t>) és tőzsdén kívüli (</w:t>
      </w:r>
      <w:proofErr w:type="spellStart"/>
      <w:r w:rsidRPr="00913BBC">
        <w:rPr>
          <w:rFonts w:ascii="Calibri" w:hAnsi="Calibri"/>
          <w:sz w:val="22"/>
          <w:szCs w:val="22"/>
        </w:rPr>
        <w:t>forward</w:t>
      </w:r>
      <w:proofErr w:type="spellEnd"/>
      <w:r w:rsidRPr="00913BBC">
        <w:rPr>
          <w:rFonts w:ascii="Calibri" w:hAnsi="Calibri"/>
          <w:sz w:val="22"/>
          <w:szCs w:val="22"/>
        </w:rPr>
        <w:t xml:space="preserve">) ügyletek, </w:t>
      </w:r>
      <w:proofErr w:type="spellStart"/>
      <w:r w:rsidRPr="00913BBC">
        <w:rPr>
          <w:rFonts w:ascii="Calibri" w:hAnsi="Calibri"/>
          <w:sz w:val="22"/>
          <w:szCs w:val="22"/>
        </w:rPr>
        <w:t>swapok</w:t>
      </w:r>
      <w:proofErr w:type="spellEnd"/>
      <w:r w:rsidRPr="00913BBC">
        <w:rPr>
          <w:rFonts w:ascii="Calibri" w:hAnsi="Calibri"/>
          <w:sz w:val="22"/>
          <w:szCs w:val="22"/>
        </w:rPr>
        <w:t xml:space="preserve"> és opciók. (A </w:t>
      </w:r>
      <w:proofErr w:type="spellStart"/>
      <w:r w:rsidRPr="00913BBC">
        <w:rPr>
          <w:rFonts w:ascii="Calibri" w:hAnsi="Calibri"/>
          <w:sz w:val="22"/>
          <w:szCs w:val="22"/>
        </w:rPr>
        <w:t>derivatívák</w:t>
      </w:r>
      <w:proofErr w:type="spellEnd"/>
      <w:r w:rsidRPr="00913BBC">
        <w:rPr>
          <w:rFonts w:ascii="Calibri" w:hAnsi="Calibri"/>
          <w:sz w:val="22"/>
          <w:szCs w:val="22"/>
        </w:rPr>
        <w:t>, illetve az egyes derivatív instrumentumok definícióira vonatkozóan az egyes adatszolgáltatókra vonatkozó számviteli és egyéb jogszabályokban foglaltak tekintendők irányadónak.)</w:t>
      </w:r>
    </w:p>
    <w:p w:rsidR="004366CA" w:rsidRPr="00913BBC" w:rsidRDefault="004366CA">
      <w:pPr>
        <w:jc w:val="both"/>
        <w:rPr>
          <w:rFonts w:ascii="Calibri" w:hAnsi="Calibri"/>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 xml:space="preserve">Az adatszolgáltatónak a nem rezidens partnerekkel, ügyfelekkel kötött, a tárgyidőszak elején, illetve végén fennálló valamennyi saját pénzügyi derivatív ügyletét, azok </w:t>
      </w:r>
      <w:proofErr w:type="gramStart"/>
      <w:r w:rsidRPr="00913BBC">
        <w:rPr>
          <w:rFonts w:ascii="Calibri" w:hAnsi="Calibri"/>
          <w:sz w:val="22"/>
          <w:szCs w:val="22"/>
        </w:rPr>
        <w:t>követelés</w:t>
      </w:r>
      <w:proofErr w:type="gramEnd"/>
      <w:r w:rsidRPr="00913BBC">
        <w:rPr>
          <w:rFonts w:ascii="Calibri" w:hAnsi="Calibri"/>
          <w:sz w:val="22"/>
          <w:szCs w:val="22"/>
        </w:rPr>
        <w:t xml:space="preserve"> illetve tartozás pozícióit, illetve a tárgyidőszak forgalmi adatait jelentenie kell, beleértve azon ügyletekkel kapcsolatos tranzakciókat, átértékeléseket is, amely ügyletek a tárgyidőszak folyamán keletkeztek és még a tárgyidőszak vége előtt lezárásra is kerültek. Nem az adatszolgáltató által jelentendők tehát az adatszolgáltató közvetítésével más rezidens, vagy nem rezidens számára kötött (bizományos) ügyletek, jelentendők viszont az adatszolgáltató részére, nevében, számlájára más rezidens, vagy nem rezidens közvetítő által kötött ügyletek.   </w:t>
      </w:r>
    </w:p>
    <w:p w:rsidR="004366CA" w:rsidRPr="00913BBC" w:rsidRDefault="004366CA">
      <w:pPr>
        <w:jc w:val="both"/>
        <w:rPr>
          <w:rFonts w:ascii="Calibri" w:hAnsi="Calibri"/>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 xml:space="preserve">A vállalatcsoporton belüli nem rezidens vállalatcsoporttaggal, külföldi közvetlen tőkebefektetővel és külföldi közvetlen tőkebefektetéssel kötött derivatív ügyleteket e táblákban kell jelenteni (azok nem számítanak közvetlen tőkebefektetésnek). </w:t>
      </w:r>
    </w:p>
    <w:p w:rsidR="004366CA" w:rsidRPr="00913BBC" w:rsidRDefault="004366CA">
      <w:pPr>
        <w:pStyle w:val="CommentText"/>
        <w:rPr>
          <w:rFonts w:ascii="Calibri" w:hAnsi="Calibri"/>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Az adatszolgáltató külföldi fióktelepei nem rezidensnek minősülnek, ezért e táblákban jelentendők az adatszolgáltatónak a nem rezidens fióktelepével kötött derivatív ügyletei, a nem rezidens fióktelepek más nem rezidensekkel kötött derivatív ügyletei azonban nem képezik az adatszolgáltatás részét.</w:t>
      </w:r>
    </w:p>
    <w:p w:rsidR="0034374F" w:rsidRPr="00913BBC" w:rsidRDefault="0034374F" w:rsidP="002D6101">
      <w:pPr>
        <w:jc w:val="right"/>
        <w:rPr>
          <w:rFonts w:ascii="Calibri" w:hAnsi="Calibri"/>
          <w:sz w:val="22"/>
          <w:szCs w:val="22"/>
        </w:rPr>
      </w:pPr>
    </w:p>
    <w:p w:rsidR="004366CA" w:rsidRPr="00913BBC" w:rsidRDefault="004366CA">
      <w:pPr>
        <w:pStyle w:val="Heading3"/>
        <w:rPr>
          <w:rFonts w:ascii="Calibri" w:hAnsi="Calibri"/>
          <w:color w:val="000000"/>
          <w:sz w:val="22"/>
          <w:szCs w:val="22"/>
        </w:rPr>
      </w:pPr>
      <w:r w:rsidRPr="00913BBC">
        <w:rPr>
          <w:rFonts w:ascii="Calibri" w:hAnsi="Calibri"/>
          <w:color w:val="000000"/>
          <w:sz w:val="22"/>
          <w:szCs w:val="22"/>
        </w:rPr>
        <w:t xml:space="preserve">2.   Az adatok számbavétele </w:t>
      </w:r>
    </w:p>
    <w:p w:rsidR="004366CA" w:rsidRPr="00913BBC" w:rsidRDefault="004366CA">
      <w:pPr>
        <w:jc w:val="both"/>
        <w:rPr>
          <w:rFonts w:ascii="Calibri" w:hAnsi="Calibri"/>
          <w:sz w:val="22"/>
          <w:szCs w:val="22"/>
        </w:rPr>
      </w:pPr>
    </w:p>
    <w:p w:rsidR="004366CA" w:rsidRPr="00913BBC" w:rsidRDefault="004366CA">
      <w:pPr>
        <w:autoSpaceDE w:val="0"/>
        <w:autoSpaceDN w:val="0"/>
        <w:adjustRightInd w:val="0"/>
        <w:jc w:val="both"/>
        <w:rPr>
          <w:rFonts w:ascii="Calibri" w:hAnsi="Calibri" w:cs="Arial"/>
          <w:sz w:val="22"/>
          <w:szCs w:val="22"/>
        </w:rPr>
      </w:pPr>
      <w:r w:rsidRPr="00913BBC">
        <w:rPr>
          <w:rFonts w:ascii="Calibri" w:hAnsi="Calibri"/>
          <w:sz w:val="22"/>
          <w:szCs w:val="22"/>
        </w:rPr>
        <w:t xml:space="preserve">A </w:t>
      </w:r>
      <w:proofErr w:type="spellStart"/>
      <w:r w:rsidRPr="00913BBC">
        <w:rPr>
          <w:rFonts w:ascii="Calibri" w:hAnsi="Calibri"/>
          <w:sz w:val="22"/>
          <w:szCs w:val="22"/>
        </w:rPr>
        <w:t>derivatíva</w:t>
      </w:r>
      <w:proofErr w:type="spellEnd"/>
      <w:r w:rsidRPr="00913BBC">
        <w:rPr>
          <w:rFonts w:ascii="Calibri" w:hAnsi="Calibri"/>
          <w:sz w:val="22"/>
          <w:szCs w:val="22"/>
        </w:rPr>
        <w:t xml:space="preserve"> követelések és tartozások tárgyidőszaki nyitó, illetve záró pozícióját piaci értéken kell megadni, amely piaci értéket az egyes derivatív ügyletek egyenkénti kiértékelésével (valamely érvényben lévő jegyzett ár, vagy szakmailag elfogadott értékelési eljárás, árazási modell segítségével) kell meghatározni. </w:t>
      </w:r>
    </w:p>
    <w:p w:rsidR="004366CA" w:rsidRPr="00913BBC" w:rsidRDefault="004366CA">
      <w:pPr>
        <w:jc w:val="both"/>
        <w:rPr>
          <w:rFonts w:ascii="Calibri" w:hAnsi="Calibri" w:cs="Arial"/>
          <w:sz w:val="22"/>
          <w:szCs w:val="22"/>
        </w:rPr>
      </w:pPr>
      <w:r w:rsidRPr="00913BBC">
        <w:rPr>
          <w:rFonts w:ascii="Calibri" w:hAnsi="Calibri" w:cs="Arial"/>
          <w:sz w:val="22"/>
          <w:szCs w:val="22"/>
        </w:rPr>
        <w:lastRenderedPageBreak/>
        <w:t xml:space="preserve">A le nem zárt ügyletek piaci értéke pozitív, azaz követelést testesít meg, ha az ügylet azonnali lezárása esetén az ügyletben résztvevő rezidens adatszolgáltatónak lenne nettó követelése a nem rezidens partnerrel szemben, s negatív, azaz tartozást testesít meg, ha a rezidens adatszolgáltatónak állna fenn nettó fizetési kötelezettsége a nem rezidens partnere felé.  </w:t>
      </w:r>
    </w:p>
    <w:p w:rsidR="004366CA" w:rsidRPr="00913BBC" w:rsidRDefault="004366CA">
      <w:pPr>
        <w:jc w:val="both"/>
        <w:rPr>
          <w:rFonts w:ascii="Calibri" w:hAnsi="Calibri" w:cs="Arial"/>
          <w:sz w:val="22"/>
          <w:szCs w:val="22"/>
        </w:rPr>
      </w:pPr>
    </w:p>
    <w:p w:rsidR="004366CA" w:rsidRPr="00913BBC" w:rsidRDefault="004366CA">
      <w:pPr>
        <w:jc w:val="both"/>
        <w:rPr>
          <w:rFonts w:ascii="Calibri" w:hAnsi="Calibri"/>
          <w:sz w:val="22"/>
          <w:szCs w:val="22"/>
        </w:rPr>
      </w:pPr>
      <w:r w:rsidRPr="00913BBC">
        <w:rPr>
          <w:rFonts w:ascii="Calibri" w:hAnsi="Calibri"/>
          <w:sz w:val="22"/>
          <w:szCs w:val="22"/>
        </w:rPr>
        <w:t xml:space="preserve">Az ily módon meghatározott követelések és tartozások bruttó módon jelentendők, nem nettósíthatók még abban az esetben sem, </w:t>
      </w:r>
      <w:r w:rsidR="0043152C" w:rsidRPr="00913BBC">
        <w:rPr>
          <w:rFonts w:ascii="Calibri" w:hAnsi="Calibri"/>
          <w:sz w:val="22"/>
          <w:szCs w:val="22"/>
        </w:rPr>
        <w:t>ha</w:t>
      </w:r>
    </w:p>
    <w:p w:rsidR="004366CA" w:rsidRPr="00913BBC" w:rsidRDefault="004366CA" w:rsidP="00662AB8">
      <w:pPr>
        <w:numPr>
          <w:ilvl w:val="0"/>
          <w:numId w:val="3"/>
        </w:numPr>
        <w:jc w:val="both"/>
        <w:rPr>
          <w:rFonts w:ascii="Calibri" w:hAnsi="Calibri"/>
          <w:sz w:val="22"/>
          <w:szCs w:val="22"/>
        </w:rPr>
      </w:pPr>
      <w:r w:rsidRPr="00913BBC">
        <w:rPr>
          <w:rFonts w:ascii="Calibri" w:hAnsi="Calibri"/>
          <w:sz w:val="22"/>
          <w:szCs w:val="22"/>
        </w:rPr>
        <w:t xml:space="preserve">azok ugyanazon partnerrel szemben, vagy ugyanazon kockázati kitettséggel </w:t>
      </w:r>
      <w:r w:rsidRPr="00913BBC">
        <w:rPr>
          <w:rFonts w:ascii="Calibri" w:hAnsi="Calibri" w:cs="Arial"/>
          <w:sz w:val="22"/>
          <w:szCs w:val="22"/>
        </w:rPr>
        <w:t xml:space="preserve">(ilyenek a deviza, kamatláb, részvény, áru, hitel, esetleg „egyéb”) </w:t>
      </w:r>
      <w:r w:rsidRPr="00913BBC">
        <w:rPr>
          <w:rFonts w:ascii="Calibri" w:hAnsi="Calibri"/>
          <w:sz w:val="22"/>
          <w:szCs w:val="22"/>
        </w:rPr>
        <w:t xml:space="preserve">bíró instrumentumban állnak fenn, </w:t>
      </w:r>
      <w:r w:rsidR="0043152C" w:rsidRPr="00913BBC">
        <w:rPr>
          <w:rFonts w:ascii="Calibri" w:hAnsi="Calibri"/>
          <w:sz w:val="22"/>
          <w:szCs w:val="22"/>
        </w:rPr>
        <w:t>vagy</w:t>
      </w:r>
    </w:p>
    <w:p w:rsidR="004366CA" w:rsidRPr="00913BBC" w:rsidRDefault="004366CA" w:rsidP="00662AB8">
      <w:pPr>
        <w:numPr>
          <w:ilvl w:val="0"/>
          <w:numId w:val="3"/>
        </w:numPr>
        <w:jc w:val="both"/>
        <w:rPr>
          <w:rFonts w:ascii="Calibri" w:hAnsi="Calibri"/>
          <w:sz w:val="22"/>
          <w:szCs w:val="22"/>
        </w:rPr>
      </w:pPr>
      <w:r w:rsidRPr="00913BBC">
        <w:rPr>
          <w:rFonts w:ascii="Calibri" w:hAnsi="Calibri"/>
          <w:sz w:val="22"/>
          <w:szCs w:val="22"/>
        </w:rPr>
        <w:t xml:space="preserve">a derivatív megállapodásból eredő kötelezettségek teljesítése valamely megállapodás, vagy szokvány alapján a fizetések összevonásával történik. </w:t>
      </w:r>
    </w:p>
    <w:p w:rsidR="004366CA" w:rsidRPr="00913BBC" w:rsidRDefault="004366CA">
      <w:pPr>
        <w:pStyle w:val="BodyText"/>
        <w:rPr>
          <w:rFonts w:ascii="Calibri" w:hAnsi="Calibri" w:cs="Arial"/>
          <w:sz w:val="22"/>
          <w:szCs w:val="22"/>
        </w:rPr>
      </w:pPr>
      <w:bookmarkStart w:id="27" w:name="_Toc120612682"/>
      <w:bookmarkStart w:id="28" w:name="_Toc122850664"/>
    </w:p>
    <w:p w:rsidR="004366CA" w:rsidRPr="00913BBC" w:rsidRDefault="004366CA">
      <w:pPr>
        <w:jc w:val="both"/>
        <w:rPr>
          <w:rFonts w:ascii="Calibri" w:hAnsi="Calibri" w:cs="Arial"/>
          <w:sz w:val="22"/>
          <w:szCs w:val="22"/>
        </w:rPr>
      </w:pPr>
      <w:r w:rsidRPr="00913BBC">
        <w:rPr>
          <w:rFonts w:ascii="Calibri" w:hAnsi="Calibri"/>
          <w:sz w:val="22"/>
          <w:szCs w:val="22"/>
        </w:rPr>
        <w:t xml:space="preserve">Az egyes derivatív ügyletek pozícióját és változásait, forgalmát a megfelelő (követelés, vagy a tartozás) táblába besorolva, alapinstrumentumonként és országonként forintban összesítve, egész számra kerekítve kell kimutatni (ezen adatok egy-egy sort képeznek az adott táblákban). </w:t>
      </w:r>
    </w:p>
    <w:p w:rsidR="004366CA" w:rsidRPr="00913BBC" w:rsidRDefault="004366CA">
      <w:pPr>
        <w:jc w:val="both"/>
        <w:rPr>
          <w:rFonts w:ascii="Calibri" w:hAnsi="Calibri"/>
          <w:sz w:val="22"/>
          <w:szCs w:val="22"/>
        </w:rPr>
      </w:pPr>
      <w:r w:rsidRPr="00913BBC">
        <w:rPr>
          <w:rFonts w:ascii="Calibri" w:hAnsi="Calibri"/>
          <w:sz w:val="22"/>
          <w:szCs w:val="22"/>
        </w:rPr>
        <w:t xml:space="preserve"> </w:t>
      </w:r>
    </w:p>
    <w:p w:rsidR="00C04DA1" w:rsidRPr="00913BBC" w:rsidRDefault="00C04DA1" w:rsidP="00C04DA1">
      <w:pPr>
        <w:jc w:val="both"/>
        <w:rPr>
          <w:rFonts w:ascii="Calibri" w:hAnsi="Calibri" w:cs="Arial"/>
          <w:sz w:val="22"/>
          <w:szCs w:val="22"/>
        </w:rPr>
      </w:pPr>
      <w:r w:rsidRPr="00913BBC">
        <w:rPr>
          <w:rFonts w:ascii="Calibri" w:hAnsi="Calibri" w:cs="Arial"/>
          <w:sz w:val="22"/>
          <w:szCs w:val="22"/>
        </w:rPr>
        <w:t xml:space="preserve">Az ügyletek pozíciójának két vonatkozási időszak között másik táblába történő átmozgatása mindig az átértékeléssel szemben történhet, a nyitó állomány szerinti táblából 0 záró pozíción, a záró állomány szerinti táblába pedig 0 nyitó pozíción keresztül. </w:t>
      </w:r>
    </w:p>
    <w:p w:rsidR="004366CA" w:rsidRPr="00913BBC" w:rsidRDefault="004366CA">
      <w:pPr>
        <w:jc w:val="both"/>
        <w:rPr>
          <w:rFonts w:ascii="Calibri" w:hAnsi="Calibri"/>
          <w:sz w:val="22"/>
          <w:szCs w:val="22"/>
        </w:rPr>
      </w:pPr>
    </w:p>
    <w:p w:rsidR="000C61C1" w:rsidRPr="00913BBC" w:rsidRDefault="000C61C1">
      <w:pPr>
        <w:jc w:val="both"/>
        <w:rPr>
          <w:rFonts w:ascii="Calibri" w:hAnsi="Calibri"/>
          <w:sz w:val="22"/>
          <w:szCs w:val="22"/>
        </w:rPr>
      </w:pPr>
      <w:r w:rsidRPr="00913BBC">
        <w:rPr>
          <w:rFonts w:ascii="Calibri" w:hAnsi="Calibri"/>
          <w:sz w:val="22"/>
          <w:szCs w:val="22"/>
        </w:rPr>
        <w:t xml:space="preserve">A </w:t>
      </w:r>
      <w:r w:rsidR="00A13720" w:rsidRPr="00913BBC">
        <w:rPr>
          <w:rFonts w:ascii="Calibri" w:hAnsi="Calibri"/>
          <w:sz w:val="22"/>
          <w:szCs w:val="22"/>
        </w:rPr>
        <w:t xml:space="preserve">táblák kitöltésekor a </w:t>
      </w:r>
      <w:r w:rsidRPr="00913BBC">
        <w:rPr>
          <w:rFonts w:ascii="Calibri" w:hAnsi="Calibri"/>
          <w:sz w:val="22"/>
          <w:szCs w:val="22"/>
        </w:rPr>
        <w:t>devizában denominált adatok forintra történő átszámítása</w:t>
      </w:r>
      <w:r w:rsidR="00A13720" w:rsidRPr="00913BBC">
        <w:rPr>
          <w:rFonts w:ascii="Calibri" w:hAnsi="Calibri"/>
          <w:sz w:val="22"/>
          <w:szCs w:val="22"/>
        </w:rPr>
        <w:t xml:space="preserve"> céljára</w:t>
      </w:r>
      <w:r w:rsidRPr="00913BBC">
        <w:rPr>
          <w:rFonts w:ascii="Calibri" w:hAnsi="Calibri"/>
          <w:sz w:val="22"/>
          <w:szCs w:val="22"/>
        </w:rPr>
        <w:t xml:space="preserve"> alkalmazandó árfolyamot az adatszolgáltató célszerűen, az adatszolgáltatás legjobb minőségben történő teljesítése szem előtt tartásával maga választhatja meg, </w:t>
      </w:r>
      <w:r w:rsidR="00A13720" w:rsidRPr="00913BBC">
        <w:rPr>
          <w:rFonts w:ascii="Calibri" w:hAnsi="Calibri"/>
          <w:sz w:val="22"/>
          <w:szCs w:val="22"/>
        </w:rPr>
        <w:t>akár a pozíciók, akár a tranzakciós adatok esetében is lehet saját jegyzett, vagy nyilvántartási, esetleg valamely időpontban (időszak végi záró, vagy a tranzakció időpontjában) érvényes banki, MNB árfolyam, de valamilyen, az adatszolgáltató által használt átlagárfolyam is.</w:t>
      </w:r>
      <w:r w:rsidRPr="00913BBC">
        <w:rPr>
          <w:rFonts w:ascii="Calibri" w:hAnsi="Calibri"/>
          <w:sz w:val="22"/>
          <w:szCs w:val="22"/>
        </w:rPr>
        <w:t xml:space="preserve"> </w:t>
      </w:r>
    </w:p>
    <w:p w:rsidR="000C61C1" w:rsidRPr="00913BBC" w:rsidRDefault="000C61C1">
      <w:pPr>
        <w:jc w:val="both"/>
        <w:rPr>
          <w:rFonts w:ascii="Calibri" w:hAnsi="Calibri"/>
          <w:sz w:val="22"/>
          <w:szCs w:val="22"/>
        </w:rPr>
      </w:pPr>
    </w:p>
    <w:p w:rsidR="004366CA" w:rsidRPr="00913BBC" w:rsidRDefault="004366CA">
      <w:pPr>
        <w:pStyle w:val="BodyText"/>
        <w:rPr>
          <w:rFonts w:ascii="Calibri" w:hAnsi="Calibri"/>
          <w:b/>
          <w:bCs/>
          <w:sz w:val="22"/>
          <w:szCs w:val="22"/>
        </w:rPr>
      </w:pPr>
      <w:r w:rsidRPr="00913BBC">
        <w:rPr>
          <w:rFonts w:ascii="Calibri" w:hAnsi="Calibri"/>
          <w:b/>
          <w:bCs/>
          <w:sz w:val="22"/>
          <w:szCs w:val="22"/>
        </w:rPr>
        <w:t>3.  Előjelek használata</w:t>
      </w:r>
      <w:bookmarkEnd w:id="28"/>
    </w:p>
    <w:p w:rsidR="004366CA" w:rsidRPr="00913BBC" w:rsidRDefault="004366CA">
      <w:pPr>
        <w:pStyle w:val="BodyText"/>
        <w:rPr>
          <w:rFonts w:ascii="Calibri" w:hAnsi="Calibri"/>
          <w:b/>
          <w:bCs/>
          <w:sz w:val="22"/>
          <w:szCs w:val="22"/>
        </w:rPr>
      </w:pPr>
    </w:p>
    <w:p w:rsidR="004366CA" w:rsidRPr="00913BBC" w:rsidRDefault="004366CA">
      <w:pPr>
        <w:ind w:left="540" w:hanging="540"/>
        <w:jc w:val="both"/>
        <w:rPr>
          <w:rFonts w:ascii="Calibri" w:hAnsi="Calibri"/>
          <w:sz w:val="22"/>
          <w:szCs w:val="22"/>
        </w:rPr>
      </w:pPr>
      <w:r w:rsidRPr="00913BBC">
        <w:rPr>
          <w:rFonts w:ascii="Calibri" w:hAnsi="Calibri"/>
          <w:sz w:val="22"/>
          <w:szCs w:val="22"/>
        </w:rPr>
        <w:t>a)     Pozíciók esetében: A nyitó és záró pozíció értéke csak nem negatív szám lehet</w:t>
      </w:r>
      <w:r w:rsidR="007F2634" w:rsidRPr="00913BBC">
        <w:rPr>
          <w:rFonts w:ascii="Calibri" w:hAnsi="Calibri"/>
          <w:sz w:val="22"/>
          <w:szCs w:val="22"/>
        </w:rPr>
        <w:t>, előjel nélkül kell megadni</w:t>
      </w:r>
      <w:r w:rsidRPr="00913BBC">
        <w:rPr>
          <w:rFonts w:ascii="Calibri" w:hAnsi="Calibri"/>
          <w:sz w:val="22"/>
          <w:szCs w:val="22"/>
        </w:rPr>
        <w:t>.</w:t>
      </w:r>
    </w:p>
    <w:p w:rsidR="004366CA" w:rsidRPr="00913BBC" w:rsidRDefault="004366CA">
      <w:pPr>
        <w:ind w:left="540" w:hanging="540"/>
        <w:jc w:val="both"/>
        <w:rPr>
          <w:rFonts w:ascii="Calibri" w:hAnsi="Calibri"/>
          <w:sz w:val="22"/>
          <w:szCs w:val="22"/>
        </w:rPr>
      </w:pPr>
      <w:r w:rsidRPr="00913BBC">
        <w:rPr>
          <w:rFonts w:ascii="Calibri" w:hAnsi="Calibri"/>
          <w:sz w:val="22"/>
          <w:szCs w:val="22"/>
        </w:rPr>
        <w:t xml:space="preserve">b)    Időszaki változásoknál: A tranzakciók esetében a bevételeket és kiadásokat </w:t>
      </w:r>
      <w:r w:rsidR="007F2634" w:rsidRPr="00913BBC">
        <w:rPr>
          <w:rFonts w:ascii="Calibri" w:hAnsi="Calibri"/>
          <w:sz w:val="22"/>
          <w:szCs w:val="22"/>
        </w:rPr>
        <w:t>előjel nélkül</w:t>
      </w:r>
      <w:r w:rsidRPr="00913BBC">
        <w:rPr>
          <w:rFonts w:ascii="Calibri" w:hAnsi="Calibri"/>
          <w:sz w:val="22"/>
          <w:szCs w:val="22"/>
        </w:rPr>
        <w:t xml:space="preserve"> kell megadni, </w:t>
      </w:r>
      <w:r w:rsidR="00512993" w:rsidRPr="00913BBC">
        <w:rPr>
          <w:rFonts w:ascii="Calibri" w:hAnsi="Calibri"/>
          <w:sz w:val="22"/>
          <w:szCs w:val="22"/>
        </w:rPr>
        <w:t xml:space="preserve">kivételesen lehet negatív előjelű, mivel </w:t>
      </w:r>
      <w:r w:rsidRPr="00913BBC">
        <w:rPr>
          <w:rFonts w:ascii="Calibri" w:hAnsi="Calibri"/>
          <w:sz w:val="22"/>
          <w:szCs w:val="22"/>
        </w:rPr>
        <w:t>csak stornó tételeknél lehetséges negatív előjel használata</w:t>
      </w:r>
      <w:r w:rsidR="00512993" w:rsidRPr="00913BBC">
        <w:rPr>
          <w:rFonts w:ascii="Calibri" w:hAnsi="Calibri"/>
          <w:sz w:val="22"/>
          <w:szCs w:val="22"/>
        </w:rPr>
        <w:t xml:space="preserve"> (ilyen </w:t>
      </w:r>
      <w:proofErr w:type="gramStart"/>
      <w:r w:rsidR="00512993" w:rsidRPr="00913BBC">
        <w:rPr>
          <w:rFonts w:ascii="Calibri" w:hAnsi="Calibri"/>
          <w:sz w:val="22"/>
          <w:szCs w:val="22"/>
        </w:rPr>
        <w:t>kivételes esetekben</w:t>
      </w:r>
      <w:proofErr w:type="gramEnd"/>
      <w:r w:rsidR="00512993" w:rsidRPr="00913BBC">
        <w:rPr>
          <w:rFonts w:ascii="Calibri" w:hAnsi="Calibri"/>
          <w:sz w:val="22"/>
          <w:szCs w:val="22"/>
        </w:rPr>
        <w:t xml:space="preserve"> indokolható hibaként jelenik meg a tétel az EBEAD felületen)</w:t>
      </w:r>
      <w:r w:rsidRPr="00913BBC">
        <w:rPr>
          <w:rFonts w:ascii="Calibri" w:hAnsi="Calibri"/>
          <w:sz w:val="22"/>
          <w:szCs w:val="22"/>
        </w:rPr>
        <w:t xml:space="preserve">. Az átértékelések és egyéb változások oszlopokban </w:t>
      </w:r>
      <w:r w:rsidR="007F2634" w:rsidRPr="00913BBC">
        <w:rPr>
          <w:rFonts w:ascii="Calibri" w:hAnsi="Calibri"/>
          <w:sz w:val="22"/>
          <w:szCs w:val="22"/>
        </w:rPr>
        <w:t>előjel nélküli (pozíciót növelő)</w:t>
      </w:r>
      <w:r w:rsidRPr="00913BBC">
        <w:rPr>
          <w:rFonts w:ascii="Calibri" w:hAnsi="Calibri"/>
          <w:sz w:val="22"/>
          <w:szCs w:val="22"/>
        </w:rPr>
        <w:t xml:space="preserve"> és negatív előjel</w:t>
      </w:r>
      <w:r w:rsidR="007F2634" w:rsidRPr="00913BBC">
        <w:rPr>
          <w:rFonts w:ascii="Calibri" w:hAnsi="Calibri"/>
          <w:sz w:val="22"/>
          <w:szCs w:val="22"/>
        </w:rPr>
        <w:t>ű (pozíciót csökkentő) tételek egyaránt előfordulhatnak, tehát negatív előjel is</w:t>
      </w:r>
      <w:r w:rsidRPr="00913BBC">
        <w:rPr>
          <w:rFonts w:ascii="Calibri" w:hAnsi="Calibri"/>
          <w:sz w:val="22"/>
          <w:szCs w:val="22"/>
        </w:rPr>
        <w:t xml:space="preserve"> használható, attól függően, hogy a változást okozó hatások összességükben növekedést vagy csökkenést eredményeztek a jelentett állományi adatokban. </w:t>
      </w:r>
    </w:p>
    <w:p w:rsidR="004366CA" w:rsidRPr="00913BBC" w:rsidRDefault="004366CA">
      <w:pPr>
        <w:rPr>
          <w:rFonts w:ascii="Calibri" w:hAnsi="Calibri"/>
          <w:sz w:val="22"/>
          <w:szCs w:val="22"/>
        </w:rPr>
      </w:pPr>
      <w:bookmarkStart w:id="29" w:name="_Toc122850665"/>
    </w:p>
    <w:p w:rsidR="004366CA" w:rsidRPr="00913BBC" w:rsidRDefault="004366CA">
      <w:pPr>
        <w:rPr>
          <w:rFonts w:ascii="Calibri" w:hAnsi="Calibri"/>
          <w:sz w:val="22"/>
          <w:szCs w:val="22"/>
        </w:rPr>
      </w:pPr>
    </w:p>
    <w:bookmarkEnd w:id="27"/>
    <w:bookmarkEnd w:id="29"/>
    <w:p w:rsidR="004366CA" w:rsidRPr="00913BBC" w:rsidRDefault="004366CA">
      <w:pPr>
        <w:pStyle w:val="Heading1"/>
        <w:jc w:val="both"/>
        <w:rPr>
          <w:rFonts w:ascii="Calibri" w:hAnsi="Calibri"/>
          <w:sz w:val="22"/>
          <w:szCs w:val="22"/>
        </w:rPr>
      </w:pPr>
      <w:r w:rsidRPr="00913BBC">
        <w:rPr>
          <w:rFonts w:ascii="Calibri" w:hAnsi="Calibri"/>
          <w:sz w:val="22"/>
          <w:szCs w:val="22"/>
        </w:rPr>
        <w:t>II. A táblák kitöltésével kapcsolatos részletes tudnivalók, az adatok összeállításának módja</w:t>
      </w:r>
    </w:p>
    <w:p w:rsidR="004366CA" w:rsidRPr="00913BBC" w:rsidRDefault="004366CA">
      <w:pPr>
        <w:widowControl w:val="0"/>
        <w:autoSpaceDE w:val="0"/>
        <w:autoSpaceDN w:val="0"/>
        <w:adjustRightInd w:val="0"/>
        <w:jc w:val="both"/>
        <w:rPr>
          <w:rFonts w:ascii="Calibri" w:hAnsi="Calibri"/>
          <w:sz w:val="22"/>
          <w:szCs w:val="22"/>
        </w:rPr>
      </w:pPr>
    </w:p>
    <w:p w:rsidR="004366CA" w:rsidRPr="00913BBC" w:rsidRDefault="004366CA">
      <w:pPr>
        <w:widowControl w:val="0"/>
        <w:autoSpaceDE w:val="0"/>
        <w:autoSpaceDN w:val="0"/>
        <w:adjustRightInd w:val="0"/>
        <w:jc w:val="both"/>
        <w:rPr>
          <w:rFonts w:ascii="Calibri" w:hAnsi="Calibri"/>
          <w:sz w:val="22"/>
          <w:szCs w:val="22"/>
        </w:rPr>
      </w:pPr>
      <w:r w:rsidRPr="00913BBC">
        <w:rPr>
          <w:rFonts w:ascii="Calibri" w:hAnsi="Calibri"/>
          <w:sz w:val="22"/>
          <w:szCs w:val="22"/>
        </w:rPr>
        <w:t xml:space="preserve">A pénzügyi </w:t>
      </w:r>
      <w:proofErr w:type="spellStart"/>
      <w:r w:rsidRPr="00913BBC">
        <w:rPr>
          <w:rFonts w:ascii="Calibri" w:hAnsi="Calibri"/>
          <w:sz w:val="22"/>
          <w:szCs w:val="22"/>
        </w:rPr>
        <w:t>derivatíva</w:t>
      </w:r>
      <w:proofErr w:type="spellEnd"/>
      <w:r w:rsidRPr="00913BBC">
        <w:rPr>
          <w:rFonts w:ascii="Calibri" w:hAnsi="Calibri"/>
          <w:sz w:val="22"/>
          <w:szCs w:val="22"/>
        </w:rPr>
        <w:t xml:space="preserve"> ügyletek két, szerkezetét tekintve megegyező adatszolgáltatási táblában jelentendők.</w:t>
      </w:r>
    </w:p>
    <w:p w:rsidR="004366CA" w:rsidRPr="00913BBC" w:rsidRDefault="004366CA">
      <w:pPr>
        <w:widowControl w:val="0"/>
        <w:autoSpaceDE w:val="0"/>
        <w:autoSpaceDN w:val="0"/>
        <w:adjustRightInd w:val="0"/>
        <w:rPr>
          <w:rFonts w:ascii="Calibri" w:hAnsi="Calibri" w:cs="Arial"/>
          <w:sz w:val="22"/>
          <w:szCs w:val="22"/>
        </w:rPr>
      </w:pPr>
    </w:p>
    <w:p w:rsidR="001D24C4" w:rsidRPr="00913BBC" w:rsidRDefault="001D24C4">
      <w:pPr>
        <w:widowControl w:val="0"/>
        <w:autoSpaceDE w:val="0"/>
        <w:autoSpaceDN w:val="0"/>
        <w:adjustRightInd w:val="0"/>
        <w:rPr>
          <w:rFonts w:ascii="Calibri" w:hAnsi="Calibri" w:cs="Arial"/>
          <w:sz w:val="22"/>
          <w:szCs w:val="22"/>
        </w:rPr>
      </w:pPr>
    </w:p>
    <w:p w:rsidR="001D24C4" w:rsidRPr="00913BBC" w:rsidRDefault="001D24C4">
      <w:pPr>
        <w:widowControl w:val="0"/>
        <w:autoSpaceDE w:val="0"/>
        <w:autoSpaceDN w:val="0"/>
        <w:adjustRightInd w:val="0"/>
        <w:rPr>
          <w:rFonts w:ascii="Calibri" w:hAnsi="Calibri" w:cs="Arial"/>
          <w:sz w:val="22"/>
          <w:szCs w:val="22"/>
        </w:rPr>
      </w:pPr>
    </w:p>
    <w:p w:rsidR="001D24C4" w:rsidRPr="00913BBC" w:rsidRDefault="001D24C4">
      <w:pPr>
        <w:widowControl w:val="0"/>
        <w:autoSpaceDE w:val="0"/>
        <w:autoSpaceDN w:val="0"/>
        <w:adjustRightInd w:val="0"/>
        <w:rPr>
          <w:rFonts w:ascii="Calibri" w:hAnsi="Calibri" w:cs="Arial"/>
          <w:sz w:val="22"/>
          <w:szCs w:val="22"/>
        </w:rPr>
      </w:pPr>
    </w:p>
    <w:p w:rsidR="001D24C4" w:rsidRPr="00913BBC" w:rsidRDefault="001D24C4">
      <w:pPr>
        <w:widowControl w:val="0"/>
        <w:autoSpaceDE w:val="0"/>
        <w:autoSpaceDN w:val="0"/>
        <w:adjustRightInd w:val="0"/>
        <w:rPr>
          <w:rFonts w:ascii="Calibri" w:hAnsi="Calibri" w:cs="Arial"/>
          <w:sz w:val="22"/>
          <w:szCs w:val="22"/>
        </w:rPr>
      </w:pPr>
    </w:p>
    <w:p w:rsidR="004366CA" w:rsidRPr="00913BBC" w:rsidRDefault="004366CA">
      <w:pPr>
        <w:widowControl w:val="0"/>
        <w:autoSpaceDE w:val="0"/>
        <w:autoSpaceDN w:val="0"/>
        <w:adjustRightInd w:val="0"/>
        <w:rPr>
          <w:rFonts w:ascii="Calibri" w:hAnsi="Calibri" w:cs="Arial"/>
          <w:sz w:val="22"/>
          <w:szCs w:val="22"/>
        </w:rPr>
      </w:pPr>
    </w:p>
    <w:p w:rsidR="004366CA" w:rsidRPr="00913BBC" w:rsidRDefault="004366CA">
      <w:pPr>
        <w:jc w:val="both"/>
        <w:rPr>
          <w:rFonts w:ascii="Calibri" w:hAnsi="Calibri"/>
          <w:b/>
          <w:sz w:val="22"/>
          <w:szCs w:val="22"/>
        </w:rPr>
      </w:pPr>
      <w:r w:rsidRPr="00913BBC">
        <w:rPr>
          <w:rFonts w:ascii="Calibri" w:hAnsi="Calibri"/>
          <w:b/>
          <w:sz w:val="22"/>
          <w:szCs w:val="22"/>
        </w:rPr>
        <w:lastRenderedPageBreak/>
        <w:t>1.  A DERK és DERT táblák egyes oszlopaiban lévő mezők tartalma</w:t>
      </w:r>
    </w:p>
    <w:p w:rsidR="004366CA" w:rsidRPr="00913BBC" w:rsidRDefault="004366CA">
      <w:pPr>
        <w:jc w:val="both"/>
        <w:rPr>
          <w:rFonts w:ascii="Calibri" w:hAnsi="Calibri"/>
          <w:sz w:val="22"/>
          <w:szCs w:val="22"/>
        </w:rPr>
      </w:pPr>
    </w:p>
    <w:p w:rsidR="004366CA" w:rsidRPr="00913BBC" w:rsidRDefault="004366CA">
      <w:pPr>
        <w:ind w:left="1080" w:hanging="1080"/>
        <w:jc w:val="both"/>
        <w:rPr>
          <w:rFonts w:ascii="Calibri" w:hAnsi="Calibri"/>
          <w:sz w:val="22"/>
          <w:szCs w:val="22"/>
        </w:rPr>
      </w:pPr>
      <w:r w:rsidRPr="00913BBC">
        <w:rPr>
          <w:rFonts w:ascii="Calibri" w:hAnsi="Calibri"/>
          <w:sz w:val="22"/>
          <w:szCs w:val="22"/>
        </w:rPr>
        <w:t xml:space="preserve">„a” oszlop: Az ügylet típusa. Az alábbi kódok választásával kell megadni, hogy az aktuális sor mely pénzügyi </w:t>
      </w:r>
      <w:proofErr w:type="spellStart"/>
      <w:r w:rsidRPr="00913BBC">
        <w:rPr>
          <w:rFonts w:ascii="Calibri" w:hAnsi="Calibri"/>
          <w:sz w:val="22"/>
          <w:szCs w:val="22"/>
        </w:rPr>
        <w:t>derivatíva</w:t>
      </w:r>
      <w:proofErr w:type="spellEnd"/>
      <w:r w:rsidRPr="00913BBC">
        <w:rPr>
          <w:rFonts w:ascii="Calibri" w:hAnsi="Calibri"/>
          <w:sz w:val="22"/>
          <w:szCs w:val="22"/>
        </w:rPr>
        <w:t xml:space="preserve"> alap-instrumentumhoz tartozó ügyletek adatait tartalmazza. </w:t>
      </w:r>
    </w:p>
    <w:p w:rsidR="004366CA" w:rsidRPr="00913BBC" w:rsidRDefault="004366CA">
      <w:pPr>
        <w:ind w:left="1080" w:hanging="1080"/>
        <w:jc w:val="both"/>
        <w:rPr>
          <w:rFonts w:ascii="Calibri" w:hAnsi="Calibri"/>
          <w:sz w:val="22"/>
          <w:szCs w:val="22"/>
        </w:rPr>
      </w:pPr>
    </w:p>
    <w:p w:rsidR="004366CA" w:rsidRPr="00913BBC" w:rsidRDefault="004366CA">
      <w:pPr>
        <w:jc w:val="center"/>
        <w:rPr>
          <w:rFonts w:ascii="Calibri" w:hAnsi="Calibri"/>
          <w:sz w:val="22"/>
          <w:szCs w:val="22"/>
        </w:rPr>
      </w:pPr>
      <w:r w:rsidRPr="00913BBC">
        <w:rPr>
          <w:rFonts w:ascii="Calibri" w:hAnsi="Calibri"/>
          <w:sz w:val="22"/>
          <w:szCs w:val="22"/>
        </w:rPr>
        <w:t>Választható kódok:</w:t>
      </w:r>
    </w:p>
    <w:tbl>
      <w:tblPr>
        <w:tblW w:w="4088" w:type="dxa"/>
        <w:jc w:val="center"/>
        <w:tblCellMar>
          <w:left w:w="70" w:type="dxa"/>
          <w:right w:w="70" w:type="dxa"/>
        </w:tblCellMar>
        <w:tblLook w:val="0000" w:firstRow="0" w:lastRow="0" w:firstColumn="0" w:lastColumn="0" w:noHBand="0" w:noVBand="0"/>
      </w:tblPr>
      <w:tblGrid>
        <w:gridCol w:w="1157"/>
        <w:gridCol w:w="2931"/>
      </w:tblGrid>
      <w:tr w:rsidR="004366CA" w:rsidRPr="00913BBC">
        <w:trPr>
          <w:trHeight w:val="270"/>
          <w:jc w:val="center"/>
        </w:trPr>
        <w:tc>
          <w:tcPr>
            <w:tcW w:w="4088"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tcPr>
          <w:p w:rsidR="004366CA" w:rsidRPr="00913BBC" w:rsidRDefault="004366CA">
            <w:pPr>
              <w:jc w:val="center"/>
              <w:rPr>
                <w:rFonts w:ascii="Calibri" w:hAnsi="Calibri" w:cs="Arial"/>
                <w:bCs/>
                <w:sz w:val="22"/>
                <w:szCs w:val="22"/>
              </w:rPr>
            </w:pPr>
            <w:r w:rsidRPr="00913BBC">
              <w:rPr>
                <w:rFonts w:ascii="Calibri" w:hAnsi="Calibri" w:cs="Arial"/>
                <w:bCs/>
                <w:sz w:val="22"/>
                <w:szCs w:val="22"/>
              </w:rPr>
              <w:t>Követelések/</w:t>
            </w:r>
            <w:proofErr w:type="gramStart"/>
            <w:r w:rsidRPr="00913BBC">
              <w:rPr>
                <w:rFonts w:ascii="Calibri" w:hAnsi="Calibri" w:cs="Arial"/>
                <w:bCs/>
                <w:sz w:val="22"/>
                <w:szCs w:val="22"/>
              </w:rPr>
              <w:t>Tartozások  táblában</w:t>
            </w:r>
            <w:proofErr w:type="gramEnd"/>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Garamond"/>
                <w:color w:val="000000"/>
                <w:sz w:val="22"/>
                <w:szCs w:val="22"/>
              </w:rPr>
              <w:t>FT</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proofErr w:type="spellStart"/>
            <w:r w:rsidRPr="00913BBC">
              <w:rPr>
                <w:rFonts w:ascii="Calibri" w:hAnsi="Calibri" w:cs="Garamond"/>
                <w:color w:val="000000"/>
                <w:sz w:val="22"/>
                <w:szCs w:val="22"/>
              </w:rPr>
              <w:t>Futures</w:t>
            </w:r>
            <w:proofErr w:type="spellEnd"/>
            <w:r w:rsidRPr="00913BBC">
              <w:rPr>
                <w:rFonts w:ascii="Calibri" w:hAnsi="Calibri" w:cs="Garamond"/>
                <w:color w:val="000000"/>
                <w:sz w:val="22"/>
                <w:szCs w:val="22"/>
              </w:rPr>
              <w:t xml:space="preserve"> kontraktusok </w:t>
            </w:r>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Arial"/>
                <w:sz w:val="22"/>
                <w:szCs w:val="22"/>
              </w:rPr>
              <w:t>OE</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r w:rsidRPr="00913BBC">
              <w:rPr>
                <w:rFonts w:ascii="Calibri" w:hAnsi="Calibri" w:cs="Garamond"/>
                <w:color w:val="000000"/>
                <w:sz w:val="22"/>
                <w:szCs w:val="22"/>
              </w:rPr>
              <w:t>Kiírt (eladott) opció</w:t>
            </w:r>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Arial"/>
                <w:sz w:val="22"/>
                <w:szCs w:val="22"/>
              </w:rPr>
              <w:t>OV</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r w:rsidRPr="00913BBC">
              <w:rPr>
                <w:rFonts w:ascii="Calibri" w:hAnsi="Calibri" w:cs="Garamond"/>
                <w:color w:val="000000"/>
                <w:sz w:val="22"/>
                <w:szCs w:val="22"/>
              </w:rPr>
              <w:t>Megvásárolt opció</w:t>
            </w:r>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Arial"/>
                <w:sz w:val="22"/>
                <w:szCs w:val="22"/>
              </w:rPr>
              <w:t>FW</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proofErr w:type="spellStart"/>
            <w:r w:rsidRPr="00913BBC">
              <w:rPr>
                <w:rFonts w:ascii="Calibri" w:hAnsi="Calibri" w:cs="Garamond"/>
                <w:color w:val="000000"/>
                <w:sz w:val="22"/>
                <w:szCs w:val="22"/>
              </w:rPr>
              <w:t>Forwardok</w:t>
            </w:r>
            <w:proofErr w:type="spellEnd"/>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Arial"/>
                <w:sz w:val="22"/>
                <w:szCs w:val="22"/>
              </w:rPr>
              <w:t>SW</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proofErr w:type="spellStart"/>
            <w:r w:rsidRPr="00913BBC">
              <w:rPr>
                <w:rFonts w:ascii="Calibri" w:hAnsi="Calibri" w:cs="Garamond"/>
                <w:color w:val="000000"/>
                <w:sz w:val="22"/>
                <w:szCs w:val="22"/>
              </w:rPr>
              <w:t>Swapok</w:t>
            </w:r>
            <w:proofErr w:type="spellEnd"/>
          </w:p>
        </w:tc>
      </w:tr>
      <w:tr w:rsidR="004366CA" w:rsidRPr="00913BBC">
        <w:trPr>
          <w:trHeight w:val="270"/>
          <w:jc w:val="center"/>
        </w:trPr>
        <w:tc>
          <w:tcPr>
            <w:tcW w:w="1157" w:type="dxa"/>
            <w:tcBorders>
              <w:top w:val="nil"/>
              <w:left w:val="single" w:sz="8" w:space="0" w:color="auto"/>
              <w:bottom w:val="single" w:sz="8" w:space="0" w:color="auto"/>
              <w:right w:val="single" w:sz="8" w:space="0" w:color="auto"/>
            </w:tcBorders>
            <w:shd w:val="clear" w:color="auto" w:fill="auto"/>
            <w:noWrap/>
            <w:vAlign w:val="bottom"/>
          </w:tcPr>
          <w:p w:rsidR="004366CA" w:rsidRPr="00913BBC" w:rsidRDefault="004366CA">
            <w:pPr>
              <w:jc w:val="right"/>
              <w:rPr>
                <w:rFonts w:ascii="Calibri" w:hAnsi="Calibri" w:cs="Arial"/>
                <w:sz w:val="22"/>
                <w:szCs w:val="22"/>
              </w:rPr>
            </w:pPr>
            <w:r w:rsidRPr="00913BBC">
              <w:rPr>
                <w:rFonts w:ascii="Calibri" w:hAnsi="Calibri" w:cs="Arial"/>
                <w:sz w:val="22"/>
                <w:szCs w:val="22"/>
              </w:rPr>
              <w:t>EG</w:t>
            </w:r>
          </w:p>
        </w:tc>
        <w:tc>
          <w:tcPr>
            <w:tcW w:w="2931" w:type="dxa"/>
            <w:tcBorders>
              <w:top w:val="nil"/>
              <w:left w:val="nil"/>
              <w:bottom w:val="single" w:sz="8" w:space="0" w:color="auto"/>
              <w:right w:val="single" w:sz="8" w:space="0" w:color="auto"/>
            </w:tcBorders>
            <w:shd w:val="clear" w:color="auto" w:fill="auto"/>
            <w:noWrap/>
            <w:vAlign w:val="bottom"/>
          </w:tcPr>
          <w:p w:rsidR="004366CA" w:rsidRPr="00913BBC" w:rsidRDefault="004366CA">
            <w:pPr>
              <w:rPr>
                <w:rFonts w:ascii="Calibri" w:hAnsi="Calibri" w:cs="Arial"/>
                <w:sz w:val="22"/>
                <w:szCs w:val="22"/>
              </w:rPr>
            </w:pPr>
            <w:r w:rsidRPr="00913BBC">
              <w:rPr>
                <w:rFonts w:ascii="Calibri" w:hAnsi="Calibri" w:cs="Garamond"/>
                <w:color w:val="000000"/>
                <w:sz w:val="22"/>
                <w:szCs w:val="22"/>
              </w:rPr>
              <w:t xml:space="preserve">Egyéb pénzügyi </w:t>
            </w:r>
            <w:proofErr w:type="spellStart"/>
            <w:r w:rsidRPr="00913BBC">
              <w:rPr>
                <w:rFonts w:ascii="Calibri" w:hAnsi="Calibri" w:cs="Garamond"/>
                <w:color w:val="000000"/>
                <w:sz w:val="22"/>
                <w:szCs w:val="22"/>
              </w:rPr>
              <w:t>derivatívák</w:t>
            </w:r>
            <w:proofErr w:type="spellEnd"/>
          </w:p>
        </w:tc>
      </w:tr>
    </w:tbl>
    <w:p w:rsidR="004366CA" w:rsidRPr="00913BBC" w:rsidRDefault="004366CA">
      <w:pPr>
        <w:jc w:val="both"/>
        <w:rPr>
          <w:rFonts w:ascii="Calibri" w:hAnsi="Calibri"/>
          <w:sz w:val="22"/>
          <w:szCs w:val="22"/>
        </w:rPr>
      </w:pPr>
    </w:p>
    <w:p w:rsidR="004366CA" w:rsidRPr="00913BBC" w:rsidRDefault="004366CA">
      <w:pPr>
        <w:ind w:left="1080" w:hanging="1080"/>
        <w:jc w:val="both"/>
        <w:rPr>
          <w:rFonts w:ascii="Calibri" w:hAnsi="Calibri"/>
          <w:sz w:val="22"/>
          <w:szCs w:val="22"/>
        </w:rPr>
      </w:pPr>
      <w:r w:rsidRPr="00913BBC">
        <w:rPr>
          <w:rFonts w:ascii="Calibri" w:hAnsi="Calibri"/>
          <w:sz w:val="22"/>
          <w:szCs w:val="22"/>
        </w:rPr>
        <w:t>„b” oszlop: A partner ISO országkódja. Nem tőzsdei ügyletek esetén a nem rezidens partner ISO országkódját</w:t>
      </w:r>
      <w:r w:rsidR="00DA2B9A" w:rsidRPr="00913BBC">
        <w:rPr>
          <w:rFonts w:ascii="Calibri" w:hAnsi="Calibri"/>
          <w:sz w:val="22"/>
          <w:szCs w:val="22"/>
        </w:rPr>
        <w:t>,</w:t>
      </w:r>
      <w:r w:rsidRPr="00913BBC">
        <w:rPr>
          <w:rFonts w:ascii="Calibri" w:hAnsi="Calibri"/>
          <w:sz w:val="22"/>
          <w:szCs w:val="22"/>
        </w:rPr>
        <w:t xml:space="preserve"> tőzsdei ügyletek esetében pedig annak a nem rezidens tőzsdének a székhelye szerinti országkódot kell megadni, ahol az ügyletet </w:t>
      </w:r>
      <w:proofErr w:type="gramStart"/>
      <w:r w:rsidRPr="00913BBC">
        <w:rPr>
          <w:rFonts w:ascii="Calibri" w:hAnsi="Calibri"/>
          <w:sz w:val="22"/>
          <w:szCs w:val="22"/>
        </w:rPr>
        <w:t>kötötték.(</w:t>
      </w:r>
      <w:proofErr w:type="gramEnd"/>
      <w:r w:rsidRPr="00913BBC">
        <w:rPr>
          <w:rFonts w:ascii="Calibri" w:hAnsi="Calibri"/>
          <w:sz w:val="22"/>
          <w:szCs w:val="22"/>
        </w:rPr>
        <w:t xml:space="preserve">A magyar tőzsdén kötött ügyletek e táblákban nem jelentendők.)    </w:t>
      </w:r>
    </w:p>
    <w:p w:rsidR="004366CA" w:rsidRPr="00913BBC" w:rsidRDefault="004366CA">
      <w:pPr>
        <w:ind w:left="1080" w:hanging="1080"/>
        <w:jc w:val="both"/>
        <w:rPr>
          <w:rFonts w:ascii="Calibri" w:hAnsi="Calibri"/>
          <w:sz w:val="22"/>
          <w:szCs w:val="22"/>
        </w:rPr>
      </w:pPr>
      <w:r w:rsidRPr="00913BBC">
        <w:rPr>
          <w:rFonts w:ascii="Calibri" w:hAnsi="Calibri"/>
          <w:sz w:val="22"/>
          <w:szCs w:val="22"/>
        </w:rPr>
        <w:t xml:space="preserve">„c” oszlop: Időszak eleji nyitó pozíció. A tárgyidőszak nyitó pozíciós adatait kell itt megadni, amelyeknek meg kell egyezniük az előző tárgyidőszak záró pozíciós adataival. </w:t>
      </w:r>
    </w:p>
    <w:p w:rsidR="004366CA" w:rsidRPr="00913BBC" w:rsidRDefault="004366CA">
      <w:pPr>
        <w:ind w:left="1080" w:hanging="1080"/>
        <w:jc w:val="both"/>
        <w:rPr>
          <w:rFonts w:ascii="Calibri" w:hAnsi="Calibri"/>
          <w:sz w:val="22"/>
          <w:szCs w:val="22"/>
          <w:u w:val="single"/>
        </w:rPr>
      </w:pPr>
      <w:r w:rsidRPr="00913BBC">
        <w:rPr>
          <w:rFonts w:ascii="Calibri" w:hAnsi="Calibri"/>
          <w:sz w:val="22"/>
          <w:szCs w:val="22"/>
        </w:rPr>
        <w:t>„d - e” oszlop: Tranzakciók. A tárgyidőszak folyamán a partnerrel szemben teljesített, az ügyletekből eredő fizetések és elszámolások (amelyek értéknapja a jelentési időszakra esik).</w:t>
      </w:r>
    </w:p>
    <w:p w:rsidR="004366CA" w:rsidRPr="00913BBC" w:rsidRDefault="004366CA">
      <w:pPr>
        <w:ind w:left="1080"/>
        <w:jc w:val="both"/>
        <w:rPr>
          <w:rFonts w:ascii="Calibri" w:hAnsi="Calibri"/>
          <w:sz w:val="22"/>
          <w:szCs w:val="22"/>
        </w:rPr>
      </w:pPr>
      <w:r w:rsidRPr="00913BBC">
        <w:rPr>
          <w:rFonts w:ascii="Calibri" w:hAnsi="Calibri"/>
          <w:sz w:val="22"/>
          <w:szCs w:val="22"/>
        </w:rPr>
        <w:t xml:space="preserve">A bevételeket és a kiadásokat a tényleges fizetésnek megfelelő, vagy az elszámolt </w:t>
      </w:r>
      <w:proofErr w:type="gramStart"/>
      <w:r w:rsidRPr="00913BBC">
        <w:rPr>
          <w:rFonts w:ascii="Calibri" w:hAnsi="Calibri"/>
          <w:sz w:val="22"/>
          <w:szCs w:val="22"/>
        </w:rPr>
        <w:t>összegben  kell</w:t>
      </w:r>
      <w:proofErr w:type="gramEnd"/>
      <w:r w:rsidRPr="00913BBC">
        <w:rPr>
          <w:rFonts w:ascii="Calibri" w:hAnsi="Calibri"/>
          <w:sz w:val="22"/>
          <w:szCs w:val="22"/>
        </w:rPr>
        <w:t xml:space="preserve"> jelenteni a követelések, illetve a tartozások táblában aszerint, hogy azok a pozíciót növelő (d oszlop), vagy csökkentő (e oszlop) hatásúak. Az egyes derivatív megállapodásoknak a tranzakció teljesítésének időpontjában érvényes piaci értékétől függően kell az egyes tranzakciókat a megfelelő táblába besorolni: a nyereséges ügyletek esetében a követelések, veszteséges ügyletek esetében a tartozások táblába. Amennyiben ez a piaci érték ellentétes az ügylet tárgyidőszaki nyitó pozíciójával, akkor (mivel a tranzakció a másik táblába került), a különbözet az átértékelés oszlopban jelentkezik majd. </w:t>
      </w:r>
    </w:p>
    <w:p w:rsidR="004366CA" w:rsidRPr="00913BBC" w:rsidRDefault="004366CA">
      <w:pPr>
        <w:ind w:left="1080"/>
        <w:jc w:val="both"/>
        <w:rPr>
          <w:rFonts w:ascii="Calibri" w:hAnsi="Calibri"/>
          <w:sz w:val="22"/>
          <w:szCs w:val="22"/>
        </w:rPr>
      </w:pPr>
      <w:r w:rsidRPr="00913BBC">
        <w:rPr>
          <w:rFonts w:ascii="Calibri" w:hAnsi="Calibri"/>
          <w:sz w:val="22"/>
          <w:szCs w:val="22"/>
        </w:rPr>
        <w:t xml:space="preserve">Nem kell elvégezni a tranzakció időpontjára vonatkozóan kiértékelést azon ügyletek esetében, amikor a szóban forgó tranzakció nem okozza az ügylet lezárását, olyan fizetésre kerül sor, amely nem az ügylet piaci értékétől függ (pl. </w:t>
      </w:r>
      <w:proofErr w:type="spellStart"/>
      <w:r w:rsidRPr="00913BBC">
        <w:rPr>
          <w:rFonts w:ascii="Calibri" w:hAnsi="Calibri"/>
          <w:sz w:val="22"/>
          <w:szCs w:val="22"/>
        </w:rPr>
        <w:t>kamatswapok</w:t>
      </w:r>
      <w:proofErr w:type="spellEnd"/>
      <w:r w:rsidRPr="00913BBC">
        <w:rPr>
          <w:rFonts w:ascii="Calibri" w:hAnsi="Calibri"/>
          <w:sz w:val="22"/>
          <w:szCs w:val="22"/>
        </w:rPr>
        <w:t xml:space="preserve"> keretében történő kamatfizetések). Ezen tranzakciók a derivatív megállapodás nyitó pozíciójával megegyező táblában jelentendők. </w:t>
      </w:r>
    </w:p>
    <w:p w:rsidR="004366CA" w:rsidRPr="00913BBC" w:rsidRDefault="004366CA">
      <w:pPr>
        <w:ind w:left="1080"/>
        <w:jc w:val="both"/>
        <w:rPr>
          <w:rFonts w:ascii="Calibri" w:hAnsi="Calibri"/>
          <w:sz w:val="22"/>
          <w:szCs w:val="22"/>
          <w:u w:val="single"/>
        </w:rPr>
      </w:pPr>
      <w:r w:rsidRPr="00913BBC">
        <w:rPr>
          <w:rFonts w:ascii="Calibri" w:hAnsi="Calibri"/>
          <w:sz w:val="22"/>
          <w:szCs w:val="22"/>
        </w:rPr>
        <w:t xml:space="preserve">Valamennyi jelentett összegnél figyelmen kívül kell hagyni a </w:t>
      </w:r>
      <w:proofErr w:type="gramStart"/>
      <w:r w:rsidRPr="00913BBC">
        <w:rPr>
          <w:rFonts w:ascii="Calibri" w:hAnsi="Calibri"/>
          <w:sz w:val="22"/>
          <w:szCs w:val="22"/>
        </w:rPr>
        <w:t>jutalék</w:t>
      </w:r>
      <w:proofErr w:type="gramEnd"/>
      <w:r w:rsidRPr="00913BBC">
        <w:rPr>
          <w:rFonts w:ascii="Calibri" w:hAnsi="Calibri"/>
          <w:sz w:val="22"/>
          <w:szCs w:val="22"/>
        </w:rPr>
        <w:t xml:space="preserve"> illetve egyéb, pl. bróker közvetítői díjakat. Kivételt képeznek az opciós díjak, amelyek tranzakcióként jelentendők.        </w:t>
      </w:r>
    </w:p>
    <w:p w:rsidR="004366CA" w:rsidRPr="00913BBC" w:rsidRDefault="004366CA">
      <w:pPr>
        <w:ind w:left="1080" w:hanging="1080"/>
        <w:jc w:val="both"/>
        <w:rPr>
          <w:rFonts w:ascii="Calibri" w:hAnsi="Calibri"/>
          <w:sz w:val="22"/>
          <w:szCs w:val="22"/>
        </w:rPr>
      </w:pPr>
      <w:r w:rsidRPr="00913BBC">
        <w:rPr>
          <w:rFonts w:ascii="Calibri" w:hAnsi="Calibri"/>
          <w:sz w:val="22"/>
          <w:szCs w:val="22"/>
        </w:rPr>
        <w:t>„f” oszlop: Átértékelés. Ebben a mezőben a pozíció változására ható ár-, illetve árfolyam változások összesített számszerűsített adat</w:t>
      </w:r>
      <w:r w:rsidR="001D24C4" w:rsidRPr="00913BBC">
        <w:rPr>
          <w:rFonts w:ascii="Calibri" w:hAnsi="Calibri"/>
          <w:sz w:val="22"/>
          <w:szCs w:val="22"/>
        </w:rPr>
        <w:t>a szerepel. Nem kell azonban a könyvekből kiszámítani ezeket az adatokat, hanem a jelentésben soronként kell végső különbözeti értékként kiszámítani és szerepeltetni azt az összeget, amellyel a sor egyezősége végül is kialakul, tehát az</w:t>
      </w:r>
      <w:r w:rsidRPr="00913BBC">
        <w:rPr>
          <w:rFonts w:ascii="Calibri" w:hAnsi="Calibri"/>
          <w:sz w:val="22"/>
          <w:szCs w:val="22"/>
        </w:rPr>
        <w:t xml:space="preserve"> átértékelés összegét soronként a tárgyidőszaki tranzakciókkal és egyéb változásokkal módosított nyitó pozíció és a záró pozíció különbözete adja meg.</w:t>
      </w:r>
      <w:r w:rsidR="001D24C4" w:rsidRPr="00913BBC">
        <w:rPr>
          <w:rFonts w:ascii="Calibri" w:hAnsi="Calibri"/>
          <w:sz w:val="22"/>
          <w:szCs w:val="22"/>
        </w:rPr>
        <w:t xml:space="preserve"> „h” oszlop = c + d - e +(f) +(g)</w:t>
      </w:r>
      <w:r w:rsidRPr="00913BBC">
        <w:rPr>
          <w:rFonts w:ascii="Calibri" w:hAnsi="Calibri"/>
          <w:sz w:val="22"/>
          <w:szCs w:val="22"/>
        </w:rPr>
        <w:t xml:space="preserve">    </w:t>
      </w:r>
    </w:p>
    <w:p w:rsidR="004366CA" w:rsidRPr="00913BBC" w:rsidRDefault="004366CA">
      <w:pPr>
        <w:ind w:left="1080" w:hanging="1080"/>
        <w:jc w:val="both"/>
        <w:rPr>
          <w:rFonts w:ascii="Calibri" w:hAnsi="Calibri"/>
          <w:sz w:val="22"/>
          <w:szCs w:val="22"/>
        </w:rPr>
      </w:pPr>
      <w:r w:rsidRPr="00913BBC">
        <w:rPr>
          <w:rFonts w:ascii="Calibri" w:hAnsi="Calibri"/>
          <w:sz w:val="22"/>
          <w:szCs w:val="22"/>
        </w:rPr>
        <w:t xml:space="preserve">„g” oszlop: Egyéb változások. Ebben a mezőben </w:t>
      </w:r>
      <w:r w:rsidR="00223183" w:rsidRPr="00913BBC">
        <w:rPr>
          <w:rFonts w:ascii="Calibri" w:hAnsi="Calibri"/>
          <w:sz w:val="22"/>
          <w:szCs w:val="22"/>
        </w:rPr>
        <w:t xml:space="preserve">ritkán szerepelhet adat, itt </w:t>
      </w:r>
      <w:r w:rsidRPr="00913BBC">
        <w:rPr>
          <w:rFonts w:ascii="Calibri" w:hAnsi="Calibri"/>
          <w:sz w:val="22"/>
          <w:szCs w:val="22"/>
        </w:rPr>
        <w:t xml:space="preserve">kell megadni </w:t>
      </w:r>
      <w:r w:rsidR="00223183" w:rsidRPr="00913BBC">
        <w:rPr>
          <w:rFonts w:ascii="Calibri" w:hAnsi="Calibri"/>
          <w:sz w:val="22"/>
          <w:szCs w:val="22"/>
        </w:rPr>
        <w:t>az</w:t>
      </w:r>
      <w:r w:rsidRPr="00913BBC">
        <w:rPr>
          <w:rFonts w:ascii="Calibri" w:hAnsi="Calibri"/>
          <w:sz w:val="22"/>
          <w:szCs w:val="22"/>
        </w:rPr>
        <w:t xml:space="preserve"> olyan változást, vagy a nyitó- és záró pozíció között különbséget okozó hatást, amely nem tranzakció, illetve nem a nyitott derivatív ügyletek értékét befolyásoló ár-, vagy árfolyamváltozás következménye (</w:t>
      </w:r>
      <w:r w:rsidR="007F2634" w:rsidRPr="00913BBC">
        <w:rPr>
          <w:rFonts w:ascii="Calibri" w:hAnsi="Calibri"/>
          <w:sz w:val="22"/>
          <w:szCs w:val="22"/>
        </w:rPr>
        <w:t>pl. a partner rezidens, nem rezidens státuszának, vagy székhelye országának változása miatti átsorolások). A</w:t>
      </w:r>
      <w:r w:rsidRPr="00913BBC">
        <w:rPr>
          <w:rFonts w:ascii="Calibri" w:hAnsi="Calibri"/>
          <w:sz w:val="22"/>
          <w:szCs w:val="22"/>
        </w:rPr>
        <w:t xml:space="preserve">z előző vonatozási időszakokban </w:t>
      </w:r>
      <w:r w:rsidRPr="00913BBC">
        <w:rPr>
          <w:rFonts w:ascii="Calibri" w:hAnsi="Calibri"/>
          <w:sz w:val="22"/>
          <w:szCs w:val="22"/>
        </w:rPr>
        <w:lastRenderedPageBreak/>
        <w:t>összeállított jelentésekben elkövetett számszaki hibák miatti korrekciók</w:t>
      </w:r>
      <w:r w:rsidR="007F2634" w:rsidRPr="00913BBC">
        <w:rPr>
          <w:rFonts w:ascii="Calibri" w:hAnsi="Calibri"/>
          <w:sz w:val="22"/>
          <w:szCs w:val="22"/>
        </w:rPr>
        <w:t xml:space="preserve"> ezen oszlopban nem jelenthetők, ilyen esetekben a megfelelő időszak jelentéseit kell módosítani</w:t>
      </w:r>
      <w:r w:rsidRPr="00913BBC">
        <w:rPr>
          <w:rFonts w:ascii="Calibri" w:hAnsi="Calibri"/>
          <w:sz w:val="22"/>
          <w:szCs w:val="22"/>
        </w:rPr>
        <w:t>.</w:t>
      </w:r>
    </w:p>
    <w:p w:rsidR="004366CA" w:rsidRPr="00913BBC" w:rsidRDefault="004366CA">
      <w:pPr>
        <w:ind w:left="1080" w:hanging="1080"/>
        <w:jc w:val="both"/>
        <w:rPr>
          <w:rFonts w:ascii="Calibri" w:hAnsi="Calibri"/>
          <w:sz w:val="22"/>
          <w:szCs w:val="22"/>
        </w:rPr>
      </w:pPr>
      <w:r w:rsidRPr="00913BBC">
        <w:rPr>
          <w:rFonts w:ascii="Calibri" w:hAnsi="Calibri"/>
          <w:sz w:val="22"/>
          <w:szCs w:val="22"/>
        </w:rPr>
        <w:t xml:space="preserve">„h” oszlop: Időszak végi záró pozíció. A nem rezidensekkel kötött, a tárgyidőszak végén még nyitott pénzügyi derivatív ügyletek bruttó piaci értékét kell itt jelenteni (a szerződésenként a tárgyidőszak utolsó napjára vonatkozóan elvégzett kiértékelés eredményétől függően kell az adatokat a követelés, vagy a tartozás táblába besorolni) </w:t>
      </w:r>
    </w:p>
    <w:p w:rsidR="004366CA" w:rsidRPr="00913BBC" w:rsidRDefault="004366CA">
      <w:pPr>
        <w:pStyle w:val="Heading3"/>
        <w:rPr>
          <w:rFonts w:ascii="Calibri" w:hAnsi="Calibri"/>
          <w:color w:val="000000"/>
          <w:sz w:val="22"/>
          <w:szCs w:val="22"/>
        </w:rPr>
      </w:pPr>
      <w:bookmarkStart w:id="30" w:name="_Toc120612687"/>
      <w:bookmarkStart w:id="31" w:name="_Toc122850666"/>
      <w:bookmarkStart w:id="32" w:name="_Toc125788685"/>
      <w:r w:rsidRPr="00913BBC">
        <w:rPr>
          <w:rFonts w:ascii="Calibri" w:hAnsi="Calibri"/>
          <w:color w:val="000000"/>
          <w:sz w:val="22"/>
          <w:szCs w:val="22"/>
        </w:rPr>
        <w:t>2.   Az egyes instrumentumokkal kapcsolatos sajátosságok</w:t>
      </w:r>
      <w:bookmarkEnd w:id="30"/>
      <w:bookmarkEnd w:id="31"/>
      <w:bookmarkEnd w:id="32"/>
      <w:r w:rsidRPr="00913BBC">
        <w:rPr>
          <w:rFonts w:ascii="Calibri" w:hAnsi="Calibri"/>
          <w:color w:val="000000"/>
          <w:sz w:val="22"/>
          <w:szCs w:val="22"/>
        </w:rPr>
        <w:t xml:space="preserve">  </w:t>
      </w:r>
    </w:p>
    <w:p w:rsidR="004366CA" w:rsidRPr="00913BBC" w:rsidRDefault="004366CA">
      <w:pPr>
        <w:pStyle w:val="BodyText"/>
        <w:rPr>
          <w:rFonts w:ascii="Calibri" w:hAnsi="Calibri"/>
          <w:b/>
          <w:bCs/>
          <w:sz w:val="22"/>
          <w:szCs w:val="22"/>
          <w:u w:val="single"/>
        </w:rPr>
      </w:pPr>
      <w:bookmarkStart w:id="33" w:name="_Toc120612688"/>
      <w:bookmarkStart w:id="34" w:name="_Toc122850667"/>
    </w:p>
    <w:p w:rsidR="0015566C" w:rsidRPr="00913BBC" w:rsidRDefault="0015566C" w:rsidP="0015566C">
      <w:pPr>
        <w:pStyle w:val="BodyText"/>
        <w:rPr>
          <w:rFonts w:ascii="Calibri" w:hAnsi="Calibri"/>
          <w:b/>
          <w:bCs/>
          <w:sz w:val="22"/>
          <w:szCs w:val="22"/>
        </w:rPr>
      </w:pPr>
      <w:r w:rsidRPr="00913BBC">
        <w:rPr>
          <w:rFonts w:ascii="Calibri" w:hAnsi="Calibri"/>
          <w:b/>
          <w:bCs/>
          <w:sz w:val="22"/>
          <w:szCs w:val="22"/>
        </w:rPr>
        <w:t>Határidős ügyletek – azonnali ügyletek:</w:t>
      </w:r>
    </w:p>
    <w:p w:rsidR="0015566C" w:rsidRPr="00913BBC" w:rsidRDefault="0015566C" w:rsidP="0015566C">
      <w:pPr>
        <w:pStyle w:val="BodyText"/>
        <w:rPr>
          <w:rFonts w:ascii="Calibri" w:hAnsi="Calibri"/>
          <w:b/>
          <w:bCs/>
          <w:sz w:val="22"/>
          <w:szCs w:val="22"/>
          <w:u w:val="single"/>
        </w:rPr>
      </w:pPr>
    </w:p>
    <w:p w:rsidR="0015566C" w:rsidRPr="00913BBC" w:rsidRDefault="0015566C" w:rsidP="0015566C">
      <w:pPr>
        <w:pStyle w:val="BodyText"/>
        <w:rPr>
          <w:rFonts w:ascii="Calibri" w:hAnsi="Calibri"/>
          <w:bCs/>
          <w:sz w:val="22"/>
          <w:szCs w:val="22"/>
        </w:rPr>
      </w:pPr>
      <w:r w:rsidRPr="00913BBC">
        <w:rPr>
          <w:rFonts w:ascii="Calibri" w:hAnsi="Calibri"/>
          <w:bCs/>
          <w:sz w:val="22"/>
          <w:szCs w:val="22"/>
        </w:rPr>
        <w:t xml:space="preserve">Határidős ügyletek, amelyeknek a pénzügyi derivatív megállapodásban rögzített teljesítési időpontja meghaladja az azonnali ügyletekét, tehát a magyar számviteli előírások szerint a tőzsdén kívüli ügyletekre definiált 8, devizaügyletekre vonatkozóan 2 értéknapot, illetve a tőzsdei ügyletek esetében azon időpontot, amelyekre azonnali ügyletek jegyezhetők.   </w:t>
      </w:r>
    </w:p>
    <w:p w:rsidR="0015566C" w:rsidRPr="00913BBC" w:rsidRDefault="0015566C" w:rsidP="0015566C">
      <w:pPr>
        <w:pStyle w:val="BlockText"/>
        <w:ind w:left="0" w:right="116"/>
        <w:rPr>
          <w:rFonts w:ascii="Calibri" w:hAnsi="Calibri"/>
          <w:sz w:val="22"/>
          <w:szCs w:val="22"/>
        </w:rPr>
      </w:pPr>
    </w:p>
    <w:p w:rsidR="0015566C" w:rsidRPr="00913BBC" w:rsidRDefault="0015566C" w:rsidP="0015566C">
      <w:pPr>
        <w:pStyle w:val="BlockText"/>
        <w:ind w:left="0" w:right="116"/>
        <w:rPr>
          <w:rFonts w:ascii="Calibri" w:hAnsi="Calibri"/>
          <w:sz w:val="22"/>
          <w:szCs w:val="22"/>
        </w:rPr>
      </w:pPr>
      <w:r w:rsidRPr="00913BBC">
        <w:rPr>
          <w:rFonts w:ascii="Calibri" w:hAnsi="Calibri"/>
          <w:sz w:val="22"/>
          <w:szCs w:val="22"/>
        </w:rPr>
        <w:t xml:space="preserve">Az ügyletkötés költségei szintén eligazítást adnak, mivel azonnali ügyletről akkor lehet beszélni, ha az ügylet az üzletkötést követő legkorábbi időpontban teljesítésbe megy, azaz adott értéknapra az üzletkötés napjánál későbbi időpontban már nem – vagy csak plusz költségek ellenében – lehet üzletet kötni. A legkorábbi teljesítés értéknapja ügylettípusonként más és más, továbbá az értéknapot a hétvégék és bankszünnapok is befolyásolják. </w:t>
      </w:r>
    </w:p>
    <w:p w:rsidR="0015566C" w:rsidRPr="00913BBC" w:rsidRDefault="0015566C" w:rsidP="0015566C">
      <w:pPr>
        <w:pStyle w:val="BlockText"/>
        <w:ind w:left="0" w:right="116"/>
        <w:rPr>
          <w:rFonts w:ascii="Calibri" w:hAnsi="Calibri"/>
          <w:sz w:val="22"/>
          <w:szCs w:val="22"/>
        </w:rPr>
      </w:pPr>
    </w:p>
    <w:p w:rsidR="0015566C" w:rsidRPr="00913BBC" w:rsidRDefault="0015566C" w:rsidP="0015566C">
      <w:pPr>
        <w:pStyle w:val="BodyText"/>
        <w:rPr>
          <w:rFonts w:ascii="Calibri" w:hAnsi="Calibri"/>
          <w:sz w:val="22"/>
          <w:szCs w:val="22"/>
        </w:rPr>
      </w:pPr>
      <w:r w:rsidRPr="00913BBC">
        <w:rPr>
          <w:rFonts w:ascii="Calibri" w:hAnsi="Calibri"/>
          <w:sz w:val="22"/>
          <w:szCs w:val="22"/>
        </w:rPr>
        <w:t xml:space="preserve">A táblák kitöltésénél figyelemmel kell lenni arra, hogy azokban azonnali ügyletek nem szerepeltethetők, viszont a pénzügyi </w:t>
      </w:r>
      <w:proofErr w:type="spellStart"/>
      <w:r w:rsidRPr="00913BBC">
        <w:rPr>
          <w:rFonts w:ascii="Calibri" w:hAnsi="Calibri"/>
          <w:sz w:val="22"/>
          <w:szCs w:val="22"/>
        </w:rPr>
        <w:t>derivatívákat</w:t>
      </w:r>
      <w:proofErr w:type="spellEnd"/>
      <w:r w:rsidRPr="00913BBC">
        <w:rPr>
          <w:rFonts w:ascii="Calibri" w:hAnsi="Calibri"/>
          <w:sz w:val="22"/>
          <w:szCs w:val="22"/>
        </w:rPr>
        <w:t xml:space="preserve"> jelenteni kell: pl. egy azonnali értékpapír vétel, amelynek teljesítési napja lehet az üzletkötést követő 5. munkanap, nem szerepeltethető a táblákban, viszont az ezen ügylethez kapcsolódó, ugyancsak 5. teljesítési napra, mint értéknapra nem rezidens partnerrel kötött devizakonverzió már határidős üzletkötés, így azt az adatszolgáltatónak a DER táblákban jelentenie kell.  </w:t>
      </w:r>
    </w:p>
    <w:p w:rsidR="00DC03B2" w:rsidRPr="00913BBC" w:rsidRDefault="00DC03B2">
      <w:pPr>
        <w:pStyle w:val="BodyText"/>
        <w:rPr>
          <w:rFonts w:ascii="Calibri" w:hAnsi="Calibri"/>
          <w:b/>
          <w:bCs/>
          <w:sz w:val="22"/>
          <w:szCs w:val="22"/>
          <w:u w:val="single"/>
        </w:rPr>
      </w:pPr>
    </w:p>
    <w:p w:rsidR="0015566C" w:rsidRPr="00913BBC" w:rsidRDefault="0015566C">
      <w:pPr>
        <w:pStyle w:val="BodyText"/>
        <w:rPr>
          <w:rFonts w:ascii="Calibri" w:hAnsi="Calibri"/>
          <w:b/>
          <w:bCs/>
          <w:sz w:val="22"/>
          <w:szCs w:val="22"/>
          <w:u w:val="single"/>
        </w:rPr>
      </w:pPr>
      <w:r w:rsidRPr="00913BBC">
        <w:rPr>
          <w:rFonts w:ascii="Calibri" w:hAnsi="Calibri"/>
          <w:b/>
          <w:bCs/>
          <w:sz w:val="22"/>
          <w:szCs w:val="22"/>
          <w:u w:val="single"/>
        </w:rPr>
        <w:t>A DER táblákban szerepeltetendő instrumentumok:</w:t>
      </w:r>
    </w:p>
    <w:p w:rsidR="0015566C" w:rsidRPr="00913BBC" w:rsidRDefault="0015566C">
      <w:pPr>
        <w:pStyle w:val="BodyText"/>
        <w:rPr>
          <w:rFonts w:ascii="Calibri" w:hAnsi="Calibri"/>
          <w:b/>
          <w:bCs/>
          <w:sz w:val="22"/>
          <w:szCs w:val="22"/>
          <w:u w:val="single"/>
        </w:rPr>
      </w:pPr>
    </w:p>
    <w:p w:rsidR="004366CA" w:rsidRPr="00913BBC" w:rsidRDefault="004366CA">
      <w:pPr>
        <w:pStyle w:val="BodyText"/>
        <w:rPr>
          <w:rFonts w:ascii="Calibri" w:hAnsi="Calibri"/>
          <w:bCs/>
          <w:sz w:val="22"/>
          <w:szCs w:val="22"/>
        </w:rPr>
      </w:pPr>
      <w:r w:rsidRPr="00913BBC">
        <w:rPr>
          <w:rFonts w:ascii="Calibri" w:hAnsi="Calibri"/>
          <w:bCs/>
          <w:sz w:val="22"/>
          <w:szCs w:val="22"/>
        </w:rPr>
        <w:t xml:space="preserve">a.) Külföldi tőzsdén kötött </w:t>
      </w:r>
      <w:proofErr w:type="spellStart"/>
      <w:r w:rsidRPr="00913BBC">
        <w:rPr>
          <w:rFonts w:ascii="Calibri" w:hAnsi="Calibri"/>
          <w:bCs/>
          <w:sz w:val="22"/>
          <w:szCs w:val="22"/>
        </w:rPr>
        <w:t>futures</w:t>
      </w:r>
      <w:proofErr w:type="spellEnd"/>
      <w:r w:rsidRPr="00913BBC">
        <w:rPr>
          <w:rFonts w:ascii="Calibri" w:hAnsi="Calibri"/>
          <w:bCs/>
          <w:sz w:val="22"/>
          <w:szCs w:val="22"/>
        </w:rPr>
        <w:t xml:space="preserve"> ügyletek</w:t>
      </w:r>
      <w:bookmarkEnd w:id="33"/>
      <w:bookmarkEnd w:id="34"/>
      <w:r w:rsidRPr="00913BBC">
        <w:rPr>
          <w:rFonts w:ascii="Calibri" w:hAnsi="Calibri"/>
          <w:bCs/>
          <w:sz w:val="22"/>
          <w:szCs w:val="22"/>
        </w:rPr>
        <w:t xml:space="preserve">  </w:t>
      </w:r>
    </w:p>
    <w:p w:rsidR="00DC03B2" w:rsidRPr="00913BBC" w:rsidRDefault="009E01D4">
      <w:pPr>
        <w:pStyle w:val="BodyText"/>
        <w:rPr>
          <w:rFonts w:ascii="Calibri" w:hAnsi="Calibri"/>
          <w:bCs/>
          <w:sz w:val="22"/>
          <w:szCs w:val="22"/>
        </w:rPr>
      </w:pPr>
      <w:r w:rsidRPr="00913BBC">
        <w:rPr>
          <w:rFonts w:ascii="Calibri" w:hAnsi="Calibri"/>
          <w:bCs/>
          <w:sz w:val="22"/>
          <w:szCs w:val="22"/>
        </w:rPr>
        <w:t xml:space="preserve">Ezen instrumentumkód (FT) alatt jelentendők a külföldi tőzsdén az adatszolgáltató által (vagy az ő nevében más által) kötött </w:t>
      </w:r>
      <w:r w:rsidR="0037732D" w:rsidRPr="00913BBC">
        <w:rPr>
          <w:rFonts w:ascii="Calibri" w:hAnsi="Calibri"/>
          <w:bCs/>
          <w:sz w:val="22"/>
          <w:szCs w:val="22"/>
        </w:rPr>
        <w:t xml:space="preserve">szabványosított </w:t>
      </w:r>
      <w:r w:rsidRPr="00913BBC">
        <w:rPr>
          <w:rFonts w:ascii="Calibri" w:hAnsi="Calibri"/>
          <w:bCs/>
          <w:sz w:val="22"/>
          <w:szCs w:val="22"/>
        </w:rPr>
        <w:t>ügyletek, akár napi rendezéses (</w:t>
      </w:r>
      <w:proofErr w:type="spellStart"/>
      <w:r w:rsidRPr="00913BBC">
        <w:rPr>
          <w:rFonts w:ascii="Calibri" w:hAnsi="Calibri"/>
          <w:bCs/>
          <w:sz w:val="22"/>
          <w:szCs w:val="22"/>
        </w:rPr>
        <w:t>future</w:t>
      </w:r>
      <w:proofErr w:type="spellEnd"/>
      <w:r w:rsidRPr="00913BBC">
        <w:rPr>
          <w:rFonts w:ascii="Calibri" w:hAnsi="Calibri"/>
          <w:bCs/>
          <w:sz w:val="22"/>
          <w:szCs w:val="22"/>
        </w:rPr>
        <w:t xml:space="preserve"> </w:t>
      </w:r>
      <w:proofErr w:type="spellStart"/>
      <w:r w:rsidRPr="00913BBC">
        <w:rPr>
          <w:rFonts w:ascii="Calibri" w:hAnsi="Calibri"/>
          <w:bCs/>
          <w:sz w:val="22"/>
          <w:szCs w:val="22"/>
        </w:rPr>
        <w:t>style</w:t>
      </w:r>
      <w:proofErr w:type="spellEnd"/>
      <w:r w:rsidRPr="00913BBC">
        <w:rPr>
          <w:rFonts w:ascii="Calibri" w:hAnsi="Calibri"/>
          <w:bCs/>
          <w:sz w:val="22"/>
          <w:szCs w:val="22"/>
        </w:rPr>
        <w:t xml:space="preserve"> margining), akár a lejáratkor rendezendő ügyletekről van szó. </w:t>
      </w:r>
    </w:p>
    <w:p w:rsidR="004366CA" w:rsidRPr="00913BBC" w:rsidRDefault="00B77A47">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 tőzsdei határidős ügyletek (olyan szabványosított megállapodások, kontraktusok, amelyeket a tőzsdén adni, venni lehet, amelyek szerint bizonyos devizaösszegeket jövőbeli időpontban, meghatározott árfolyamon más devizára lehet átváltani) árát a tőzsdén jegyzik, és ez az ár a kereslet-kínálat, illetve a kamatok, árfolyamok változásának függvényében állandóan változik. A tőzsdei elszámolóház a tőzsdén fellépő cégek (akik lehetnek közvetítő brókerek és hitelintézetek) részére ún. margin számlákat vezet, amely számlákon fedezetet kell biztosítani a megvásárolt kontraktusok árváltozásából eredő esetleges veszteségek fedezésére, a megvásárolt pozíciók %-ában kifejezett minimum összegben. A felek egymást nem ismerik, formailag partnerük maga a tőzsde, a tőzsdével kötik az ügyletet, és vele szemben követelnek, ha éppen nyereséges az aznapi árfolyamok szerint az ügylet, vagy tartoznak a tőzsde felé, ha az ügylet aznap éppen veszteséges. A kontraktus értékváltozásából adódó napi (ténylegesen a nap végi) nyereség, illetve veszteség összegét (a </w:t>
      </w:r>
      <w:r w:rsidRPr="00913BBC">
        <w:rPr>
          <w:rFonts w:ascii="Calibri" w:hAnsi="Calibri"/>
          <w:snapToGrid w:val="0"/>
          <w:sz w:val="22"/>
          <w:szCs w:val="22"/>
          <w:lang w:eastAsia="en-US"/>
        </w:rPr>
        <w:lastRenderedPageBreak/>
        <w:t xml:space="preserve">tőzsdei záró árak alapján) az elszámolóház kiszámítja, és naponta kifizeti az ügyfélnek, vagy beszedi az ügyféltől, e margin számlák segítségével. (Ez az ún. </w:t>
      </w:r>
      <w:proofErr w:type="spellStart"/>
      <w:r w:rsidRPr="00913BBC">
        <w:rPr>
          <w:rFonts w:ascii="Calibri" w:hAnsi="Calibri"/>
          <w:snapToGrid w:val="0"/>
          <w:sz w:val="22"/>
          <w:szCs w:val="22"/>
          <w:lang w:eastAsia="en-US"/>
        </w:rPr>
        <w:t>future</w:t>
      </w:r>
      <w:proofErr w:type="spellEnd"/>
      <w:r w:rsidRPr="00913BBC">
        <w:rPr>
          <w:rFonts w:ascii="Calibri" w:hAnsi="Calibri"/>
          <w:snapToGrid w:val="0"/>
          <w:sz w:val="22"/>
          <w:szCs w:val="22"/>
          <w:lang w:eastAsia="en-US"/>
        </w:rPr>
        <w:t xml:space="preserve"> </w:t>
      </w:r>
      <w:proofErr w:type="spellStart"/>
      <w:r w:rsidRPr="00913BBC">
        <w:rPr>
          <w:rFonts w:ascii="Calibri" w:hAnsi="Calibri"/>
          <w:snapToGrid w:val="0"/>
          <w:sz w:val="22"/>
          <w:szCs w:val="22"/>
          <w:lang w:eastAsia="en-US"/>
        </w:rPr>
        <w:t>style</w:t>
      </w:r>
      <w:proofErr w:type="spellEnd"/>
      <w:r w:rsidRPr="00913BBC">
        <w:rPr>
          <w:rFonts w:ascii="Calibri" w:hAnsi="Calibri"/>
          <w:snapToGrid w:val="0"/>
          <w:sz w:val="22"/>
          <w:szCs w:val="22"/>
          <w:lang w:eastAsia="en-US"/>
        </w:rPr>
        <w:t xml:space="preserve"> margining.)</w:t>
      </w:r>
    </w:p>
    <w:p w:rsidR="00B77A47" w:rsidRPr="00913BBC" w:rsidRDefault="00B77A47">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Időszak eleji nyitó és időszak végi záró pozíció:</w:t>
      </w:r>
    </w:p>
    <w:p w:rsidR="00DC03B2" w:rsidRPr="00913BBC" w:rsidRDefault="00DC03B2">
      <w:pPr>
        <w:ind w:left="708"/>
        <w:jc w:val="both"/>
        <w:rPr>
          <w:rFonts w:ascii="Calibri" w:hAnsi="Calibri"/>
          <w:snapToGrid w:val="0"/>
          <w:sz w:val="22"/>
          <w:szCs w:val="22"/>
          <w:lang w:eastAsia="en-US"/>
        </w:rPr>
      </w:pPr>
    </w:p>
    <w:p w:rsidR="004366CA" w:rsidRPr="00913BBC" w:rsidRDefault="004366CA">
      <w:pPr>
        <w:ind w:left="708"/>
        <w:jc w:val="both"/>
        <w:rPr>
          <w:rFonts w:ascii="Calibri" w:hAnsi="Calibri"/>
          <w:snapToGrid w:val="0"/>
          <w:sz w:val="22"/>
          <w:szCs w:val="22"/>
          <w:lang w:eastAsia="en-US"/>
        </w:rPr>
      </w:pPr>
      <w:r w:rsidRPr="00913BBC">
        <w:rPr>
          <w:rFonts w:ascii="Calibri" w:hAnsi="Calibri"/>
          <w:snapToGrid w:val="0"/>
          <w:sz w:val="22"/>
          <w:szCs w:val="22"/>
          <w:lang w:eastAsia="en-US"/>
        </w:rPr>
        <w:t xml:space="preserve">A tőzsdei határidős ügyletek </w:t>
      </w:r>
      <w:r w:rsidR="009E01D4" w:rsidRPr="00913BBC">
        <w:rPr>
          <w:rFonts w:ascii="Calibri" w:hAnsi="Calibri"/>
          <w:snapToGrid w:val="0"/>
          <w:sz w:val="22"/>
          <w:szCs w:val="22"/>
          <w:lang w:eastAsia="en-US"/>
        </w:rPr>
        <w:t xml:space="preserve">jelentős része </w:t>
      </w:r>
      <w:r w:rsidRPr="00913BBC">
        <w:rPr>
          <w:rFonts w:ascii="Calibri" w:hAnsi="Calibri"/>
          <w:snapToGrid w:val="0"/>
          <w:sz w:val="22"/>
          <w:szCs w:val="22"/>
          <w:lang w:eastAsia="en-US"/>
        </w:rPr>
        <w:t>esetében a kontraktus értékváltozásából adódó követelés - tartozás a margin számlán naponta rendezendő (</w:t>
      </w:r>
      <w:proofErr w:type="spellStart"/>
      <w:r w:rsidRPr="00913BBC">
        <w:rPr>
          <w:rFonts w:ascii="Calibri" w:hAnsi="Calibri"/>
          <w:snapToGrid w:val="0"/>
          <w:sz w:val="22"/>
          <w:szCs w:val="22"/>
          <w:lang w:eastAsia="en-US"/>
        </w:rPr>
        <w:t>future</w:t>
      </w:r>
      <w:proofErr w:type="spellEnd"/>
      <w:r w:rsidRPr="00913BBC">
        <w:rPr>
          <w:rFonts w:ascii="Calibri" w:hAnsi="Calibri"/>
          <w:snapToGrid w:val="0"/>
          <w:sz w:val="22"/>
          <w:szCs w:val="22"/>
          <w:lang w:eastAsia="en-US"/>
        </w:rPr>
        <w:t xml:space="preserve"> </w:t>
      </w:r>
      <w:proofErr w:type="spellStart"/>
      <w:r w:rsidRPr="00913BBC">
        <w:rPr>
          <w:rFonts w:ascii="Calibri" w:hAnsi="Calibri"/>
          <w:snapToGrid w:val="0"/>
          <w:sz w:val="22"/>
          <w:szCs w:val="22"/>
          <w:lang w:eastAsia="en-US"/>
        </w:rPr>
        <w:t>style</w:t>
      </w:r>
      <w:proofErr w:type="spellEnd"/>
      <w:r w:rsidRPr="00913BBC">
        <w:rPr>
          <w:rFonts w:ascii="Calibri" w:hAnsi="Calibri"/>
          <w:snapToGrid w:val="0"/>
          <w:sz w:val="22"/>
          <w:szCs w:val="22"/>
          <w:lang w:eastAsia="en-US"/>
        </w:rPr>
        <w:t xml:space="preserve"> margining), s így a kontraktus értéke minden nap végén nullával zár. Pozíciós adatot </w:t>
      </w:r>
      <w:r w:rsidR="009E01D4" w:rsidRPr="00913BBC">
        <w:rPr>
          <w:rFonts w:ascii="Calibri" w:hAnsi="Calibri"/>
          <w:snapToGrid w:val="0"/>
          <w:sz w:val="22"/>
          <w:szCs w:val="22"/>
          <w:lang w:eastAsia="en-US"/>
        </w:rPr>
        <w:t xml:space="preserve">ezért </w:t>
      </w:r>
      <w:r w:rsidRPr="00913BBC">
        <w:rPr>
          <w:rFonts w:ascii="Calibri" w:hAnsi="Calibri"/>
          <w:snapToGrid w:val="0"/>
          <w:sz w:val="22"/>
          <w:szCs w:val="22"/>
          <w:lang w:eastAsia="en-US"/>
        </w:rPr>
        <w:t xml:space="preserve">ezen ügyletek esetében nem kell jelenteni. Amennyiben a konstrukció keretében a napi elszámolásra és rendezésre nem kerül sor, a kontraktus állományi (és tranzakciós) adatait a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ügyleteknél leírtak szerint kell jelenteni. </w:t>
      </w:r>
    </w:p>
    <w:p w:rsidR="004366CA" w:rsidRPr="00913BBC" w:rsidRDefault="004366CA">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Tranzakciók:</w:t>
      </w:r>
    </w:p>
    <w:p w:rsidR="00B77A47" w:rsidRPr="00913BBC" w:rsidRDefault="004366CA" w:rsidP="00B77A47">
      <w:pPr>
        <w:ind w:left="720"/>
        <w:jc w:val="both"/>
        <w:rPr>
          <w:rFonts w:ascii="Calibri" w:hAnsi="Calibri"/>
          <w:snapToGrid w:val="0"/>
          <w:sz w:val="22"/>
          <w:szCs w:val="22"/>
          <w:lang w:eastAsia="en-US"/>
        </w:rPr>
      </w:pPr>
      <w:r w:rsidRPr="00913BBC">
        <w:rPr>
          <w:rFonts w:ascii="Calibri" w:hAnsi="Calibri"/>
          <w:snapToGrid w:val="0"/>
          <w:sz w:val="22"/>
          <w:szCs w:val="22"/>
          <w:lang w:eastAsia="en-US"/>
        </w:rPr>
        <w:t>A</w:t>
      </w:r>
      <w:r w:rsidR="00AD12FC" w:rsidRPr="00913BBC">
        <w:rPr>
          <w:rFonts w:ascii="Calibri" w:hAnsi="Calibri"/>
          <w:snapToGrid w:val="0"/>
          <w:sz w:val="22"/>
          <w:szCs w:val="22"/>
          <w:lang w:eastAsia="en-US"/>
        </w:rPr>
        <w:t xml:space="preserve"> napi elszámolásos </w:t>
      </w:r>
      <w:proofErr w:type="spellStart"/>
      <w:r w:rsidR="00AD12FC" w:rsidRPr="00913BBC">
        <w:rPr>
          <w:rFonts w:ascii="Calibri" w:hAnsi="Calibri"/>
          <w:snapToGrid w:val="0"/>
          <w:sz w:val="22"/>
          <w:szCs w:val="22"/>
          <w:lang w:eastAsia="en-US"/>
        </w:rPr>
        <w:t>futures</w:t>
      </w:r>
      <w:proofErr w:type="spellEnd"/>
      <w:r w:rsidR="00AD12FC" w:rsidRPr="00913BBC">
        <w:rPr>
          <w:rFonts w:ascii="Calibri" w:hAnsi="Calibri"/>
          <w:snapToGrid w:val="0"/>
          <w:sz w:val="22"/>
          <w:szCs w:val="22"/>
          <w:lang w:eastAsia="en-US"/>
        </w:rPr>
        <w:t xml:space="preserve"> ügyletek esetében a</w:t>
      </w:r>
      <w:r w:rsidRPr="00913BBC">
        <w:rPr>
          <w:rFonts w:ascii="Calibri" w:hAnsi="Calibri"/>
          <w:snapToGrid w:val="0"/>
          <w:sz w:val="22"/>
          <w:szCs w:val="22"/>
          <w:lang w:eastAsia="en-US"/>
        </w:rPr>
        <w:t xml:space="preserve">z elszámolóháznál vezetett margin számlán terhelt vagy jóváírt változó margin összegek jelentik a tranzakciókat. Ezek forint ellenértékét a tőzsde székhelye szerinti országonként összesítve kell jelenteni a fizetés iránya alapján meghatározott táblában: a tartozások között az adatszolgáltató által a tárgyidőszak folyamán fizetett, illetve a követelések táblában az adatszolgáltató által bevételezett összegeket.  </w:t>
      </w:r>
    </w:p>
    <w:p w:rsidR="00B77A47" w:rsidRPr="00913BBC" w:rsidRDefault="00B77A47" w:rsidP="00B77A47">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 elszámolóház számításai szerinti tartozások összegét kellett adott napokon kifizetni, így a kifizetések összegét kell összeadni, majd forintra átszámítva a FT kódú, a tőzsde országa szerinti sorban a „T” táblában tranzakcióként a kiadás oszlopban feltüntetni. Ezzel szemben a fentiek szerint bevételezett összegeket, amelyek a követeléseket jelentették adott napon az elszámolóház számításai szerint, összegezve a FT kódú, a tőzsde országa szerinti sorban kell a „K” jelű tábla tranzakcióiként a bevétel oszlopban feltüntetni.  </w:t>
      </w:r>
    </w:p>
    <w:p w:rsidR="004366CA" w:rsidRPr="00913BBC" w:rsidRDefault="004366CA">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Azon adatszolgáltatók, amelyek megbízotton keresztül kötik tőzsdei ügyleteiket, s így a tőzsdei elszámolóháznál margin számlával nem ők, hanem </w:t>
      </w:r>
      <w:proofErr w:type="spellStart"/>
      <w:r w:rsidRPr="00913BBC">
        <w:rPr>
          <w:rFonts w:ascii="Calibri" w:hAnsi="Calibri"/>
          <w:snapToGrid w:val="0"/>
          <w:sz w:val="22"/>
          <w:szCs w:val="22"/>
          <w:lang w:eastAsia="en-US"/>
        </w:rPr>
        <w:t>megbízottuk</w:t>
      </w:r>
      <w:proofErr w:type="spellEnd"/>
      <w:r w:rsidRPr="00913BBC">
        <w:rPr>
          <w:rFonts w:ascii="Calibri" w:hAnsi="Calibri"/>
          <w:snapToGrid w:val="0"/>
          <w:sz w:val="22"/>
          <w:szCs w:val="22"/>
          <w:lang w:eastAsia="en-US"/>
        </w:rPr>
        <w:t xml:space="preserve"> rendelkezik, nem a számlakivonatok, hanem az ügyletek napi értékváltozását mutató elszámolások alapján állapíthatják meg </w:t>
      </w:r>
      <w:proofErr w:type="spellStart"/>
      <w:r w:rsidRPr="00913BBC">
        <w:rPr>
          <w:rFonts w:ascii="Calibri" w:hAnsi="Calibri"/>
          <w:snapToGrid w:val="0"/>
          <w:sz w:val="22"/>
          <w:szCs w:val="22"/>
          <w:lang w:eastAsia="en-US"/>
        </w:rPr>
        <w:t>futures</w:t>
      </w:r>
      <w:proofErr w:type="spellEnd"/>
      <w:r w:rsidRPr="00913BBC">
        <w:rPr>
          <w:rFonts w:ascii="Calibri" w:hAnsi="Calibri"/>
          <w:snapToGrid w:val="0"/>
          <w:sz w:val="22"/>
          <w:szCs w:val="22"/>
          <w:lang w:eastAsia="en-US"/>
        </w:rPr>
        <w:t xml:space="preserve"> ügyleteik tranzakcióit.  </w:t>
      </w:r>
    </w:p>
    <w:p w:rsidR="004366CA" w:rsidRPr="00913BBC" w:rsidRDefault="004366CA">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napToGrid w:val="0"/>
          <w:sz w:val="22"/>
          <w:szCs w:val="22"/>
          <w:lang w:eastAsia="en-US"/>
        </w:rPr>
      </w:pPr>
      <w:bookmarkStart w:id="35" w:name="_Toc120612689"/>
      <w:bookmarkStart w:id="36" w:name="_Toc122850668"/>
      <w:r w:rsidRPr="00913BBC">
        <w:rPr>
          <w:rFonts w:ascii="Calibri" w:hAnsi="Calibri"/>
          <w:snapToGrid w:val="0"/>
          <w:sz w:val="22"/>
          <w:szCs w:val="22"/>
          <w:lang w:eastAsia="en-US"/>
        </w:rPr>
        <w:t xml:space="preserve">A margin számlákon biztosítékként elhelyezett kezdeti összegeket, amelyeket (vagy amelyek maradványát) az ügyletek lezárása után visszakapja a befizető, nem a pénzügyi </w:t>
      </w:r>
      <w:proofErr w:type="spellStart"/>
      <w:r w:rsidRPr="00913BBC">
        <w:rPr>
          <w:rFonts w:ascii="Calibri" w:hAnsi="Calibri"/>
          <w:snapToGrid w:val="0"/>
          <w:sz w:val="22"/>
          <w:szCs w:val="22"/>
          <w:lang w:eastAsia="en-US"/>
        </w:rPr>
        <w:t>derivatíva</w:t>
      </w:r>
      <w:proofErr w:type="spellEnd"/>
      <w:r w:rsidRPr="00913BBC">
        <w:rPr>
          <w:rFonts w:ascii="Calibri" w:hAnsi="Calibri"/>
          <w:snapToGrid w:val="0"/>
          <w:sz w:val="22"/>
          <w:szCs w:val="22"/>
          <w:lang w:eastAsia="en-US"/>
        </w:rPr>
        <w:t xml:space="preserve"> táblákban, hanem az egyéb befektetések, vagy a közvetlen tőkebefektetések adatszolgáltatásban kell jelenteni</w:t>
      </w:r>
      <w:r w:rsidR="0037732D" w:rsidRPr="00913BBC">
        <w:rPr>
          <w:rFonts w:ascii="Calibri" w:hAnsi="Calibri"/>
          <w:snapToGrid w:val="0"/>
          <w:sz w:val="22"/>
          <w:szCs w:val="22"/>
          <w:lang w:eastAsia="en-US"/>
        </w:rPr>
        <w:t xml:space="preserve"> (aszerint, hogy ezen számlákat bankok, vagy elszámolóházak, vagy esetleg vállalatcsoportba tartozó </w:t>
      </w:r>
      <w:proofErr w:type="spellStart"/>
      <w:r w:rsidR="0037732D" w:rsidRPr="00913BBC">
        <w:rPr>
          <w:rFonts w:ascii="Calibri" w:hAnsi="Calibri"/>
          <w:snapToGrid w:val="0"/>
          <w:sz w:val="22"/>
          <w:szCs w:val="22"/>
          <w:lang w:eastAsia="en-US"/>
        </w:rPr>
        <w:t>Treasury</w:t>
      </w:r>
      <w:proofErr w:type="spellEnd"/>
      <w:r w:rsidR="0037732D" w:rsidRPr="00913BBC">
        <w:rPr>
          <w:rFonts w:ascii="Calibri" w:hAnsi="Calibri"/>
          <w:snapToGrid w:val="0"/>
          <w:sz w:val="22"/>
          <w:szCs w:val="22"/>
          <w:lang w:eastAsia="en-US"/>
        </w:rPr>
        <w:t xml:space="preserve"> központok vezetik az adatszolgáltató részére)</w:t>
      </w:r>
      <w:r w:rsidRPr="00913BBC">
        <w:rPr>
          <w:rFonts w:ascii="Calibri" w:hAnsi="Calibri"/>
          <w:snapToGrid w:val="0"/>
          <w:sz w:val="22"/>
          <w:szCs w:val="22"/>
          <w:lang w:eastAsia="en-US"/>
        </w:rPr>
        <w:t xml:space="preserve">. </w:t>
      </w:r>
    </w:p>
    <w:p w:rsidR="00B77A47" w:rsidRPr="00913BBC" w:rsidRDefault="00B77A47">
      <w:pPr>
        <w:ind w:left="720"/>
        <w:jc w:val="both"/>
        <w:rPr>
          <w:rFonts w:ascii="Calibri" w:hAnsi="Calibri"/>
          <w:snapToGrid w:val="0"/>
          <w:sz w:val="22"/>
          <w:szCs w:val="22"/>
          <w:lang w:eastAsia="en-US"/>
        </w:rPr>
      </w:pPr>
    </w:p>
    <w:p w:rsidR="00B77A47" w:rsidRPr="00913BBC" w:rsidRDefault="00B77A47">
      <w:pPr>
        <w:ind w:left="720"/>
        <w:jc w:val="both"/>
        <w:rPr>
          <w:rFonts w:ascii="Calibri" w:hAnsi="Calibri"/>
          <w:snapToGrid w:val="0"/>
          <w:sz w:val="22"/>
          <w:szCs w:val="22"/>
          <w:lang w:eastAsia="en-US"/>
        </w:rPr>
      </w:pPr>
    </w:p>
    <w:p w:rsidR="00B77A47" w:rsidRPr="00913BBC" w:rsidRDefault="00B77A47">
      <w:pPr>
        <w:ind w:left="720"/>
        <w:jc w:val="both"/>
        <w:rPr>
          <w:rFonts w:ascii="Calibri" w:hAnsi="Calibri"/>
          <w:snapToGrid w:val="0"/>
          <w:sz w:val="22"/>
          <w:szCs w:val="22"/>
          <w:lang w:eastAsia="en-US"/>
        </w:rPr>
      </w:pPr>
    </w:p>
    <w:p w:rsidR="00B77A47" w:rsidRPr="00913BBC" w:rsidRDefault="00B77A47">
      <w:pPr>
        <w:ind w:left="720"/>
        <w:jc w:val="both"/>
        <w:rPr>
          <w:rFonts w:ascii="Calibri" w:hAnsi="Calibri"/>
          <w:snapToGrid w:val="0"/>
          <w:sz w:val="22"/>
          <w:szCs w:val="22"/>
          <w:lang w:eastAsia="en-US"/>
        </w:rPr>
      </w:pPr>
    </w:p>
    <w:p w:rsidR="004366CA" w:rsidRPr="00913BBC" w:rsidRDefault="004366CA">
      <w:pPr>
        <w:pStyle w:val="BodyText"/>
        <w:rPr>
          <w:rFonts w:ascii="Calibri" w:hAnsi="Calibri"/>
          <w:bCs/>
          <w:sz w:val="22"/>
          <w:szCs w:val="22"/>
        </w:rPr>
      </w:pPr>
      <w:bookmarkStart w:id="37" w:name="_Toc120612690"/>
      <w:bookmarkStart w:id="38" w:name="_Toc122850669"/>
      <w:bookmarkEnd w:id="35"/>
      <w:bookmarkEnd w:id="36"/>
      <w:r w:rsidRPr="00913BBC">
        <w:rPr>
          <w:rFonts w:ascii="Calibri" w:hAnsi="Calibri"/>
          <w:bCs/>
          <w:sz w:val="22"/>
          <w:szCs w:val="22"/>
        </w:rPr>
        <w:t xml:space="preserve">b.) </w:t>
      </w:r>
      <w:proofErr w:type="spellStart"/>
      <w:r w:rsidRPr="00913BBC">
        <w:rPr>
          <w:rFonts w:ascii="Calibri" w:hAnsi="Calibri"/>
          <w:bCs/>
          <w:sz w:val="22"/>
          <w:szCs w:val="22"/>
        </w:rPr>
        <w:t>Forwardok</w:t>
      </w:r>
      <w:proofErr w:type="spellEnd"/>
      <w:r w:rsidRPr="00913BBC">
        <w:rPr>
          <w:rFonts w:ascii="Calibri" w:hAnsi="Calibri"/>
          <w:bCs/>
          <w:sz w:val="22"/>
          <w:szCs w:val="22"/>
        </w:rPr>
        <w:t>:</w:t>
      </w:r>
      <w:bookmarkEnd w:id="37"/>
      <w:bookmarkEnd w:id="38"/>
    </w:p>
    <w:p w:rsidR="004366CA" w:rsidRPr="00913BBC" w:rsidRDefault="004366CA">
      <w:pPr>
        <w:rPr>
          <w:rFonts w:ascii="Calibri" w:hAnsi="Calibri"/>
          <w:sz w:val="22"/>
          <w:szCs w:val="22"/>
        </w:rPr>
      </w:pPr>
    </w:p>
    <w:p w:rsidR="008852D7" w:rsidRPr="00913BBC" w:rsidRDefault="008852D7" w:rsidP="008852D7">
      <w:pPr>
        <w:autoSpaceDE w:val="0"/>
        <w:autoSpaceDN w:val="0"/>
        <w:adjustRightInd w:val="0"/>
        <w:ind w:left="720"/>
        <w:jc w:val="both"/>
        <w:rPr>
          <w:rFonts w:ascii="Calibri" w:hAnsi="Calibri"/>
          <w:snapToGrid w:val="0"/>
          <w:sz w:val="22"/>
          <w:szCs w:val="22"/>
          <w:lang w:eastAsia="en-US"/>
        </w:rPr>
      </w:pPr>
    </w:p>
    <w:p w:rsidR="008852D7" w:rsidRPr="00913BBC" w:rsidRDefault="008852D7" w:rsidP="008852D7">
      <w:pPr>
        <w:autoSpaceDE w:val="0"/>
        <w:autoSpaceDN w:val="0"/>
        <w:adjustRightInd w:val="0"/>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 ún. </w:t>
      </w:r>
      <w:proofErr w:type="spellStart"/>
      <w:r w:rsidRPr="00913BBC">
        <w:rPr>
          <w:rFonts w:ascii="Calibri" w:hAnsi="Calibri"/>
          <w:snapToGrid w:val="0"/>
          <w:sz w:val="22"/>
          <w:szCs w:val="22"/>
          <w:lang w:eastAsia="en-US"/>
        </w:rPr>
        <w:t>outright</w:t>
      </w:r>
      <w:proofErr w:type="spellEnd"/>
      <w:r w:rsidRPr="00913BBC">
        <w:rPr>
          <w:rFonts w:ascii="Calibri" w:hAnsi="Calibri"/>
          <w:snapToGrid w:val="0"/>
          <w:sz w:val="22"/>
          <w:szCs w:val="22"/>
          <w:lang w:eastAsia="en-US"/>
        </w:rPr>
        <w:t xml:space="preserve">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ügyletek olyan határidős deviza konverziós megállapodások, amelyeket az OTC piacon (vagyis nem szervezett piacon, nem tőzsdén) kötöttek, tehát szerződéses feltételeik nem </w:t>
      </w:r>
      <w:proofErr w:type="spellStart"/>
      <w:r w:rsidRPr="00913BBC">
        <w:rPr>
          <w:rFonts w:ascii="Calibri" w:hAnsi="Calibri"/>
          <w:snapToGrid w:val="0"/>
          <w:sz w:val="22"/>
          <w:szCs w:val="22"/>
          <w:lang w:eastAsia="en-US"/>
        </w:rPr>
        <w:t>sztandardizáltak</w:t>
      </w:r>
      <w:proofErr w:type="spellEnd"/>
      <w:r w:rsidRPr="00913BBC">
        <w:rPr>
          <w:rFonts w:ascii="Calibri" w:hAnsi="Calibri"/>
          <w:snapToGrid w:val="0"/>
          <w:sz w:val="22"/>
          <w:szCs w:val="22"/>
          <w:lang w:eastAsia="en-US"/>
        </w:rPr>
        <w:t xml:space="preserve"> (szabványosítottak), ezért a szerződő felek konkrét igényei szerint köthetők. A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ügyletek teljesítése akár a devizaösszegek leszállításával (vagyis a teljes devizaösszegek cseréjével), akár az értékkülönbözet elszámolásával is történhet.  </w:t>
      </w:r>
    </w:p>
    <w:p w:rsidR="008852D7" w:rsidRPr="00913BBC" w:rsidRDefault="008852D7" w:rsidP="008852D7">
      <w:pPr>
        <w:ind w:left="720"/>
        <w:jc w:val="both"/>
        <w:rPr>
          <w:rFonts w:ascii="Calibri" w:hAnsi="Calibri"/>
          <w:snapToGrid w:val="0"/>
          <w:sz w:val="22"/>
          <w:szCs w:val="22"/>
          <w:lang w:eastAsia="en-US"/>
        </w:rPr>
      </w:pPr>
    </w:p>
    <w:p w:rsidR="008852D7" w:rsidRPr="00913BBC" w:rsidRDefault="008852D7" w:rsidP="008852D7">
      <w:pPr>
        <w:ind w:left="720"/>
        <w:jc w:val="both"/>
        <w:rPr>
          <w:rFonts w:ascii="Calibri" w:hAnsi="Calibri"/>
          <w:b/>
          <w:snapToGrid w:val="0"/>
          <w:sz w:val="22"/>
          <w:szCs w:val="22"/>
          <w:lang w:eastAsia="en-US"/>
        </w:rPr>
      </w:pPr>
    </w:p>
    <w:p w:rsidR="008852D7" w:rsidRPr="00913BBC" w:rsidRDefault="008852D7" w:rsidP="008852D7">
      <w:pPr>
        <w:ind w:left="720"/>
        <w:jc w:val="both"/>
        <w:rPr>
          <w:rFonts w:ascii="Calibri" w:hAnsi="Calibri"/>
          <w:snapToGrid w:val="0"/>
          <w:sz w:val="22"/>
          <w:szCs w:val="22"/>
          <w:lang w:eastAsia="en-US"/>
        </w:rPr>
      </w:pPr>
      <w:r w:rsidRPr="00913BBC">
        <w:rPr>
          <w:rFonts w:ascii="Calibri" w:hAnsi="Calibri"/>
          <w:snapToGrid w:val="0"/>
          <w:sz w:val="22"/>
          <w:szCs w:val="22"/>
          <w:lang w:eastAsia="en-US"/>
        </w:rPr>
        <w:lastRenderedPageBreak/>
        <w:t>Követelések és tartozások, időszak eleji nyitó és időszak végi záró pozíció:</w:t>
      </w:r>
    </w:p>
    <w:p w:rsidR="008852D7" w:rsidRPr="00913BBC" w:rsidRDefault="008852D7" w:rsidP="008852D7">
      <w:pPr>
        <w:ind w:left="1440"/>
        <w:jc w:val="both"/>
        <w:rPr>
          <w:rFonts w:ascii="Calibri" w:hAnsi="Calibri"/>
          <w:snapToGrid w:val="0"/>
          <w:sz w:val="22"/>
          <w:szCs w:val="22"/>
          <w:lang w:eastAsia="en-US"/>
        </w:rPr>
      </w:pPr>
    </w:p>
    <w:p w:rsidR="008852D7" w:rsidRPr="00913BBC" w:rsidRDefault="008852D7" w:rsidP="008852D7">
      <w:pPr>
        <w:ind w:left="720"/>
        <w:jc w:val="both"/>
        <w:rPr>
          <w:rFonts w:ascii="Calibri" w:hAnsi="Calibri"/>
          <w:snapToGrid w:val="0"/>
          <w:sz w:val="22"/>
          <w:szCs w:val="22"/>
          <w:lang w:eastAsia="en-US"/>
        </w:rPr>
      </w:pPr>
      <w:r w:rsidRPr="00913BBC">
        <w:rPr>
          <w:rFonts w:ascii="Calibri" w:hAnsi="Calibri"/>
          <w:snapToGrid w:val="0"/>
          <w:sz w:val="22"/>
          <w:szCs w:val="22"/>
          <w:lang w:eastAsia="en-US"/>
        </w:rPr>
        <w:t>A határidős ügyletek kezdetén egyenlő piaci értékű kockázati kitettségeket cserélnek el, így kötésekor az ügylet piaci értéke nulla. Ezek után az ügylet piaci értéke az alapul szolgáló eszközök, jelen esetben a deviza piaci értéke (határidős devizaárfolyama) szerint változik. Így</w:t>
      </w:r>
      <w:r w:rsidRPr="00913BBC">
        <w:rPr>
          <w:rFonts w:ascii="Calibri" w:hAnsi="Calibri" w:cs="Arial"/>
          <w:sz w:val="22"/>
          <w:szCs w:val="22"/>
        </w:rPr>
        <w:t xml:space="preserve"> a nyitott ügyletek piaci (vagy helyettesítési) értéke pozitív, nulla és negatív értéket is felvehet, a mögöttes árak változásától függően</w:t>
      </w:r>
      <w:r w:rsidRPr="00913BBC">
        <w:rPr>
          <w:rFonts w:ascii="Calibri" w:hAnsi="Calibri"/>
          <w:snapToGrid w:val="0"/>
          <w:sz w:val="22"/>
          <w:szCs w:val="22"/>
          <w:lang w:eastAsia="en-US"/>
        </w:rPr>
        <w:t xml:space="preserve">. </w:t>
      </w:r>
    </w:p>
    <w:p w:rsidR="008852D7" w:rsidRPr="00913BBC" w:rsidRDefault="008852D7" w:rsidP="008852D7">
      <w:pPr>
        <w:ind w:left="3240"/>
        <w:jc w:val="both"/>
        <w:rPr>
          <w:rFonts w:ascii="Calibri" w:hAnsi="Calibri"/>
          <w:snapToGrid w:val="0"/>
          <w:sz w:val="22"/>
          <w:szCs w:val="22"/>
          <w:lang w:eastAsia="en-US"/>
        </w:rPr>
      </w:pPr>
    </w:p>
    <w:p w:rsidR="008852D7" w:rsidRPr="00913BBC" w:rsidRDefault="008852D7" w:rsidP="008852D7">
      <w:pPr>
        <w:ind w:left="720"/>
        <w:jc w:val="both"/>
        <w:rPr>
          <w:rFonts w:ascii="Calibri" w:hAnsi="Calibri"/>
          <w:snapToGrid w:val="0"/>
          <w:sz w:val="22"/>
          <w:szCs w:val="22"/>
          <w:lang w:eastAsia="en-US"/>
        </w:rPr>
      </w:pPr>
      <w:r w:rsidRPr="00913BBC">
        <w:rPr>
          <w:rFonts w:ascii="Calibri" w:hAnsi="Calibri"/>
          <w:snapToGrid w:val="0"/>
          <w:sz w:val="22"/>
          <w:szCs w:val="22"/>
          <w:lang w:eastAsia="en-US"/>
        </w:rPr>
        <w:t>A tőzsdén kívüli (nem szabványosított) határidős nyitott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ügyletek bruttó piaci értékét a mögöttes termék (jelen táblában a deviza, vagy valuta) jegyzett határidős árának figyelembe vételével kell meghatározni és országonként összesítve a kiértékelés eredményétől függően a követelés, vagy tartozás táblában jelenteni.</w:t>
      </w:r>
    </w:p>
    <w:p w:rsidR="008852D7" w:rsidRPr="00913BBC" w:rsidRDefault="008852D7" w:rsidP="008852D7">
      <w:pPr>
        <w:jc w:val="both"/>
        <w:rPr>
          <w:rFonts w:ascii="Calibri" w:hAnsi="Calibri"/>
          <w:b/>
          <w:snapToGrid w:val="0"/>
          <w:sz w:val="22"/>
          <w:szCs w:val="22"/>
          <w:lang w:eastAsia="en-US"/>
        </w:rPr>
      </w:pPr>
    </w:p>
    <w:p w:rsidR="008852D7" w:rsidRPr="00913BBC" w:rsidRDefault="008852D7" w:rsidP="008852D7">
      <w:pPr>
        <w:ind w:left="720"/>
        <w:jc w:val="both"/>
        <w:rPr>
          <w:rFonts w:ascii="Calibri" w:hAnsi="Calibri"/>
          <w:snapToGrid w:val="0"/>
          <w:sz w:val="22"/>
          <w:szCs w:val="22"/>
          <w:lang w:eastAsia="en-US"/>
        </w:rPr>
      </w:pPr>
      <w:r w:rsidRPr="00913BBC">
        <w:rPr>
          <w:rFonts w:ascii="Calibri" w:hAnsi="Calibri"/>
          <w:snapToGrid w:val="0"/>
          <w:sz w:val="22"/>
          <w:szCs w:val="22"/>
          <w:lang w:eastAsia="en-US"/>
        </w:rPr>
        <w:t>Tranzakciók:</w:t>
      </w:r>
    </w:p>
    <w:p w:rsidR="008852D7" w:rsidRPr="00913BBC" w:rsidRDefault="008852D7" w:rsidP="008852D7">
      <w:pPr>
        <w:ind w:left="3240"/>
        <w:jc w:val="both"/>
        <w:rPr>
          <w:rFonts w:ascii="Calibri" w:hAnsi="Calibri"/>
          <w:snapToGrid w:val="0"/>
          <w:sz w:val="22"/>
          <w:szCs w:val="22"/>
          <w:lang w:eastAsia="en-US"/>
        </w:rPr>
      </w:pPr>
    </w:p>
    <w:p w:rsidR="008852D7" w:rsidRPr="00913BBC" w:rsidRDefault="008852D7" w:rsidP="008852D7">
      <w:pPr>
        <w:ind w:left="720"/>
        <w:jc w:val="both"/>
        <w:rPr>
          <w:rFonts w:ascii="Calibri" w:hAnsi="Calibri"/>
          <w:snapToGrid w:val="0"/>
          <w:sz w:val="22"/>
          <w:szCs w:val="22"/>
          <w:lang w:eastAsia="en-US"/>
        </w:rPr>
      </w:pP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megállapodás esetén az ügylet lezárásakor a szerződő felek között teljesített bruttó, vagy (elszámolásos teljesítés, lezárás esetén) nettó fizetéseket kell itt országonként összesítve, forintra átszámítva jelenteni. Értékkülönbözet elszámolása alapján történő fizetés esetén a fizetés iránya mutatja, hogy az adatszolgáltatónak követelése, vagy tartozása keletkezett-e az ügyletből, és ennek alapján kell a tranzakciót a követelés, vagy tartozás táblába sorolni, míg bruttó teljesítéskor (az ügylet zárásakor) az ügylet eredménye szerinti táblában kell a tranzakció mindkét lábát (bevétel és kiadás) szerepeltetni (tehát ki kell számítani a bejövő és kimenő összeg különbözetét). </w:t>
      </w:r>
    </w:p>
    <w:p w:rsidR="008852D7" w:rsidRPr="00913BBC" w:rsidRDefault="008852D7" w:rsidP="008852D7">
      <w:pPr>
        <w:rPr>
          <w:rFonts w:ascii="Calibri" w:hAnsi="Calibri"/>
          <w:sz w:val="22"/>
          <w:szCs w:val="22"/>
        </w:rPr>
      </w:pPr>
    </w:p>
    <w:p w:rsidR="004366CA" w:rsidRPr="00913BBC" w:rsidRDefault="004366CA">
      <w:pPr>
        <w:pStyle w:val="BodyText"/>
        <w:rPr>
          <w:rFonts w:ascii="Calibri" w:hAnsi="Calibri"/>
          <w:b/>
          <w:bCs/>
          <w:sz w:val="22"/>
          <w:szCs w:val="22"/>
          <w:u w:val="single"/>
        </w:rPr>
      </w:pPr>
    </w:p>
    <w:p w:rsidR="004366CA" w:rsidRPr="00913BBC" w:rsidRDefault="004366CA">
      <w:pPr>
        <w:pStyle w:val="BodyText"/>
        <w:rPr>
          <w:rFonts w:ascii="Calibri" w:hAnsi="Calibri"/>
          <w:bCs/>
          <w:sz w:val="22"/>
          <w:szCs w:val="22"/>
        </w:rPr>
      </w:pPr>
      <w:r w:rsidRPr="00913BBC">
        <w:rPr>
          <w:rFonts w:ascii="Calibri" w:hAnsi="Calibri"/>
          <w:bCs/>
          <w:sz w:val="22"/>
          <w:szCs w:val="22"/>
        </w:rPr>
        <w:t>c.) Opciók:</w:t>
      </w:r>
    </w:p>
    <w:p w:rsidR="004366CA" w:rsidRPr="00913BBC" w:rsidRDefault="004366CA">
      <w:pPr>
        <w:jc w:val="both"/>
        <w:rPr>
          <w:rFonts w:ascii="Calibri" w:hAnsi="Calibri"/>
          <w:b/>
          <w:snapToGrid w:val="0"/>
          <w:sz w:val="22"/>
          <w:szCs w:val="22"/>
          <w:lang w:eastAsia="en-US"/>
        </w:rPr>
      </w:pP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Egy </w:t>
      </w:r>
      <w:r w:rsidRPr="00913BBC">
        <w:rPr>
          <w:rFonts w:ascii="Calibri" w:hAnsi="Calibri"/>
          <w:b/>
          <w:snapToGrid w:val="0"/>
          <w:sz w:val="22"/>
          <w:szCs w:val="22"/>
          <w:lang w:eastAsia="en-US"/>
        </w:rPr>
        <w:t>opció</w:t>
      </w:r>
      <w:r w:rsidRPr="00913BBC">
        <w:rPr>
          <w:rFonts w:ascii="Calibri" w:hAnsi="Calibri"/>
          <w:snapToGrid w:val="0"/>
          <w:sz w:val="22"/>
          <w:szCs w:val="22"/>
          <w:lang w:eastAsia="en-US"/>
        </w:rPr>
        <w:t xml:space="preserve"> megvásárlója prémiumot fizet az opció kiírójának (eladójának), amiért cserébe megkapja a kötelezettség nélküli jogot arra, hogy vegyen (</w:t>
      </w:r>
      <w:proofErr w:type="spellStart"/>
      <w:r w:rsidRPr="00913BBC">
        <w:rPr>
          <w:rFonts w:ascii="Calibri" w:hAnsi="Calibri"/>
          <w:snapToGrid w:val="0"/>
          <w:sz w:val="22"/>
          <w:szCs w:val="22"/>
          <w:lang w:eastAsia="en-US"/>
        </w:rPr>
        <w:t>call</w:t>
      </w:r>
      <w:proofErr w:type="spellEnd"/>
      <w:r w:rsidRPr="00913BBC">
        <w:rPr>
          <w:rFonts w:ascii="Calibri" w:hAnsi="Calibri"/>
          <w:snapToGrid w:val="0"/>
          <w:sz w:val="22"/>
          <w:szCs w:val="22"/>
          <w:lang w:eastAsia="en-US"/>
        </w:rPr>
        <w:t xml:space="preserve"> opció) vagy eladjon (</w:t>
      </w:r>
      <w:proofErr w:type="spellStart"/>
      <w:r w:rsidRPr="00913BBC">
        <w:rPr>
          <w:rFonts w:ascii="Calibri" w:hAnsi="Calibri"/>
          <w:snapToGrid w:val="0"/>
          <w:sz w:val="22"/>
          <w:szCs w:val="22"/>
          <w:lang w:eastAsia="en-US"/>
        </w:rPr>
        <w:t>put</w:t>
      </w:r>
      <w:proofErr w:type="spellEnd"/>
      <w:r w:rsidRPr="00913BBC">
        <w:rPr>
          <w:rFonts w:ascii="Calibri" w:hAnsi="Calibri"/>
          <w:snapToGrid w:val="0"/>
          <w:sz w:val="22"/>
          <w:szCs w:val="22"/>
          <w:lang w:eastAsia="en-US"/>
        </w:rPr>
        <w:t xml:space="preserve"> opció) egy meghatározott mögöttes terméket (reál, vagy pénzügyi) egy szerződésben meghatározott áron (kötési, vagy lehívási ár) egy meghatározott jövőbeli (tehát 2 értéknapon túli) időpontban, vagy időpontig. Az opció vásárlója tehát mindig követeléshez jut, az opció kiírója a kötelezett, mindig kötelezettséget vállal, hiszen teljesítenie kell, ha az opció jogosultja le akarja hívni az opciót. </w:t>
      </w:r>
    </w:p>
    <w:p w:rsidR="00846826" w:rsidRPr="00913BBC" w:rsidRDefault="00846826" w:rsidP="00846826">
      <w:pPr>
        <w:ind w:left="720"/>
        <w:jc w:val="both"/>
        <w:rPr>
          <w:rFonts w:ascii="Calibri" w:hAnsi="Calibri"/>
          <w:snapToGrid w:val="0"/>
          <w:sz w:val="22"/>
          <w:szCs w:val="22"/>
          <w:lang w:eastAsia="en-US"/>
        </w:rPr>
      </w:pP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A követelések, tartozások kiértékelése során természetesen figyelembe veszik, hogy vételi, vagy eladási opcióról van-e szó (vagyis az opciós jog valamely mögöttes termék eladására, vagy vételére vonatkozik-e), adatszolgáltatási tábláinkban azonban csak az értékelés végeredményét kell feltüntetni. Így egy-egy sorban országonként összevontan jelenthetők. A lényeg, hogy eladott (kiírt) opciós jogról van-e szó az adatszolgáltató szempontjából, vagy pedig megvásárolt opciós jogról. Előbbi esetben valamennyi adat a tartozás, utóbbi esetben valamennyi adat a követel táblában jelentendő, az alábbiak szerint:</w:t>
      </w:r>
    </w:p>
    <w:p w:rsidR="00846826" w:rsidRPr="00913BBC" w:rsidRDefault="00846826" w:rsidP="00846826">
      <w:pPr>
        <w:jc w:val="both"/>
        <w:rPr>
          <w:rFonts w:ascii="Calibri" w:hAnsi="Calibri"/>
          <w:b/>
          <w:snapToGrid w:val="0"/>
          <w:sz w:val="22"/>
          <w:szCs w:val="22"/>
          <w:lang w:eastAsia="en-US"/>
        </w:rPr>
      </w:pPr>
    </w:p>
    <w:p w:rsidR="00846826" w:rsidRPr="00913BBC" w:rsidRDefault="00846826" w:rsidP="00846826">
      <w:pPr>
        <w:jc w:val="both"/>
        <w:rPr>
          <w:rFonts w:ascii="Calibri" w:hAnsi="Calibri"/>
          <w:b/>
          <w:snapToGrid w:val="0"/>
          <w:sz w:val="22"/>
          <w:szCs w:val="22"/>
          <w:lang w:eastAsia="en-US"/>
        </w:rPr>
      </w:pPr>
    </w:p>
    <w:p w:rsidR="00846826" w:rsidRPr="00913BBC" w:rsidRDefault="00846826" w:rsidP="00846826">
      <w:pPr>
        <w:jc w:val="both"/>
        <w:rPr>
          <w:rFonts w:ascii="Calibri" w:hAnsi="Calibri"/>
          <w:b/>
          <w:snapToGrid w:val="0"/>
          <w:sz w:val="22"/>
          <w:szCs w:val="22"/>
          <w:lang w:eastAsia="en-US"/>
        </w:rPr>
      </w:pPr>
    </w:p>
    <w:p w:rsidR="00846826" w:rsidRPr="00913BBC" w:rsidRDefault="00846826" w:rsidP="00846826">
      <w:pPr>
        <w:jc w:val="both"/>
        <w:rPr>
          <w:rFonts w:ascii="Calibri" w:hAnsi="Calibri"/>
          <w:b/>
          <w:snapToGrid w:val="0"/>
          <w:sz w:val="22"/>
          <w:szCs w:val="22"/>
          <w:lang w:eastAsia="en-US"/>
        </w:rPr>
      </w:pPr>
    </w:p>
    <w:p w:rsidR="00846826" w:rsidRPr="00913BBC" w:rsidRDefault="00846826" w:rsidP="00846826">
      <w:pPr>
        <w:ind w:left="720"/>
        <w:jc w:val="both"/>
        <w:rPr>
          <w:rFonts w:ascii="Calibri" w:hAnsi="Calibri"/>
          <w:b/>
          <w:snapToGrid w:val="0"/>
          <w:sz w:val="22"/>
          <w:szCs w:val="22"/>
          <w:lang w:eastAsia="en-US"/>
        </w:rPr>
      </w:pPr>
      <w:r w:rsidRPr="00913BBC">
        <w:rPr>
          <w:rFonts w:ascii="Calibri" w:hAnsi="Calibri"/>
          <w:b/>
          <w:snapToGrid w:val="0"/>
          <w:sz w:val="22"/>
          <w:szCs w:val="22"/>
          <w:lang w:eastAsia="en-US"/>
        </w:rPr>
        <w:t>Időszak eleji nyitó és időszak végi záró pozíció:</w:t>
      </w:r>
    </w:p>
    <w:p w:rsidR="00846826" w:rsidRPr="00913BBC" w:rsidRDefault="00846826" w:rsidP="00846826">
      <w:pPr>
        <w:ind w:left="720"/>
        <w:jc w:val="both"/>
        <w:rPr>
          <w:rFonts w:ascii="Calibri" w:hAnsi="Calibri"/>
          <w:snapToGrid w:val="0"/>
          <w:sz w:val="22"/>
          <w:szCs w:val="22"/>
          <w:lang w:eastAsia="en-US"/>
        </w:rPr>
      </w:pP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 opciós kontraktus kötésekor az opció vevője mindig eszközhöz jut, tehát követelés pozícióba kerül, míg az opció kiíróját a prémium kézhezvételét követően kötelezettség terheli. Az opciók kezdeti értéke megegyezik az opció kiírójának fizetett prémiummal, értéke </w:t>
      </w:r>
      <w:r w:rsidRPr="00913BBC">
        <w:rPr>
          <w:rFonts w:ascii="Calibri" w:hAnsi="Calibri"/>
          <w:snapToGrid w:val="0"/>
          <w:sz w:val="22"/>
          <w:szCs w:val="22"/>
          <w:lang w:eastAsia="en-US"/>
        </w:rPr>
        <w:lastRenderedPageBreak/>
        <w:t>a későbbiek során a pia</w:t>
      </w:r>
      <w:r w:rsidR="00441708" w:rsidRPr="00913BBC">
        <w:rPr>
          <w:rFonts w:ascii="Calibri" w:hAnsi="Calibri"/>
          <w:snapToGrid w:val="0"/>
          <w:sz w:val="22"/>
          <w:szCs w:val="22"/>
          <w:lang w:eastAsia="en-US"/>
        </w:rPr>
        <w:t xml:space="preserve">ci árak függvényében változhat. Sohasem lehet azonban 0, mivel amíg az opció nem jár le, a hátralévő időszakban még kedvezőbbé válhat értéke a jogosult számára (és kedvezőtlenebbé a kötelezett számára), ami a számítások során értéket ad az ügyletnek. </w:t>
      </w:r>
    </w:p>
    <w:p w:rsidR="00441708" w:rsidRPr="00913BBC" w:rsidRDefault="00441708" w:rsidP="00846826">
      <w:pPr>
        <w:ind w:left="720"/>
        <w:jc w:val="both"/>
        <w:rPr>
          <w:rFonts w:ascii="Calibri" w:hAnsi="Calibri"/>
          <w:snapToGrid w:val="0"/>
          <w:sz w:val="22"/>
          <w:szCs w:val="22"/>
          <w:lang w:eastAsia="en-US"/>
        </w:rPr>
      </w:pP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 vevőnek mindig követelése lesz, hiszen jogot szerez, amelyet csak akkor érvényesít, ha az ügylet az ő szempontjából nyereséges lesz, különben nem hívja le az opciót, </w:t>
      </w:r>
      <w:proofErr w:type="gramStart"/>
      <w:r w:rsidRPr="00913BBC">
        <w:rPr>
          <w:rFonts w:ascii="Calibri" w:hAnsi="Calibri"/>
          <w:snapToGrid w:val="0"/>
          <w:sz w:val="22"/>
          <w:szCs w:val="22"/>
          <w:lang w:eastAsia="en-US"/>
        </w:rPr>
        <w:t>az  további</w:t>
      </w:r>
      <w:proofErr w:type="gramEnd"/>
      <w:r w:rsidRPr="00913BBC">
        <w:rPr>
          <w:rFonts w:ascii="Calibri" w:hAnsi="Calibri"/>
          <w:snapToGrid w:val="0"/>
          <w:sz w:val="22"/>
          <w:szCs w:val="22"/>
          <w:lang w:eastAsia="en-US"/>
        </w:rPr>
        <w:t xml:space="preserve"> tranzakció bekövetkezte nélkül lejár a lejárat időpontjában. Ekkor az opciós jog vevőjét csak az opciós díj terheli, kiadásként. </w:t>
      </w: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A kiírónak azonban kötelezettsége, hogy eleget tegyen a vevő kérésének, amennyiben az az opciós jogát érvényesíteni akarja, azaz eladjon, vagy vegyen az opcióban szereplő lehívási áron, akárhogy is alakulnak a piaci árak, így bár bevételhez jutott az opciós díj összegében, potenciális vesztesége az ügyleten akármekkora lehet.</w:t>
      </w: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 </w:t>
      </w: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Mivel egy opciós ügylet mindig a befektető (vagyis az opciót megvásárló fél) követelésének és az eladó tartozásának tekinthető, így a követelés táblában az adatszolgáltató rezidens által megvásárolt (nem rezidens által kiírt) opciók aktuális piaci értékét kell országonként összesíteni, míg a tartozás táblában minden, a rezidens adatszolgáltató által külföldi partnernek eladott opció országonként összesített piaci értékét kell megadni. Az ügyletek piaci értékét vagy konkrét jegyzett ár segítségével, ennek hiányában azt megközelítő, számított piaci ár segítségével lehet kiszámítani, ez utóbbi esetében valamely általánosan elfogadott értékelési módszert alkalmazhat a vállalat, </w:t>
      </w:r>
      <w:proofErr w:type="spellStart"/>
      <w:r w:rsidRPr="00913BBC">
        <w:rPr>
          <w:rFonts w:ascii="Calibri" w:hAnsi="Calibri"/>
          <w:snapToGrid w:val="0"/>
          <w:sz w:val="22"/>
          <w:szCs w:val="22"/>
          <w:lang w:eastAsia="en-US"/>
        </w:rPr>
        <w:t>p</w:t>
      </w:r>
      <w:r w:rsidRPr="00913BBC">
        <w:rPr>
          <w:rFonts w:ascii="Calibri" w:hAnsi="Calibri"/>
          <w:sz w:val="22"/>
          <w:szCs w:val="22"/>
        </w:rPr>
        <w:t>l</w:t>
      </w:r>
      <w:proofErr w:type="spellEnd"/>
      <w:r w:rsidRPr="00913BBC">
        <w:rPr>
          <w:rFonts w:ascii="Calibri" w:hAnsi="Calibri"/>
          <w:sz w:val="22"/>
          <w:szCs w:val="22"/>
        </w:rPr>
        <w:t xml:space="preserve"> a Black-</w:t>
      </w:r>
      <w:proofErr w:type="spellStart"/>
      <w:r w:rsidRPr="00913BBC">
        <w:rPr>
          <w:rFonts w:ascii="Calibri" w:hAnsi="Calibri"/>
          <w:sz w:val="22"/>
          <w:szCs w:val="22"/>
        </w:rPr>
        <w:t>Scholes</w:t>
      </w:r>
      <w:proofErr w:type="spellEnd"/>
      <w:r w:rsidRPr="00913BBC">
        <w:rPr>
          <w:rFonts w:ascii="Calibri" w:hAnsi="Calibri"/>
          <w:sz w:val="22"/>
          <w:szCs w:val="22"/>
        </w:rPr>
        <w:t xml:space="preserve"> formulát</w:t>
      </w:r>
      <w:r w:rsidRPr="00913BBC">
        <w:rPr>
          <w:rFonts w:ascii="Calibri" w:hAnsi="Calibri"/>
          <w:snapToGrid w:val="0"/>
          <w:sz w:val="22"/>
          <w:szCs w:val="22"/>
          <w:lang w:eastAsia="en-US"/>
        </w:rPr>
        <w:t xml:space="preserve">. </w:t>
      </w:r>
    </w:p>
    <w:p w:rsidR="00846826" w:rsidRPr="00913BBC" w:rsidRDefault="00846826" w:rsidP="00846826">
      <w:pPr>
        <w:ind w:left="720"/>
        <w:jc w:val="both"/>
        <w:rPr>
          <w:rFonts w:ascii="Calibri" w:hAnsi="Calibri"/>
          <w:snapToGrid w:val="0"/>
          <w:sz w:val="22"/>
          <w:szCs w:val="22"/>
          <w:lang w:eastAsia="en-US"/>
        </w:rPr>
      </w:pPr>
    </w:p>
    <w:p w:rsidR="00846826" w:rsidRPr="00913BBC" w:rsidRDefault="00846826" w:rsidP="00846826">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 ugyanazon partnerrel kötött vásárolt és eladott opciók egymással szemben nem összevezethetők, s nem vezethetők össze ugyanazon mögöttes termékre vonatkozó vásárolt és eladott opciók sem. </w:t>
      </w:r>
    </w:p>
    <w:p w:rsidR="00846826" w:rsidRPr="00913BBC" w:rsidRDefault="00846826" w:rsidP="00846826">
      <w:pPr>
        <w:ind w:left="720"/>
        <w:jc w:val="both"/>
        <w:rPr>
          <w:rFonts w:ascii="Calibri" w:hAnsi="Calibri"/>
          <w:b/>
          <w:snapToGrid w:val="0"/>
          <w:sz w:val="22"/>
          <w:szCs w:val="22"/>
          <w:lang w:eastAsia="en-US"/>
        </w:rPr>
      </w:pPr>
    </w:p>
    <w:p w:rsidR="00846826" w:rsidRPr="00913BBC" w:rsidRDefault="00846826" w:rsidP="00846826">
      <w:pPr>
        <w:ind w:left="720"/>
        <w:jc w:val="both"/>
        <w:rPr>
          <w:rFonts w:ascii="Calibri" w:hAnsi="Calibri"/>
          <w:b/>
          <w:snapToGrid w:val="0"/>
          <w:sz w:val="22"/>
          <w:szCs w:val="22"/>
          <w:lang w:eastAsia="en-US"/>
        </w:rPr>
      </w:pPr>
    </w:p>
    <w:p w:rsidR="00846826" w:rsidRPr="00913BBC" w:rsidRDefault="00846826" w:rsidP="00846826">
      <w:pPr>
        <w:ind w:left="720"/>
        <w:jc w:val="both"/>
        <w:rPr>
          <w:rFonts w:ascii="Calibri" w:hAnsi="Calibri"/>
          <w:b/>
          <w:snapToGrid w:val="0"/>
          <w:sz w:val="22"/>
          <w:szCs w:val="22"/>
          <w:lang w:eastAsia="en-US"/>
        </w:rPr>
      </w:pPr>
      <w:r w:rsidRPr="00913BBC">
        <w:rPr>
          <w:rFonts w:ascii="Calibri" w:hAnsi="Calibri"/>
          <w:b/>
          <w:snapToGrid w:val="0"/>
          <w:sz w:val="22"/>
          <w:szCs w:val="22"/>
          <w:lang w:eastAsia="en-US"/>
        </w:rPr>
        <w:t>Tranzakciók:</w:t>
      </w:r>
    </w:p>
    <w:p w:rsidR="00846826" w:rsidRPr="00913BBC" w:rsidRDefault="00846826" w:rsidP="00846826">
      <w:pPr>
        <w:ind w:left="720"/>
        <w:jc w:val="both"/>
        <w:rPr>
          <w:rFonts w:ascii="Calibri" w:hAnsi="Calibri"/>
          <w:b/>
          <w:snapToGrid w:val="0"/>
          <w:sz w:val="22"/>
          <w:szCs w:val="22"/>
          <w:lang w:eastAsia="en-US"/>
        </w:rPr>
      </w:pPr>
    </w:p>
    <w:p w:rsidR="00846826" w:rsidRPr="00913BBC" w:rsidRDefault="00846826" w:rsidP="00846826">
      <w:pPr>
        <w:ind w:left="720"/>
        <w:jc w:val="both"/>
        <w:rPr>
          <w:rFonts w:ascii="Calibri" w:hAnsi="Calibri"/>
          <w:sz w:val="22"/>
          <w:szCs w:val="22"/>
        </w:rPr>
      </w:pPr>
      <w:r w:rsidRPr="00913BBC">
        <w:rPr>
          <w:rFonts w:ascii="Calibri" w:hAnsi="Calibri"/>
          <w:snapToGrid w:val="0"/>
          <w:sz w:val="22"/>
          <w:szCs w:val="22"/>
          <w:lang w:eastAsia="en-US"/>
        </w:rPr>
        <w:t>Ezen mezőkben kell jelenteni az o</w:t>
      </w:r>
      <w:r w:rsidRPr="00913BBC">
        <w:rPr>
          <w:rFonts w:ascii="Calibri" w:hAnsi="Calibri"/>
          <w:sz w:val="22"/>
          <w:szCs w:val="22"/>
        </w:rPr>
        <w:t xml:space="preserve">pciós jog vételéért/eladásáért fizetett/kapott opciós díjat (prémiumot), továbbá az ügylet lezárásakor a pénzügyi rendezést is. Lezárás történhet az ügylet lehívásával, vagy ellenügylet kötésével, elszámolásos konstrukcióban és a mögöttes termék leszállításával egyaránt. </w:t>
      </w:r>
    </w:p>
    <w:p w:rsidR="00846826" w:rsidRPr="00913BBC" w:rsidRDefault="00846826" w:rsidP="00846826">
      <w:pPr>
        <w:ind w:left="720"/>
        <w:jc w:val="both"/>
        <w:rPr>
          <w:rFonts w:ascii="Calibri" w:hAnsi="Calibri"/>
          <w:sz w:val="22"/>
          <w:szCs w:val="22"/>
        </w:rPr>
      </w:pPr>
    </w:p>
    <w:p w:rsidR="00846826" w:rsidRPr="00913BBC" w:rsidRDefault="00846826" w:rsidP="00846826">
      <w:pPr>
        <w:ind w:left="720"/>
        <w:jc w:val="both"/>
        <w:rPr>
          <w:rFonts w:ascii="Calibri" w:hAnsi="Calibri"/>
          <w:sz w:val="22"/>
          <w:szCs w:val="22"/>
        </w:rPr>
      </w:pPr>
      <w:r w:rsidRPr="00913BBC">
        <w:rPr>
          <w:rFonts w:ascii="Calibri" w:hAnsi="Calibri"/>
          <w:sz w:val="22"/>
          <w:szCs w:val="22"/>
        </w:rPr>
        <w:t xml:space="preserve">Elszámolásos konstrukcióban az ügylet lezárásakor, illetve lehívásakor kapott/fizetett nettó összegeket kell tranzakcióként jelenteni. Bizonyos tőzsdei opció-típusok (elsősorban kamatláb opciók) esetében néhány, az ügylet tartama alatt felmerülő, teljesített változó margin kifizetések, illetve bevételek is ebbe a körbe tartoznak. </w:t>
      </w:r>
    </w:p>
    <w:p w:rsidR="00846826" w:rsidRPr="00913BBC" w:rsidRDefault="00846826" w:rsidP="00846826">
      <w:pPr>
        <w:ind w:left="720"/>
        <w:jc w:val="both"/>
        <w:rPr>
          <w:rFonts w:ascii="Calibri" w:hAnsi="Calibri"/>
          <w:sz w:val="22"/>
          <w:szCs w:val="22"/>
        </w:rPr>
      </w:pPr>
    </w:p>
    <w:p w:rsidR="00846826" w:rsidRPr="00913BBC" w:rsidRDefault="00846826" w:rsidP="00846826">
      <w:pPr>
        <w:ind w:left="720"/>
        <w:jc w:val="both"/>
        <w:rPr>
          <w:rFonts w:ascii="Calibri" w:hAnsi="Calibri"/>
          <w:sz w:val="22"/>
          <w:szCs w:val="22"/>
        </w:rPr>
      </w:pPr>
      <w:r w:rsidRPr="00913BBC">
        <w:rPr>
          <w:rFonts w:ascii="Calibri" w:hAnsi="Calibri"/>
          <w:sz w:val="22"/>
          <w:szCs w:val="22"/>
        </w:rPr>
        <w:t xml:space="preserve">Leszállításos lehívás esetében, amennyiben nem deviza, vagy valutaösszeg vételéről/eladásáról van szó, a mögöttes terméknek az opciós szerződés szerinti lehívási ára, valamint az aktuális piaci ára közötti különbözet tekintendő pénzügyi </w:t>
      </w:r>
      <w:proofErr w:type="spellStart"/>
      <w:r w:rsidRPr="00913BBC">
        <w:rPr>
          <w:rFonts w:ascii="Calibri" w:hAnsi="Calibri"/>
          <w:sz w:val="22"/>
          <w:szCs w:val="22"/>
        </w:rPr>
        <w:t>derivatíva</w:t>
      </w:r>
      <w:proofErr w:type="spellEnd"/>
      <w:r w:rsidRPr="00913BBC">
        <w:rPr>
          <w:rFonts w:ascii="Calibri" w:hAnsi="Calibri"/>
          <w:sz w:val="22"/>
          <w:szCs w:val="22"/>
        </w:rPr>
        <w:t xml:space="preserve"> tranzakciónak. A deviza, valuta vételre/eladásra kötött opciók esetében a szerződés szerinti bruttó fizetések tüntethetők fel </w:t>
      </w:r>
      <w:proofErr w:type="spellStart"/>
      <w:r w:rsidRPr="00913BBC">
        <w:rPr>
          <w:rFonts w:ascii="Calibri" w:hAnsi="Calibri"/>
          <w:sz w:val="22"/>
          <w:szCs w:val="22"/>
        </w:rPr>
        <w:t>derivatíva</w:t>
      </w:r>
      <w:proofErr w:type="spellEnd"/>
      <w:r w:rsidRPr="00913BBC">
        <w:rPr>
          <w:rFonts w:ascii="Calibri" w:hAnsi="Calibri"/>
          <w:sz w:val="22"/>
          <w:szCs w:val="22"/>
        </w:rPr>
        <w:t xml:space="preserve"> tranzakcióként.  </w:t>
      </w:r>
    </w:p>
    <w:p w:rsidR="004366CA" w:rsidRPr="00913BBC" w:rsidRDefault="004366CA">
      <w:pPr>
        <w:rPr>
          <w:rFonts w:ascii="Calibri" w:hAnsi="Calibri"/>
          <w:sz w:val="22"/>
          <w:szCs w:val="22"/>
        </w:rPr>
      </w:pPr>
    </w:p>
    <w:p w:rsidR="004366CA" w:rsidRPr="00913BBC" w:rsidRDefault="004366CA">
      <w:pPr>
        <w:pStyle w:val="BodyText"/>
        <w:rPr>
          <w:rFonts w:ascii="Calibri" w:hAnsi="Calibri"/>
          <w:bCs/>
          <w:sz w:val="22"/>
          <w:szCs w:val="22"/>
        </w:rPr>
      </w:pPr>
      <w:bookmarkStart w:id="39" w:name="_Toc120612691"/>
      <w:bookmarkStart w:id="40" w:name="_Toc122850670"/>
      <w:r w:rsidRPr="00913BBC">
        <w:rPr>
          <w:rFonts w:ascii="Calibri" w:hAnsi="Calibri"/>
          <w:bCs/>
          <w:sz w:val="22"/>
          <w:szCs w:val="22"/>
        </w:rPr>
        <w:t xml:space="preserve">d.)  </w:t>
      </w:r>
      <w:proofErr w:type="spellStart"/>
      <w:r w:rsidRPr="00913BBC">
        <w:rPr>
          <w:rFonts w:ascii="Calibri" w:hAnsi="Calibri"/>
          <w:bCs/>
          <w:sz w:val="22"/>
          <w:szCs w:val="22"/>
        </w:rPr>
        <w:t>Swapok</w:t>
      </w:r>
      <w:proofErr w:type="spellEnd"/>
      <w:r w:rsidRPr="00913BBC">
        <w:rPr>
          <w:rFonts w:ascii="Calibri" w:hAnsi="Calibri"/>
          <w:bCs/>
          <w:sz w:val="22"/>
          <w:szCs w:val="22"/>
        </w:rPr>
        <w:t>:</w:t>
      </w:r>
      <w:bookmarkEnd w:id="39"/>
      <w:bookmarkEnd w:id="40"/>
    </w:p>
    <w:p w:rsidR="008A4A09" w:rsidRPr="00913BBC" w:rsidRDefault="008A4A09" w:rsidP="008A4A09">
      <w:pPr>
        <w:autoSpaceDE w:val="0"/>
        <w:autoSpaceDN w:val="0"/>
        <w:adjustRightInd w:val="0"/>
        <w:ind w:left="708"/>
        <w:jc w:val="both"/>
        <w:rPr>
          <w:rFonts w:ascii="Calibri" w:hAnsi="Calibri"/>
          <w:sz w:val="22"/>
          <w:szCs w:val="22"/>
        </w:rPr>
      </w:pPr>
    </w:p>
    <w:p w:rsidR="00C23DE1" w:rsidRPr="00913BBC" w:rsidRDefault="00C23DE1" w:rsidP="00C23DE1">
      <w:pPr>
        <w:ind w:left="540"/>
        <w:jc w:val="both"/>
        <w:rPr>
          <w:rFonts w:ascii="Calibri" w:hAnsi="Calibri"/>
          <w:sz w:val="22"/>
          <w:szCs w:val="22"/>
        </w:rPr>
      </w:pPr>
      <w:r w:rsidRPr="00913BBC">
        <w:rPr>
          <w:rFonts w:ascii="Calibri" w:hAnsi="Calibri"/>
          <w:sz w:val="22"/>
          <w:szCs w:val="22"/>
        </w:rPr>
        <w:t xml:space="preserve">A </w:t>
      </w:r>
      <w:proofErr w:type="spellStart"/>
      <w:r w:rsidRPr="00913BBC">
        <w:rPr>
          <w:rFonts w:ascii="Calibri" w:hAnsi="Calibri"/>
          <w:sz w:val="22"/>
          <w:szCs w:val="22"/>
        </w:rPr>
        <w:t>swapok</w:t>
      </w:r>
      <w:proofErr w:type="spellEnd"/>
      <w:r w:rsidRPr="00913BBC">
        <w:rPr>
          <w:rFonts w:ascii="Calibri" w:hAnsi="Calibri"/>
          <w:sz w:val="22"/>
          <w:szCs w:val="22"/>
        </w:rPr>
        <w:t xml:space="preserve"> esetében a partnerek fizetések cseréjében állapodnak meg, azaz a szerződésben előre meghatározott feltételek szerint cash flow cserét/cseréket hajtanak végre. A fizetések meghatározott jövőbeli időpontokban, vagy periódusonként történnek, meghatározott </w:t>
      </w:r>
      <w:r w:rsidRPr="00913BBC">
        <w:rPr>
          <w:rFonts w:ascii="Calibri" w:hAnsi="Calibri"/>
          <w:sz w:val="22"/>
          <w:szCs w:val="22"/>
        </w:rPr>
        <w:lastRenderedPageBreak/>
        <w:t xml:space="preserve">névleges összegekre vonatkoztatva, a ténylegesen fizetendő cash flow összegek, pedig a mögöttes termék referencia árán, hozamán alapulnak. </w:t>
      </w:r>
    </w:p>
    <w:p w:rsidR="00C23DE1" w:rsidRPr="00913BBC" w:rsidRDefault="00C23DE1" w:rsidP="00C23DE1">
      <w:pPr>
        <w:ind w:left="540"/>
        <w:jc w:val="both"/>
        <w:rPr>
          <w:rFonts w:ascii="Calibri" w:hAnsi="Calibri"/>
          <w:sz w:val="22"/>
          <w:szCs w:val="22"/>
        </w:rPr>
      </w:pPr>
      <w:proofErr w:type="spellStart"/>
      <w:r w:rsidRPr="00913BBC">
        <w:rPr>
          <w:rFonts w:ascii="Calibri" w:hAnsi="Calibri"/>
          <w:sz w:val="22"/>
          <w:szCs w:val="22"/>
        </w:rPr>
        <w:t>Swapokat</w:t>
      </w:r>
      <w:proofErr w:type="spellEnd"/>
      <w:r w:rsidRPr="00913BBC">
        <w:rPr>
          <w:rFonts w:ascii="Calibri" w:hAnsi="Calibri"/>
          <w:sz w:val="22"/>
          <w:szCs w:val="22"/>
        </w:rPr>
        <w:t xml:space="preserve"> általában OTC piacon kötnek, s a kontraktusból eredő fizetési kötelezettségek teljesítése általában „leszállítással” történik.</w:t>
      </w:r>
    </w:p>
    <w:p w:rsidR="004366CA" w:rsidRPr="00913BBC" w:rsidRDefault="004366CA">
      <w:pPr>
        <w:ind w:left="720"/>
        <w:jc w:val="both"/>
        <w:rPr>
          <w:rFonts w:ascii="Calibri" w:hAnsi="Calibri"/>
          <w:sz w:val="22"/>
          <w:szCs w:val="22"/>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Időszak eleji nyitó és időszak végi záró pozíció:</w:t>
      </w:r>
    </w:p>
    <w:p w:rsidR="008A4A09" w:rsidRPr="00913BBC" w:rsidRDefault="008A4A09">
      <w:pPr>
        <w:ind w:left="720"/>
        <w:jc w:val="both"/>
        <w:rPr>
          <w:rFonts w:ascii="Calibri" w:hAnsi="Calibri"/>
          <w:sz w:val="22"/>
          <w:szCs w:val="22"/>
        </w:rPr>
      </w:pPr>
    </w:p>
    <w:p w:rsidR="008A4A09" w:rsidRPr="00913BBC" w:rsidRDefault="008A4A09" w:rsidP="00662AB8">
      <w:pPr>
        <w:numPr>
          <w:ilvl w:val="0"/>
          <w:numId w:val="1"/>
        </w:numPr>
        <w:ind w:hanging="180"/>
        <w:jc w:val="both"/>
        <w:rPr>
          <w:rFonts w:ascii="Calibri" w:hAnsi="Calibri" w:cs="Arial"/>
          <w:sz w:val="22"/>
          <w:szCs w:val="22"/>
        </w:rPr>
      </w:pPr>
      <w:r w:rsidRPr="00913BBC">
        <w:rPr>
          <w:rFonts w:ascii="Calibri" w:hAnsi="Calibri"/>
          <w:snapToGrid w:val="0"/>
          <w:sz w:val="22"/>
          <w:szCs w:val="22"/>
          <w:lang w:eastAsia="en-US"/>
        </w:rPr>
        <w:t xml:space="preserve">A </w:t>
      </w:r>
      <w:proofErr w:type="spellStart"/>
      <w:r w:rsidRPr="00913BBC">
        <w:rPr>
          <w:rFonts w:ascii="Calibri" w:hAnsi="Calibri"/>
          <w:snapToGrid w:val="0"/>
          <w:sz w:val="22"/>
          <w:szCs w:val="22"/>
          <w:lang w:eastAsia="en-US"/>
        </w:rPr>
        <w:t>devizaswap</w:t>
      </w:r>
      <w:proofErr w:type="spellEnd"/>
      <w:r w:rsidRPr="00913BBC">
        <w:rPr>
          <w:rFonts w:ascii="Calibri" w:hAnsi="Calibri"/>
          <w:snapToGrid w:val="0"/>
          <w:sz w:val="22"/>
          <w:szCs w:val="22"/>
          <w:lang w:eastAsia="en-US"/>
        </w:rPr>
        <w:t xml:space="preserve"> megállapodások (egy devizakonverziót hajtanak végre a szerződő felek a megállapodás szerinti árfolyamon, ezt nevezzük rövid lábnak, és egy későbbi időpontban, meghatározott árfolyamon ezzel ellentétes konverziót hajtanak végre, ezt nevezzük hosszú lábnak, vagy határidős lábnak) határidős lábának bruttó piaci értékét kell itt országonként a megfelelő táblában jelenteni, a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ügyleteknél alkalmazott kiértékelési módszer segítségével. </w:t>
      </w:r>
    </w:p>
    <w:p w:rsidR="008A4A09" w:rsidRPr="00913BBC" w:rsidRDefault="008A4A09" w:rsidP="008A4A09">
      <w:pPr>
        <w:ind w:left="360"/>
        <w:jc w:val="both"/>
        <w:rPr>
          <w:rFonts w:ascii="Calibri" w:hAnsi="Calibri"/>
          <w:snapToGrid w:val="0"/>
          <w:sz w:val="22"/>
          <w:szCs w:val="22"/>
          <w:lang w:eastAsia="en-US"/>
        </w:rPr>
      </w:pPr>
    </w:p>
    <w:p w:rsidR="008A4A09" w:rsidRPr="00913BBC" w:rsidRDefault="008A4A09" w:rsidP="00662AB8">
      <w:pPr>
        <w:numPr>
          <w:ilvl w:val="0"/>
          <w:numId w:val="1"/>
        </w:numPr>
        <w:ind w:hanging="180"/>
        <w:jc w:val="both"/>
        <w:rPr>
          <w:rFonts w:ascii="Calibri" w:hAnsi="Calibri"/>
          <w:snapToGrid w:val="0"/>
          <w:sz w:val="22"/>
          <w:szCs w:val="22"/>
          <w:lang w:eastAsia="en-US"/>
        </w:rPr>
      </w:pPr>
      <w:r w:rsidRPr="00913BBC">
        <w:rPr>
          <w:rFonts w:ascii="Calibri" w:hAnsi="Calibri"/>
          <w:snapToGrid w:val="0"/>
          <w:sz w:val="22"/>
          <w:szCs w:val="22"/>
          <w:lang w:eastAsia="en-US"/>
        </w:rPr>
        <w:t xml:space="preserve">Az egydevizás kamatláb </w:t>
      </w:r>
      <w:proofErr w:type="spellStart"/>
      <w:r w:rsidRPr="00913BBC">
        <w:rPr>
          <w:rFonts w:ascii="Calibri" w:hAnsi="Calibri"/>
          <w:snapToGrid w:val="0"/>
          <w:sz w:val="22"/>
          <w:szCs w:val="22"/>
          <w:lang w:eastAsia="en-US"/>
        </w:rPr>
        <w:t>swap</w:t>
      </w:r>
      <w:proofErr w:type="spellEnd"/>
      <w:r w:rsidRPr="00913BBC">
        <w:rPr>
          <w:rFonts w:ascii="Calibri" w:hAnsi="Calibri"/>
          <w:snapToGrid w:val="0"/>
          <w:sz w:val="22"/>
          <w:szCs w:val="22"/>
          <w:lang w:eastAsia="en-US"/>
        </w:rPr>
        <w:t xml:space="preserve"> megállapodás alapján egy devizanemhez kapcsolódó periodikus kamatfizetéseket cserélnek el a szerződő felek, akár fixet változóra, akár változót egy más indexhez kötött másik változó kamatra. A kamatláb </w:t>
      </w:r>
      <w:proofErr w:type="spellStart"/>
      <w:r w:rsidRPr="00913BBC">
        <w:rPr>
          <w:rFonts w:ascii="Calibri" w:hAnsi="Calibri"/>
          <w:snapToGrid w:val="0"/>
          <w:sz w:val="22"/>
          <w:szCs w:val="22"/>
          <w:lang w:eastAsia="en-US"/>
        </w:rPr>
        <w:t>swap</w:t>
      </w:r>
      <w:proofErr w:type="spellEnd"/>
      <w:r w:rsidRPr="00913BBC">
        <w:rPr>
          <w:rFonts w:ascii="Calibri" w:hAnsi="Calibri"/>
          <w:snapToGrid w:val="0"/>
          <w:sz w:val="22"/>
          <w:szCs w:val="22"/>
          <w:lang w:eastAsia="en-US"/>
        </w:rPr>
        <w:t xml:space="preserve"> ügyletek bruttó piaci értékét kell itt országonként, a kiértékelés eredményének megfelelő táblában szerepeltetni, a szerződés teljes időtartama alatt várható fizetett és kapott kamatok közötti különbség nettó jelenértéke számításával. </w:t>
      </w:r>
    </w:p>
    <w:p w:rsidR="008A4A09" w:rsidRPr="00913BBC" w:rsidRDefault="008A4A09" w:rsidP="008A4A09">
      <w:pPr>
        <w:jc w:val="both"/>
        <w:rPr>
          <w:rFonts w:ascii="Calibri" w:hAnsi="Calibri"/>
          <w:snapToGrid w:val="0"/>
          <w:sz w:val="22"/>
          <w:szCs w:val="22"/>
          <w:lang w:eastAsia="en-US"/>
        </w:rPr>
      </w:pPr>
    </w:p>
    <w:p w:rsidR="008A4A09" w:rsidRPr="00913BBC" w:rsidRDefault="008A4A09" w:rsidP="00662AB8">
      <w:pPr>
        <w:numPr>
          <w:ilvl w:val="0"/>
          <w:numId w:val="1"/>
        </w:numPr>
        <w:ind w:hanging="180"/>
        <w:jc w:val="both"/>
        <w:rPr>
          <w:rFonts w:ascii="Calibri" w:hAnsi="Calibri"/>
          <w:snapToGrid w:val="0"/>
          <w:sz w:val="22"/>
          <w:szCs w:val="22"/>
          <w:lang w:eastAsia="en-US"/>
        </w:rPr>
      </w:pPr>
      <w:r w:rsidRPr="00913BBC">
        <w:rPr>
          <w:rFonts w:ascii="Calibri" w:hAnsi="Calibri"/>
          <w:snapToGrid w:val="0"/>
          <w:sz w:val="22"/>
          <w:szCs w:val="22"/>
          <w:lang w:eastAsia="en-US"/>
        </w:rPr>
        <w:t xml:space="preserve">Keresztdevizás </w:t>
      </w:r>
      <w:proofErr w:type="spellStart"/>
      <w:r w:rsidRPr="00913BBC">
        <w:rPr>
          <w:rFonts w:ascii="Calibri" w:hAnsi="Calibri"/>
          <w:snapToGrid w:val="0"/>
          <w:sz w:val="22"/>
          <w:szCs w:val="22"/>
          <w:lang w:eastAsia="en-US"/>
        </w:rPr>
        <w:t>kamatlábswap</w:t>
      </w:r>
      <w:proofErr w:type="spellEnd"/>
      <w:r w:rsidRPr="00913BBC">
        <w:rPr>
          <w:rFonts w:ascii="Calibri" w:hAnsi="Calibri"/>
          <w:snapToGrid w:val="0"/>
          <w:sz w:val="22"/>
          <w:szCs w:val="22"/>
          <w:lang w:eastAsia="en-US"/>
        </w:rPr>
        <w:t xml:space="preserve"> során a partnerek a szerződésben megállapodott időintervallumban, eltérő devizanemben történő kamatfizetéseket cserélnek el, valamint lejáratkor kicserélik az eltérő devizában meghatározott tőke összegeket is egy előre megállapodott devizaárfolyamon. A kereszt devizás </w:t>
      </w:r>
      <w:proofErr w:type="spellStart"/>
      <w:r w:rsidRPr="00913BBC">
        <w:rPr>
          <w:rFonts w:ascii="Calibri" w:hAnsi="Calibri"/>
          <w:snapToGrid w:val="0"/>
          <w:sz w:val="22"/>
          <w:szCs w:val="22"/>
          <w:lang w:eastAsia="en-US"/>
        </w:rPr>
        <w:t>kamatswap</w:t>
      </w:r>
      <w:proofErr w:type="spellEnd"/>
      <w:r w:rsidRPr="00913BBC">
        <w:rPr>
          <w:rFonts w:ascii="Calibri" w:hAnsi="Calibri"/>
          <w:snapToGrid w:val="0"/>
          <w:sz w:val="22"/>
          <w:szCs w:val="22"/>
          <w:lang w:eastAsia="en-US"/>
        </w:rPr>
        <w:t xml:space="preserve"> és egyéb hasonló összetett </w:t>
      </w:r>
      <w:proofErr w:type="spellStart"/>
      <w:r w:rsidRPr="00913BBC">
        <w:rPr>
          <w:rFonts w:ascii="Calibri" w:hAnsi="Calibri"/>
          <w:snapToGrid w:val="0"/>
          <w:sz w:val="22"/>
          <w:szCs w:val="22"/>
          <w:lang w:eastAsia="en-US"/>
        </w:rPr>
        <w:t>swap</w:t>
      </w:r>
      <w:proofErr w:type="spellEnd"/>
      <w:r w:rsidRPr="00913BBC">
        <w:rPr>
          <w:rFonts w:ascii="Calibri" w:hAnsi="Calibri"/>
          <w:snapToGrid w:val="0"/>
          <w:sz w:val="22"/>
          <w:szCs w:val="22"/>
          <w:lang w:eastAsia="en-US"/>
        </w:rPr>
        <w:t xml:space="preserve"> típusú ügyletek piaci értékének kiszámításánál a valutaárfolyamok és egyéb árak várható értékét is figyelembe kell venni.</w:t>
      </w:r>
    </w:p>
    <w:p w:rsidR="008A4A09" w:rsidRPr="00913BBC" w:rsidRDefault="008A4A09" w:rsidP="008A4A09">
      <w:pPr>
        <w:ind w:left="720"/>
        <w:jc w:val="both"/>
        <w:rPr>
          <w:rFonts w:ascii="Calibri" w:hAnsi="Calibri"/>
          <w:b/>
          <w:snapToGrid w:val="0"/>
          <w:sz w:val="22"/>
          <w:szCs w:val="22"/>
          <w:lang w:eastAsia="en-US"/>
        </w:rPr>
      </w:pPr>
    </w:p>
    <w:p w:rsidR="004366CA" w:rsidRPr="00913BBC" w:rsidRDefault="004366CA">
      <w:pPr>
        <w:ind w:left="708"/>
        <w:jc w:val="both"/>
        <w:rPr>
          <w:rFonts w:ascii="Calibri" w:hAnsi="Calibri"/>
          <w:snapToGrid w:val="0"/>
          <w:sz w:val="22"/>
          <w:szCs w:val="22"/>
          <w:lang w:eastAsia="en-US"/>
        </w:rPr>
      </w:pPr>
      <w:r w:rsidRPr="00913BBC">
        <w:rPr>
          <w:rFonts w:ascii="Calibri" w:hAnsi="Calibri"/>
          <w:snapToGrid w:val="0"/>
          <w:sz w:val="22"/>
          <w:szCs w:val="22"/>
          <w:lang w:eastAsia="en-US"/>
        </w:rPr>
        <w:t>Tranzakciók:</w:t>
      </w:r>
    </w:p>
    <w:p w:rsidR="008A4A09" w:rsidRPr="00913BBC" w:rsidRDefault="008A4A09">
      <w:pPr>
        <w:autoSpaceDE w:val="0"/>
        <w:autoSpaceDN w:val="0"/>
        <w:adjustRightInd w:val="0"/>
        <w:ind w:left="708"/>
        <w:jc w:val="both"/>
        <w:rPr>
          <w:rFonts w:ascii="Calibri" w:hAnsi="Calibri" w:cs="Arial"/>
          <w:sz w:val="22"/>
          <w:szCs w:val="22"/>
        </w:rPr>
      </w:pPr>
    </w:p>
    <w:p w:rsidR="004366CA" w:rsidRPr="00913BBC" w:rsidRDefault="004366CA">
      <w:pPr>
        <w:autoSpaceDE w:val="0"/>
        <w:autoSpaceDN w:val="0"/>
        <w:adjustRightInd w:val="0"/>
        <w:ind w:left="708"/>
        <w:jc w:val="both"/>
        <w:rPr>
          <w:rFonts w:ascii="Calibri" w:hAnsi="Calibri" w:cs="Arial"/>
          <w:sz w:val="22"/>
          <w:szCs w:val="22"/>
        </w:rPr>
      </w:pPr>
      <w:proofErr w:type="spellStart"/>
      <w:r w:rsidRPr="00913BBC">
        <w:rPr>
          <w:rFonts w:ascii="Calibri" w:hAnsi="Calibri" w:cs="Arial"/>
          <w:sz w:val="22"/>
          <w:szCs w:val="22"/>
        </w:rPr>
        <w:t>Devizaswap</w:t>
      </w:r>
      <w:proofErr w:type="spellEnd"/>
      <w:r w:rsidRPr="00913BBC">
        <w:rPr>
          <w:rFonts w:ascii="Calibri" w:hAnsi="Calibri" w:cs="Arial"/>
          <w:sz w:val="22"/>
          <w:szCs w:val="22"/>
        </w:rPr>
        <w:t xml:space="preserve"> ügyletek esetében a tranzakciókat, vagyis az ügyletek második (hosszú) lábát a </w:t>
      </w:r>
      <w:proofErr w:type="spellStart"/>
      <w:r w:rsidRPr="00913BBC">
        <w:rPr>
          <w:rFonts w:ascii="Calibri" w:hAnsi="Calibri" w:cs="Arial"/>
          <w:sz w:val="22"/>
          <w:szCs w:val="22"/>
        </w:rPr>
        <w:t>forward</w:t>
      </w:r>
      <w:proofErr w:type="spellEnd"/>
      <w:r w:rsidRPr="00913BBC">
        <w:rPr>
          <w:rFonts w:ascii="Calibri" w:hAnsi="Calibri" w:cs="Arial"/>
          <w:sz w:val="22"/>
          <w:szCs w:val="22"/>
        </w:rPr>
        <w:t xml:space="preserve"> ügyleteknél leírtak szerint kell jelenteni. Az ügyletek indulásakor teljesített első konverziót (rövid lábat) nem kell jelenteni a derivatív táblákban. Az „</w:t>
      </w:r>
      <w:proofErr w:type="spellStart"/>
      <w:r w:rsidRPr="00913BBC">
        <w:rPr>
          <w:rFonts w:ascii="Calibri" w:hAnsi="Calibri" w:cs="Arial"/>
          <w:sz w:val="22"/>
          <w:szCs w:val="22"/>
        </w:rPr>
        <w:t>overnight</w:t>
      </w:r>
      <w:proofErr w:type="spellEnd"/>
      <w:r w:rsidRPr="00913BBC">
        <w:rPr>
          <w:rFonts w:ascii="Calibri" w:hAnsi="Calibri" w:cs="Arial"/>
          <w:sz w:val="22"/>
          <w:szCs w:val="22"/>
        </w:rPr>
        <w:t xml:space="preserve"> (O/N: az üzletkötés napján: rövid láb, az azt követő napon: hosszú láb), valamint a „</w:t>
      </w:r>
      <w:proofErr w:type="spellStart"/>
      <w:r w:rsidRPr="00913BBC">
        <w:rPr>
          <w:rFonts w:ascii="Calibri" w:hAnsi="Calibri" w:cs="Arial"/>
          <w:sz w:val="22"/>
          <w:szCs w:val="22"/>
        </w:rPr>
        <w:t>tomorrow</w:t>
      </w:r>
      <w:proofErr w:type="spellEnd"/>
      <w:r w:rsidRPr="00913BBC">
        <w:rPr>
          <w:rFonts w:ascii="Calibri" w:hAnsi="Calibri" w:cs="Arial"/>
          <w:sz w:val="22"/>
          <w:szCs w:val="22"/>
        </w:rPr>
        <w:t>/</w:t>
      </w:r>
      <w:proofErr w:type="spellStart"/>
      <w:r w:rsidRPr="00913BBC">
        <w:rPr>
          <w:rFonts w:ascii="Calibri" w:hAnsi="Calibri" w:cs="Arial"/>
          <w:sz w:val="22"/>
          <w:szCs w:val="22"/>
        </w:rPr>
        <w:t>next</w:t>
      </w:r>
      <w:proofErr w:type="spellEnd"/>
      <w:r w:rsidRPr="00913BBC">
        <w:rPr>
          <w:rFonts w:ascii="Calibri" w:hAnsi="Calibri" w:cs="Arial"/>
          <w:sz w:val="22"/>
          <w:szCs w:val="22"/>
        </w:rPr>
        <w:t xml:space="preserve"> </w:t>
      </w:r>
      <w:proofErr w:type="spellStart"/>
      <w:r w:rsidRPr="00913BBC">
        <w:rPr>
          <w:rFonts w:ascii="Calibri" w:hAnsi="Calibri" w:cs="Arial"/>
          <w:sz w:val="22"/>
          <w:szCs w:val="22"/>
        </w:rPr>
        <w:t>day</w:t>
      </w:r>
      <w:proofErr w:type="spellEnd"/>
      <w:r w:rsidRPr="00913BBC">
        <w:rPr>
          <w:rFonts w:ascii="Calibri" w:hAnsi="Calibri" w:cs="Arial"/>
          <w:sz w:val="22"/>
          <w:szCs w:val="22"/>
        </w:rPr>
        <w:t xml:space="preserve">” (T/N: az üzletkötést követő napon: rövid láb, valamint az azt követő napon: hosszú láb) </w:t>
      </w:r>
      <w:proofErr w:type="spellStart"/>
      <w:r w:rsidRPr="00913BBC">
        <w:rPr>
          <w:rFonts w:ascii="Calibri" w:hAnsi="Calibri" w:cs="Arial"/>
          <w:sz w:val="22"/>
          <w:szCs w:val="22"/>
        </w:rPr>
        <w:t>swap</w:t>
      </w:r>
      <w:proofErr w:type="spellEnd"/>
      <w:r w:rsidRPr="00913BBC">
        <w:rPr>
          <w:rFonts w:ascii="Calibri" w:hAnsi="Calibri" w:cs="Arial"/>
          <w:sz w:val="22"/>
          <w:szCs w:val="22"/>
        </w:rPr>
        <w:t xml:space="preserve"> ügyletek miatti pozíciós és tranzakciós adatok (hosszú láb) szintén e táblákban jelentendők.</w:t>
      </w:r>
    </w:p>
    <w:p w:rsidR="004366CA" w:rsidRPr="00913BBC" w:rsidRDefault="004366CA">
      <w:pPr>
        <w:ind w:left="360"/>
        <w:jc w:val="both"/>
        <w:rPr>
          <w:rFonts w:ascii="Calibri" w:hAnsi="Calibri" w:cs="Garamond"/>
          <w:b/>
          <w:i/>
          <w:color w:val="000000"/>
          <w:sz w:val="22"/>
          <w:szCs w:val="22"/>
          <w:u w:val="single"/>
        </w:rPr>
      </w:pPr>
    </w:p>
    <w:p w:rsidR="004366CA" w:rsidRPr="00913BBC" w:rsidRDefault="004366CA">
      <w:pPr>
        <w:autoSpaceDE w:val="0"/>
        <w:autoSpaceDN w:val="0"/>
        <w:adjustRightInd w:val="0"/>
        <w:ind w:left="708"/>
        <w:jc w:val="both"/>
        <w:rPr>
          <w:rFonts w:ascii="Calibri" w:hAnsi="Calibri"/>
          <w:sz w:val="22"/>
          <w:szCs w:val="22"/>
        </w:rPr>
      </w:pPr>
      <w:r w:rsidRPr="00913BBC">
        <w:rPr>
          <w:rFonts w:ascii="Calibri" w:hAnsi="Calibri"/>
          <w:sz w:val="22"/>
          <w:szCs w:val="22"/>
        </w:rPr>
        <w:t xml:space="preserve">A </w:t>
      </w:r>
      <w:proofErr w:type="spellStart"/>
      <w:r w:rsidRPr="00913BBC">
        <w:rPr>
          <w:rFonts w:ascii="Calibri" w:hAnsi="Calibri"/>
          <w:sz w:val="22"/>
          <w:szCs w:val="22"/>
        </w:rPr>
        <w:t>kamatswap</w:t>
      </w:r>
      <w:proofErr w:type="spellEnd"/>
      <w:r w:rsidRPr="00913BBC">
        <w:rPr>
          <w:rFonts w:ascii="Calibri" w:hAnsi="Calibri"/>
          <w:sz w:val="22"/>
          <w:szCs w:val="22"/>
        </w:rPr>
        <w:t xml:space="preserve"> és kereszt-deviza kamatláb </w:t>
      </w:r>
      <w:proofErr w:type="spellStart"/>
      <w:r w:rsidRPr="00913BBC">
        <w:rPr>
          <w:rFonts w:ascii="Calibri" w:hAnsi="Calibri"/>
          <w:sz w:val="22"/>
          <w:szCs w:val="22"/>
        </w:rPr>
        <w:t>swap</w:t>
      </w:r>
      <w:proofErr w:type="spellEnd"/>
      <w:r w:rsidRPr="00913BBC">
        <w:rPr>
          <w:rFonts w:ascii="Calibri" w:hAnsi="Calibri"/>
          <w:sz w:val="22"/>
          <w:szCs w:val="22"/>
        </w:rPr>
        <w:t xml:space="preserve"> esetében az ügylet élettartama alatt a kamatfizetést és a kamat bevételt tranzakcióként kell jelenteni, az ügylet nyitó pozíciója szerinti táblában. </w:t>
      </w:r>
    </w:p>
    <w:p w:rsidR="004366CA" w:rsidRPr="00913BBC" w:rsidRDefault="004366CA">
      <w:pPr>
        <w:autoSpaceDE w:val="0"/>
        <w:autoSpaceDN w:val="0"/>
        <w:adjustRightInd w:val="0"/>
        <w:ind w:left="708"/>
        <w:jc w:val="both"/>
        <w:rPr>
          <w:rFonts w:ascii="Calibri" w:hAnsi="Calibri"/>
          <w:sz w:val="22"/>
          <w:szCs w:val="22"/>
        </w:rPr>
      </w:pPr>
    </w:p>
    <w:p w:rsidR="004366CA" w:rsidRPr="00913BBC" w:rsidRDefault="004366CA">
      <w:pPr>
        <w:autoSpaceDE w:val="0"/>
        <w:autoSpaceDN w:val="0"/>
        <w:adjustRightInd w:val="0"/>
        <w:ind w:left="708"/>
        <w:jc w:val="both"/>
        <w:rPr>
          <w:rFonts w:ascii="Calibri" w:hAnsi="Calibri" w:cs="Arial"/>
          <w:sz w:val="22"/>
          <w:szCs w:val="22"/>
        </w:rPr>
      </w:pPr>
      <w:r w:rsidRPr="00913BBC">
        <w:rPr>
          <w:rFonts w:ascii="Calibri" w:hAnsi="Calibri"/>
          <w:sz w:val="22"/>
          <w:szCs w:val="22"/>
        </w:rPr>
        <w:t xml:space="preserve">A tranzakciók között kell jelenteni minden egyéb, a </w:t>
      </w:r>
      <w:proofErr w:type="spellStart"/>
      <w:r w:rsidRPr="00913BBC">
        <w:rPr>
          <w:rFonts w:ascii="Calibri" w:hAnsi="Calibri"/>
          <w:sz w:val="22"/>
          <w:szCs w:val="22"/>
        </w:rPr>
        <w:t>swap</w:t>
      </w:r>
      <w:proofErr w:type="spellEnd"/>
      <w:r w:rsidRPr="00913BBC">
        <w:rPr>
          <w:rFonts w:ascii="Calibri" w:hAnsi="Calibri"/>
          <w:sz w:val="22"/>
          <w:szCs w:val="22"/>
        </w:rPr>
        <w:t xml:space="preserve"> ügyletek futamideje alatt a megállapodás alapján</w:t>
      </w:r>
      <w:r w:rsidR="00657E89" w:rsidRPr="00913BBC">
        <w:rPr>
          <w:rFonts w:ascii="Calibri" w:hAnsi="Calibri"/>
          <w:sz w:val="22"/>
          <w:szCs w:val="22"/>
        </w:rPr>
        <w:t xml:space="preserve"> esetleg </w:t>
      </w:r>
      <w:r w:rsidRPr="00913BBC">
        <w:rPr>
          <w:rFonts w:ascii="Calibri" w:hAnsi="Calibri"/>
          <w:sz w:val="22"/>
          <w:szCs w:val="22"/>
        </w:rPr>
        <w:t>teljesített</w:t>
      </w:r>
      <w:r w:rsidR="00657E89" w:rsidRPr="00913BBC">
        <w:rPr>
          <w:rFonts w:ascii="Calibri" w:hAnsi="Calibri"/>
          <w:sz w:val="22"/>
          <w:szCs w:val="22"/>
        </w:rPr>
        <w:t xml:space="preserve"> </w:t>
      </w:r>
      <w:r w:rsidRPr="00913BBC">
        <w:rPr>
          <w:rFonts w:ascii="Calibri" w:hAnsi="Calibri"/>
          <w:sz w:val="22"/>
          <w:szCs w:val="22"/>
        </w:rPr>
        <w:t xml:space="preserve">fizetést is. </w:t>
      </w:r>
    </w:p>
    <w:p w:rsidR="004366CA" w:rsidRPr="00913BBC" w:rsidRDefault="004366CA">
      <w:pPr>
        <w:pStyle w:val="BodyText"/>
        <w:rPr>
          <w:rFonts w:ascii="Calibri" w:hAnsi="Calibri"/>
          <w:b/>
          <w:bCs/>
          <w:sz w:val="22"/>
          <w:szCs w:val="22"/>
        </w:rPr>
      </w:pPr>
      <w:bookmarkStart w:id="41" w:name="_Toc122850671"/>
    </w:p>
    <w:p w:rsidR="004366CA" w:rsidRPr="00913BBC" w:rsidRDefault="004366CA">
      <w:pPr>
        <w:pStyle w:val="BodyText"/>
        <w:rPr>
          <w:rFonts w:ascii="Calibri" w:hAnsi="Calibri"/>
          <w:bCs/>
          <w:sz w:val="22"/>
          <w:szCs w:val="22"/>
        </w:rPr>
      </w:pPr>
      <w:r w:rsidRPr="00913BBC">
        <w:rPr>
          <w:rFonts w:ascii="Calibri" w:hAnsi="Calibri"/>
          <w:bCs/>
          <w:sz w:val="22"/>
          <w:szCs w:val="22"/>
        </w:rPr>
        <w:t xml:space="preserve">e.) Egyéb pénzügyi </w:t>
      </w:r>
      <w:proofErr w:type="spellStart"/>
      <w:r w:rsidRPr="00913BBC">
        <w:rPr>
          <w:rFonts w:ascii="Calibri" w:hAnsi="Calibri"/>
          <w:bCs/>
          <w:sz w:val="22"/>
          <w:szCs w:val="22"/>
        </w:rPr>
        <w:t>derivatívák</w:t>
      </w:r>
      <w:proofErr w:type="spellEnd"/>
      <w:r w:rsidRPr="00913BBC">
        <w:rPr>
          <w:rFonts w:ascii="Calibri" w:hAnsi="Calibri"/>
          <w:bCs/>
          <w:sz w:val="22"/>
          <w:szCs w:val="22"/>
        </w:rPr>
        <w:t>:</w:t>
      </w:r>
      <w:bookmarkEnd w:id="41"/>
    </w:p>
    <w:p w:rsidR="004366CA" w:rsidRPr="00913BBC" w:rsidRDefault="004366CA">
      <w:pPr>
        <w:rPr>
          <w:rFonts w:ascii="Calibri" w:hAnsi="Calibri"/>
          <w:sz w:val="22"/>
          <w:szCs w:val="22"/>
        </w:rPr>
      </w:pPr>
    </w:p>
    <w:p w:rsidR="00BD3DB1" w:rsidRPr="00913BBC" w:rsidRDefault="00BD3DB1" w:rsidP="00BD3DB1">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Ezen instrumentum kód alatt kell jelenteni mindazon pénzügyi derivatív ügyleteket, amelyek máshova nem kerültek </w:t>
      </w:r>
      <w:proofErr w:type="gramStart"/>
      <w:r w:rsidRPr="00913BBC">
        <w:rPr>
          <w:rFonts w:ascii="Calibri" w:hAnsi="Calibri"/>
          <w:snapToGrid w:val="0"/>
          <w:sz w:val="22"/>
          <w:szCs w:val="22"/>
          <w:lang w:eastAsia="en-US"/>
        </w:rPr>
        <w:t>besorolásra  (</w:t>
      </w:r>
      <w:proofErr w:type="gramEnd"/>
      <w:r w:rsidRPr="00913BBC">
        <w:rPr>
          <w:rFonts w:ascii="Calibri" w:hAnsi="Calibri"/>
          <w:snapToGrid w:val="0"/>
          <w:sz w:val="22"/>
          <w:szCs w:val="22"/>
          <w:lang w:eastAsia="en-US"/>
        </w:rPr>
        <w:t xml:space="preserve">pl. a külföldi partnerekkel kötött határidős kamatláb megállapodások (FRA), a határidős betétek vásárlásai és eladásai, a </w:t>
      </w:r>
      <w:proofErr w:type="spellStart"/>
      <w:r w:rsidRPr="00913BBC">
        <w:rPr>
          <w:rFonts w:ascii="Calibri" w:hAnsi="Calibri"/>
          <w:snapToGrid w:val="0"/>
          <w:sz w:val="22"/>
          <w:szCs w:val="22"/>
          <w:lang w:eastAsia="en-US"/>
        </w:rPr>
        <w:t>hitelderivatívák</w:t>
      </w:r>
      <w:proofErr w:type="spellEnd"/>
      <w:r w:rsidRPr="00913BBC">
        <w:rPr>
          <w:rFonts w:ascii="Calibri" w:hAnsi="Calibri"/>
          <w:snapToGrid w:val="0"/>
          <w:sz w:val="22"/>
          <w:szCs w:val="22"/>
          <w:lang w:eastAsia="en-US"/>
        </w:rPr>
        <w:t xml:space="preserve"> </w:t>
      </w:r>
      <w:r w:rsidRPr="00913BBC">
        <w:rPr>
          <w:rFonts w:ascii="Calibri" w:hAnsi="Calibri"/>
          <w:snapToGrid w:val="0"/>
          <w:sz w:val="22"/>
          <w:szCs w:val="22"/>
          <w:lang w:eastAsia="en-US"/>
        </w:rPr>
        <w:lastRenderedPageBreak/>
        <w:t xml:space="preserve">különböző fajtái), továbbá, amelyek esetében a mögöttes termék valamilyen reál ügylet, pl. </w:t>
      </w:r>
      <w:proofErr w:type="spellStart"/>
      <w:r w:rsidRPr="00913BBC">
        <w:rPr>
          <w:rFonts w:ascii="Calibri" w:hAnsi="Calibri"/>
          <w:snapToGrid w:val="0"/>
          <w:sz w:val="22"/>
          <w:szCs w:val="22"/>
          <w:lang w:eastAsia="en-US"/>
        </w:rPr>
        <w:t>forward</w:t>
      </w:r>
      <w:proofErr w:type="spellEnd"/>
      <w:r w:rsidRPr="00913BBC">
        <w:rPr>
          <w:rFonts w:ascii="Calibri" w:hAnsi="Calibri"/>
          <w:snapToGrid w:val="0"/>
          <w:sz w:val="22"/>
          <w:szCs w:val="22"/>
          <w:lang w:eastAsia="en-US"/>
        </w:rPr>
        <w:t xml:space="preserve"> nemesfém-ügyletek, határidős értékpapír, illetve áruügyletek).</w:t>
      </w:r>
    </w:p>
    <w:p w:rsidR="00BD3DB1" w:rsidRPr="00913BBC" w:rsidRDefault="00BD3DB1" w:rsidP="00BD3DB1">
      <w:pPr>
        <w:rPr>
          <w:rFonts w:ascii="Calibri" w:hAnsi="Calibri"/>
          <w:sz w:val="22"/>
          <w:szCs w:val="22"/>
        </w:rPr>
      </w:pPr>
    </w:p>
    <w:p w:rsidR="00BD3DB1" w:rsidRPr="00913BBC" w:rsidRDefault="00BD3DB1" w:rsidP="00BD3DB1">
      <w:pPr>
        <w:ind w:left="720"/>
        <w:jc w:val="both"/>
        <w:rPr>
          <w:rFonts w:ascii="Calibri" w:hAnsi="Calibri"/>
          <w:snapToGrid w:val="0"/>
          <w:sz w:val="22"/>
          <w:szCs w:val="22"/>
          <w:lang w:eastAsia="en-US"/>
        </w:rPr>
      </w:pPr>
      <w:r w:rsidRPr="00913BBC">
        <w:rPr>
          <w:rFonts w:ascii="Calibri" w:hAnsi="Calibri"/>
          <w:b/>
          <w:snapToGrid w:val="0"/>
          <w:sz w:val="22"/>
          <w:szCs w:val="22"/>
          <w:lang w:eastAsia="en-US"/>
        </w:rPr>
        <w:t>FRA ügyletek</w:t>
      </w:r>
      <w:r w:rsidRPr="00913BBC">
        <w:rPr>
          <w:rFonts w:ascii="Calibri" w:hAnsi="Calibri"/>
          <w:snapToGrid w:val="0"/>
          <w:sz w:val="22"/>
          <w:szCs w:val="22"/>
          <w:lang w:eastAsia="en-US"/>
        </w:rPr>
        <w:t xml:space="preserve"> (Határidős kamatláb megállapodások): </w:t>
      </w:r>
    </w:p>
    <w:p w:rsidR="00BD3DB1" w:rsidRPr="00913BBC" w:rsidRDefault="00BD3DB1" w:rsidP="00BD3DB1">
      <w:pPr>
        <w:ind w:left="720"/>
        <w:jc w:val="both"/>
        <w:rPr>
          <w:rFonts w:ascii="Calibri" w:hAnsi="Calibri"/>
          <w:snapToGrid w:val="0"/>
          <w:sz w:val="22"/>
          <w:szCs w:val="22"/>
          <w:lang w:eastAsia="en-US"/>
        </w:rPr>
      </w:pPr>
    </w:p>
    <w:p w:rsidR="00BD3DB1" w:rsidRPr="00913BBC" w:rsidRDefault="00BD3DB1" w:rsidP="00BD3DB1">
      <w:pPr>
        <w:ind w:left="720"/>
        <w:jc w:val="both"/>
        <w:rPr>
          <w:rFonts w:ascii="Calibri" w:hAnsi="Calibri"/>
          <w:snapToGrid w:val="0"/>
          <w:sz w:val="22"/>
          <w:szCs w:val="22"/>
          <w:lang w:eastAsia="en-US"/>
        </w:rPr>
      </w:pPr>
      <w:r w:rsidRPr="00913BBC">
        <w:rPr>
          <w:rFonts w:ascii="Calibri" w:hAnsi="Calibri"/>
          <w:snapToGrid w:val="0"/>
          <w:sz w:val="22"/>
          <w:szCs w:val="22"/>
          <w:lang w:eastAsia="en-US"/>
        </w:rPr>
        <w:t xml:space="preserve">Az FRA ügylet egy, a megállapodásban meghatározott jövőbeli időpontban, meghatározott (többnyire névleges) összeg után a szerződésben megszabott kamatlábbal (ez értelemszerűen egy változó, valamilyen piacon időszakonként fixált kamatláb) számított kamatösszegre szól.  </w:t>
      </w:r>
    </w:p>
    <w:p w:rsidR="00BD3DB1" w:rsidRPr="00913BBC" w:rsidRDefault="00BD3DB1" w:rsidP="00BD3DB1">
      <w:pPr>
        <w:ind w:left="720"/>
        <w:jc w:val="both"/>
        <w:rPr>
          <w:rFonts w:ascii="Calibri" w:hAnsi="Calibri"/>
          <w:snapToGrid w:val="0"/>
          <w:sz w:val="22"/>
          <w:szCs w:val="22"/>
          <w:lang w:eastAsia="en-US"/>
        </w:rPr>
      </w:pPr>
    </w:p>
    <w:p w:rsidR="00BD3DB1" w:rsidRPr="00913BBC" w:rsidRDefault="00BD3DB1" w:rsidP="00BD3DB1">
      <w:pPr>
        <w:ind w:left="720"/>
        <w:jc w:val="both"/>
        <w:rPr>
          <w:rFonts w:ascii="Calibri" w:hAnsi="Calibri"/>
          <w:snapToGrid w:val="0"/>
          <w:sz w:val="22"/>
          <w:szCs w:val="22"/>
          <w:lang w:eastAsia="en-US"/>
        </w:rPr>
      </w:pPr>
      <w:r w:rsidRPr="00913BBC">
        <w:rPr>
          <w:rFonts w:ascii="Calibri" w:hAnsi="Calibri"/>
          <w:snapToGrid w:val="0"/>
          <w:sz w:val="22"/>
          <w:szCs w:val="22"/>
          <w:lang w:eastAsia="en-US"/>
        </w:rPr>
        <w:t>Tapasztalataink szerint Magyarországon az FRA ügyletek túlnyomó részénél az esedékes fizetések értékkülönbözet elszámolással történnek, vagyis a teljesítés időintervallumára érvényes kamatláb meghirdetésekor (ezt nevezik fixingnek, pl. a tőzsdén ebben az időpontban hirdetik meg a következő havi, három havi stb. betét-periódusokra jegyezhető kamatlábakat) kiszámítják ezen aktuális piaci, illetve az FRA szerződésben meghatározott kamatlábbal a mögöttes névleges kötelezettség összege után járó kamatösszegeket, s csupán ezek különbözetét rendezik, aszerint, hogy negatív, vagy pozitív különbözet adódik. A fizetés is ezen időpontban, vagyis fixingkor történik, nem pedig a mögöttes termék (vagyis egy hitel-betét összeg) megadott kamatfizetési időpontjaiban.</w:t>
      </w:r>
    </w:p>
    <w:p w:rsidR="00BD3DB1" w:rsidRPr="00913BBC" w:rsidRDefault="00BD3DB1" w:rsidP="00BD3DB1">
      <w:pPr>
        <w:ind w:left="720"/>
        <w:jc w:val="both"/>
        <w:rPr>
          <w:rFonts w:ascii="Calibri" w:hAnsi="Calibri"/>
          <w:snapToGrid w:val="0"/>
          <w:sz w:val="22"/>
          <w:szCs w:val="22"/>
          <w:lang w:eastAsia="en-US"/>
        </w:rPr>
      </w:pPr>
    </w:p>
    <w:p w:rsidR="00BD3DB1" w:rsidRPr="00913BBC" w:rsidRDefault="00BD3DB1" w:rsidP="00BD3DB1">
      <w:pPr>
        <w:ind w:left="720"/>
        <w:jc w:val="both"/>
        <w:rPr>
          <w:rFonts w:ascii="Calibri" w:hAnsi="Calibri"/>
          <w:snapToGrid w:val="0"/>
          <w:sz w:val="22"/>
          <w:szCs w:val="22"/>
          <w:lang w:eastAsia="en-US"/>
        </w:rPr>
      </w:pPr>
      <w:r w:rsidRPr="00913BBC">
        <w:rPr>
          <w:rFonts w:ascii="Calibri" w:hAnsi="Calibri"/>
          <w:snapToGrid w:val="0"/>
          <w:sz w:val="22"/>
          <w:szCs w:val="22"/>
          <w:lang w:eastAsia="en-US"/>
        </w:rPr>
        <w:t>Az ügyletek piaci értéke futamidő alatt valamely időpontban úgy állapítható meg, hogy kiszámítják a szerződésben szereplő időszakra vonatkozóan a megadott piacon a kiértékelés időpontjában jegyzett kamatláb és a szerződés szerinti kamatláb közötti különbséget, s e kamatkülönbözet nettó jelenértéke teszi ki az adatszolgáltatónak a kiértékelés alapján várható fizető, vagy kedvezményezett pozíciója szerint az ügylet pozitív, vagy negatív piaci értékét.</w:t>
      </w:r>
    </w:p>
    <w:p w:rsidR="00BD3DB1" w:rsidRPr="00913BBC" w:rsidRDefault="00BD3DB1" w:rsidP="00BD3DB1">
      <w:pPr>
        <w:ind w:left="720"/>
        <w:jc w:val="both"/>
        <w:rPr>
          <w:rFonts w:ascii="Calibri" w:hAnsi="Calibri"/>
          <w:b/>
          <w:snapToGrid w:val="0"/>
          <w:sz w:val="22"/>
          <w:szCs w:val="22"/>
          <w:lang w:eastAsia="en-US"/>
        </w:rPr>
      </w:pPr>
    </w:p>
    <w:p w:rsidR="004366CA" w:rsidRPr="00913BBC" w:rsidRDefault="004366CA">
      <w:pPr>
        <w:ind w:left="720"/>
        <w:jc w:val="both"/>
        <w:rPr>
          <w:rFonts w:ascii="Calibri" w:hAnsi="Calibri"/>
          <w:b/>
          <w:snapToGrid w:val="0"/>
          <w:sz w:val="22"/>
          <w:szCs w:val="22"/>
          <w:lang w:eastAsia="en-US"/>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Időszak eleji nyitó és időszak végi záró pozíció:</w:t>
      </w:r>
    </w:p>
    <w:p w:rsidR="00BD3DB1" w:rsidRPr="00913BBC" w:rsidRDefault="00BD3DB1">
      <w:pPr>
        <w:ind w:left="720"/>
        <w:jc w:val="both"/>
        <w:rPr>
          <w:rFonts w:ascii="Calibri" w:hAnsi="Calibri"/>
          <w:sz w:val="22"/>
          <w:szCs w:val="22"/>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Az adatszolgáltatónak a kiértékelés alapján várható fizető, vagy kedvezményezett pozíciója szerinti táblában kell az FRA ügylet országonkénti bruttó</w:t>
      </w:r>
      <w:r w:rsidRPr="00913BBC">
        <w:rPr>
          <w:rFonts w:ascii="Calibri" w:hAnsi="Calibri"/>
          <w:snapToGrid w:val="0"/>
          <w:sz w:val="22"/>
          <w:szCs w:val="22"/>
          <w:u w:val="single"/>
          <w:lang w:eastAsia="en-US"/>
        </w:rPr>
        <w:t xml:space="preserve"> </w:t>
      </w:r>
      <w:r w:rsidRPr="00913BBC">
        <w:rPr>
          <w:rFonts w:ascii="Calibri" w:hAnsi="Calibri"/>
          <w:snapToGrid w:val="0"/>
          <w:sz w:val="22"/>
          <w:szCs w:val="22"/>
          <w:lang w:eastAsia="en-US"/>
        </w:rPr>
        <w:t xml:space="preserve">piaci értékét jelenteni.      </w:t>
      </w:r>
    </w:p>
    <w:p w:rsidR="004366CA" w:rsidRPr="00913BBC" w:rsidRDefault="004366CA">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napToGrid w:val="0"/>
          <w:sz w:val="22"/>
          <w:szCs w:val="22"/>
          <w:lang w:eastAsia="en-US"/>
        </w:rPr>
      </w:pPr>
      <w:r w:rsidRPr="00913BBC">
        <w:rPr>
          <w:rFonts w:ascii="Calibri" w:hAnsi="Calibri"/>
          <w:snapToGrid w:val="0"/>
          <w:sz w:val="22"/>
          <w:szCs w:val="22"/>
          <w:lang w:eastAsia="en-US"/>
        </w:rPr>
        <w:t>Tranzakciók:</w:t>
      </w:r>
    </w:p>
    <w:p w:rsidR="00BD3DB1" w:rsidRPr="00913BBC" w:rsidRDefault="00BD3DB1">
      <w:pPr>
        <w:ind w:left="720"/>
        <w:jc w:val="both"/>
        <w:rPr>
          <w:rFonts w:ascii="Calibri" w:hAnsi="Calibri"/>
          <w:snapToGrid w:val="0"/>
          <w:sz w:val="22"/>
          <w:szCs w:val="22"/>
          <w:lang w:eastAsia="en-US"/>
        </w:rPr>
      </w:pPr>
    </w:p>
    <w:p w:rsidR="004366CA" w:rsidRPr="00913BBC" w:rsidRDefault="004366CA">
      <w:pPr>
        <w:ind w:left="720"/>
        <w:jc w:val="both"/>
        <w:rPr>
          <w:rFonts w:ascii="Calibri" w:hAnsi="Calibri"/>
          <w:sz w:val="22"/>
          <w:szCs w:val="22"/>
        </w:rPr>
      </w:pPr>
      <w:r w:rsidRPr="00913BBC">
        <w:rPr>
          <w:rFonts w:ascii="Calibri" w:hAnsi="Calibri"/>
          <w:snapToGrid w:val="0"/>
          <w:sz w:val="22"/>
          <w:szCs w:val="22"/>
          <w:lang w:eastAsia="en-US"/>
        </w:rPr>
        <w:t>Az FRA ügylet</w:t>
      </w:r>
      <w:r w:rsidR="00BD3DB1" w:rsidRPr="00913BBC">
        <w:rPr>
          <w:rFonts w:ascii="Calibri" w:hAnsi="Calibri"/>
          <w:snapToGrid w:val="0"/>
          <w:sz w:val="22"/>
          <w:szCs w:val="22"/>
          <w:lang w:eastAsia="en-US"/>
        </w:rPr>
        <w:t xml:space="preserve"> </w:t>
      </w:r>
      <w:r w:rsidRPr="00913BBC">
        <w:rPr>
          <w:rFonts w:ascii="Calibri" w:hAnsi="Calibri"/>
          <w:snapToGrid w:val="0"/>
          <w:sz w:val="22"/>
          <w:szCs w:val="22"/>
          <w:lang w:eastAsia="en-US"/>
        </w:rPr>
        <w:t>miatt fixingkor fizetett, vagy bevételezett kamatkülönbözet összegét kell a fizetés iránya szerinti táblában, országonként összesítve szerepeltetni.</w:t>
      </w:r>
    </w:p>
    <w:p w:rsidR="004366CA" w:rsidRPr="00913BBC" w:rsidRDefault="004366CA">
      <w:pPr>
        <w:jc w:val="both"/>
        <w:rPr>
          <w:rFonts w:ascii="Calibri" w:hAnsi="Calibri" w:cs="Garamond"/>
          <w:i/>
          <w:color w:val="000000"/>
          <w:sz w:val="22"/>
          <w:szCs w:val="22"/>
        </w:rPr>
      </w:pPr>
    </w:p>
    <w:p w:rsidR="00BD3DB1" w:rsidRPr="00913BBC" w:rsidRDefault="00BD3DB1">
      <w:pPr>
        <w:ind w:left="360"/>
        <w:jc w:val="both"/>
        <w:rPr>
          <w:rFonts w:ascii="Calibri" w:hAnsi="Calibri"/>
          <w:snapToGrid w:val="0"/>
          <w:sz w:val="22"/>
          <w:szCs w:val="22"/>
          <w:lang w:eastAsia="en-US"/>
        </w:rPr>
      </w:pPr>
    </w:p>
    <w:p w:rsidR="00BD3DB1" w:rsidRPr="00913BBC" w:rsidRDefault="00BD3DB1">
      <w:pPr>
        <w:ind w:left="360"/>
        <w:jc w:val="both"/>
        <w:rPr>
          <w:rFonts w:ascii="Calibri" w:hAnsi="Calibri"/>
          <w:snapToGrid w:val="0"/>
          <w:sz w:val="22"/>
          <w:szCs w:val="22"/>
          <w:lang w:eastAsia="en-US"/>
        </w:rPr>
      </w:pPr>
    </w:p>
    <w:p w:rsidR="00BD3DB1" w:rsidRPr="00913BBC" w:rsidRDefault="00BD3DB1">
      <w:pPr>
        <w:ind w:left="360"/>
        <w:jc w:val="both"/>
        <w:rPr>
          <w:rFonts w:ascii="Calibri" w:hAnsi="Calibri"/>
          <w:snapToGrid w:val="0"/>
          <w:sz w:val="22"/>
          <w:szCs w:val="22"/>
          <w:lang w:eastAsia="en-US"/>
        </w:rPr>
      </w:pPr>
    </w:p>
    <w:p w:rsidR="00BD3DB1" w:rsidRPr="00913BBC" w:rsidRDefault="00BD3DB1">
      <w:pPr>
        <w:ind w:left="360"/>
        <w:jc w:val="both"/>
        <w:rPr>
          <w:rFonts w:ascii="Calibri" w:hAnsi="Calibri"/>
          <w:snapToGrid w:val="0"/>
          <w:sz w:val="22"/>
          <w:szCs w:val="22"/>
          <w:lang w:eastAsia="en-US"/>
        </w:rPr>
      </w:pPr>
    </w:p>
    <w:p w:rsidR="004366CA" w:rsidRPr="00913BBC" w:rsidRDefault="004366CA">
      <w:pPr>
        <w:ind w:left="360"/>
        <w:jc w:val="both"/>
        <w:rPr>
          <w:rFonts w:ascii="Calibri" w:hAnsi="Calibri"/>
          <w:sz w:val="22"/>
          <w:szCs w:val="22"/>
        </w:rPr>
      </w:pPr>
      <w:r w:rsidRPr="00913BBC">
        <w:rPr>
          <w:rFonts w:ascii="Calibri" w:hAnsi="Calibri"/>
          <w:snapToGrid w:val="0"/>
          <w:sz w:val="22"/>
          <w:szCs w:val="22"/>
          <w:lang w:eastAsia="en-US"/>
        </w:rPr>
        <w:t>Devizától, valutától eltérő mögöttes termék</w:t>
      </w:r>
      <w:r w:rsidRPr="00913BBC">
        <w:rPr>
          <w:rFonts w:ascii="Calibri" w:hAnsi="Calibri"/>
          <w:sz w:val="22"/>
          <w:szCs w:val="22"/>
        </w:rPr>
        <w:t xml:space="preserve"> esetében: </w:t>
      </w:r>
    </w:p>
    <w:p w:rsidR="00627AE3" w:rsidRPr="00913BBC" w:rsidRDefault="00627AE3">
      <w:pPr>
        <w:ind w:left="360"/>
        <w:jc w:val="both"/>
        <w:rPr>
          <w:rFonts w:ascii="Calibri" w:hAnsi="Calibri"/>
          <w:sz w:val="22"/>
          <w:szCs w:val="22"/>
        </w:rPr>
      </w:pPr>
    </w:p>
    <w:p w:rsidR="00627AE3" w:rsidRPr="00913BBC" w:rsidRDefault="00627AE3" w:rsidP="00627AE3">
      <w:pPr>
        <w:ind w:left="360"/>
        <w:jc w:val="both"/>
        <w:rPr>
          <w:rFonts w:ascii="Calibri" w:hAnsi="Calibri"/>
          <w:sz w:val="22"/>
          <w:szCs w:val="22"/>
        </w:rPr>
      </w:pPr>
      <w:r w:rsidRPr="00913BBC">
        <w:rPr>
          <w:rFonts w:ascii="Calibri" w:hAnsi="Calibri"/>
          <w:sz w:val="22"/>
          <w:szCs w:val="22"/>
        </w:rPr>
        <w:t xml:space="preserve">Határidős reál termék vásárlása, eladása esetében a jelentés módja megegyezik a </w:t>
      </w:r>
      <w:proofErr w:type="spellStart"/>
      <w:r w:rsidRPr="00913BBC">
        <w:rPr>
          <w:rFonts w:ascii="Calibri" w:hAnsi="Calibri"/>
          <w:sz w:val="22"/>
          <w:szCs w:val="22"/>
        </w:rPr>
        <w:t>forward</w:t>
      </w:r>
      <w:proofErr w:type="spellEnd"/>
      <w:r w:rsidRPr="00913BBC">
        <w:rPr>
          <w:rFonts w:ascii="Calibri" w:hAnsi="Calibri"/>
          <w:sz w:val="22"/>
          <w:szCs w:val="22"/>
        </w:rPr>
        <w:t xml:space="preserve"> ügyletek jelentésének módjával, beleértve a pozíciós adatok jelentését is. Eltérés a tranzakciók esetében is kizárólag a leszállításos ügyleteknél van, hiszen elszámolásos ügyletek esetében is lezáráskor csak a nyereség, veszteség jelentését kérjük a DER táblákban, vagyis a </w:t>
      </w:r>
      <w:proofErr w:type="spellStart"/>
      <w:r w:rsidRPr="00913BBC">
        <w:rPr>
          <w:rFonts w:ascii="Calibri" w:hAnsi="Calibri"/>
          <w:sz w:val="22"/>
          <w:szCs w:val="22"/>
        </w:rPr>
        <w:t>forward</w:t>
      </w:r>
      <w:proofErr w:type="spellEnd"/>
      <w:r w:rsidRPr="00913BBC">
        <w:rPr>
          <w:rFonts w:ascii="Calibri" w:hAnsi="Calibri"/>
          <w:sz w:val="22"/>
          <w:szCs w:val="22"/>
        </w:rPr>
        <w:t xml:space="preserve"> ügyletekével megegyező módon. </w:t>
      </w:r>
    </w:p>
    <w:p w:rsidR="00627AE3" w:rsidRPr="00913BBC" w:rsidRDefault="00627AE3" w:rsidP="00627AE3">
      <w:pPr>
        <w:ind w:left="360"/>
        <w:jc w:val="both"/>
        <w:rPr>
          <w:rFonts w:ascii="Calibri" w:hAnsi="Calibri"/>
          <w:sz w:val="22"/>
          <w:szCs w:val="22"/>
        </w:rPr>
      </w:pPr>
    </w:p>
    <w:p w:rsidR="004366CA" w:rsidRPr="00913BBC" w:rsidRDefault="004366CA" w:rsidP="00627AE3">
      <w:pPr>
        <w:ind w:left="360"/>
        <w:jc w:val="both"/>
        <w:rPr>
          <w:rFonts w:ascii="Calibri" w:hAnsi="Calibri"/>
          <w:snapToGrid w:val="0"/>
          <w:sz w:val="22"/>
          <w:szCs w:val="22"/>
          <w:lang w:eastAsia="en-US"/>
        </w:rPr>
      </w:pPr>
      <w:r w:rsidRPr="00913BBC">
        <w:rPr>
          <w:rFonts w:ascii="Calibri" w:hAnsi="Calibri"/>
          <w:snapToGrid w:val="0"/>
          <w:sz w:val="22"/>
          <w:szCs w:val="22"/>
          <w:lang w:eastAsia="en-US"/>
        </w:rPr>
        <w:t xml:space="preserve">Amennyiben egy pénzügyi </w:t>
      </w:r>
      <w:proofErr w:type="spellStart"/>
      <w:r w:rsidRPr="00913BBC">
        <w:rPr>
          <w:rFonts w:ascii="Calibri" w:hAnsi="Calibri"/>
          <w:snapToGrid w:val="0"/>
          <w:sz w:val="22"/>
          <w:szCs w:val="22"/>
          <w:lang w:eastAsia="en-US"/>
        </w:rPr>
        <w:t>derivatíva</w:t>
      </w:r>
      <w:proofErr w:type="spellEnd"/>
      <w:r w:rsidRPr="00913BBC">
        <w:rPr>
          <w:rFonts w:ascii="Calibri" w:hAnsi="Calibri"/>
          <w:snapToGrid w:val="0"/>
          <w:sz w:val="22"/>
          <w:szCs w:val="22"/>
          <w:lang w:eastAsia="en-US"/>
        </w:rPr>
        <w:t xml:space="preserve"> ügylet az alapul szolgáló valamely reál termék tényleges leszállításával jár, e táblákban </w:t>
      </w:r>
      <w:proofErr w:type="spellStart"/>
      <w:r w:rsidRPr="00913BBC">
        <w:rPr>
          <w:rFonts w:ascii="Calibri" w:hAnsi="Calibri"/>
          <w:snapToGrid w:val="0"/>
          <w:sz w:val="22"/>
          <w:szCs w:val="22"/>
          <w:lang w:eastAsia="en-US"/>
        </w:rPr>
        <w:t>derivatíva</w:t>
      </w:r>
      <w:proofErr w:type="spellEnd"/>
      <w:r w:rsidRPr="00913BBC">
        <w:rPr>
          <w:rFonts w:ascii="Calibri" w:hAnsi="Calibri"/>
          <w:snapToGrid w:val="0"/>
          <w:sz w:val="22"/>
          <w:szCs w:val="22"/>
          <w:lang w:eastAsia="en-US"/>
        </w:rPr>
        <w:t xml:space="preserve"> tranzakcióként csak a mögöttes termék aktuális piaci ára </w:t>
      </w:r>
      <w:r w:rsidRPr="00913BBC">
        <w:rPr>
          <w:rFonts w:ascii="Calibri" w:hAnsi="Calibri"/>
          <w:snapToGrid w:val="0"/>
          <w:sz w:val="22"/>
          <w:szCs w:val="22"/>
          <w:lang w:eastAsia="en-US"/>
        </w:rPr>
        <w:lastRenderedPageBreak/>
        <w:t>és a szerződéses (kötési) ára közötti különbözeteket kell jelenteni az adatszolgáltató szempontjából nézve bevételként, vagy kiadásként, az iránynak megfelelő táblában</w:t>
      </w:r>
      <w:r w:rsidR="00627AE3" w:rsidRPr="00913BBC">
        <w:rPr>
          <w:rFonts w:ascii="Calibri" w:hAnsi="Calibri"/>
          <w:snapToGrid w:val="0"/>
          <w:sz w:val="22"/>
          <w:szCs w:val="22"/>
          <w:lang w:eastAsia="en-US"/>
        </w:rPr>
        <w:t xml:space="preserve"> (vagyis úgy, mintha elszámolásos ügylet lett volna), a reál termék eladása, vásárlása aktuális piaci áron számolt </w:t>
      </w:r>
      <w:r w:rsidRPr="00913BBC">
        <w:rPr>
          <w:rFonts w:ascii="Calibri" w:hAnsi="Calibri"/>
          <w:snapToGrid w:val="0"/>
          <w:sz w:val="22"/>
          <w:szCs w:val="22"/>
          <w:lang w:eastAsia="en-US"/>
        </w:rPr>
        <w:t>.</w:t>
      </w:r>
      <w:r w:rsidR="00627AE3" w:rsidRPr="00913BBC">
        <w:rPr>
          <w:rFonts w:ascii="Calibri" w:hAnsi="Calibri"/>
          <w:snapToGrid w:val="0"/>
          <w:sz w:val="22"/>
          <w:szCs w:val="22"/>
          <w:lang w:eastAsia="en-US"/>
        </w:rPr>
        <w:t xml:space="preserve">ellenértékét a vonatkozó statisztikákban (árustatisztika, értékpapír statisztika stb.) kell jelenteni, nem a </w:t>
      </w:r>
      <w:proofErr w:type="spellStart"/>
      <w:r w:rsidR="00627AE3" w:rsidRPr="00913BBC">
        <w:rPr>
          <w:rFonts w:ascii="Calibri" w:hAnsi="Calibri"/>
          <w:snapToGrid w:val="0"/>
          <w:sz w:val="22"/>
          <w:szCs w:val="22"/>
          <w:lang w:eastAsia="en-US"/>
        </w:rPr>
        <w:t>derivatívák</w:t>
      </w:r>
      <w:proofErr w:type="spellEnd"/>
      <w:r w:rsidR="00627AE3" w:rsidRPr="00913BBC">
        <w:rPr>
          <w:rFonts w:ascii="Calibri" w:hAnsi="Calibri"/>
          <w:snapToGrid w:val="0"/>
          <w:sz w:val="22"/>
          <w:szCs w:val="22"/>
          <w:lang w:eastAsia="en-US"/>
        </w:rPr>
        <w:t xml:space="preserve"> között.</w:t>
      </w:r>
    </w:p>
    <w:p w:rsidR="00716A9B" w:rsidRPr="00913BBC" w:rsidRDefault="00716A9B">
      <w:pPr>
        <w:spacing w:before="120"/>
        <w:jc w:val="both"/>
        <w:rPr>
          <w:rFonts w:ascii="Calibri" w:hAnsi="Calibri" w:cs="Garamond"/>
          <w:color w:val="000000"/>
          <w:sz w:val="22"/>
          <w:szCs w:val="22"/>
        </w:rPr>
      </w:pPr>
    </w:p>
    <w:p w:rsidR="004366CA" w:rsidRPr="00913BBC" w:rsidRDefault="004366CA">
      <w:pPr>
        <w:spacing w:before="120"/>
        <w:jc w:val="both"/>
        <w:rPr>
          <w:rFonts w:ascii="Calibri" w:hAnsi="Calibri" w:cs="Garamond"/>
          <w:color w:val="000000"/>
          <w:sz w:val="22"/>
          <w:szCs w:val="22"/>
        </w:rPr>
      </w:pPr>
      <w:r w:rsidRPr="00913BBC">
        <w:rPr>
          <w:rFonts w:ascii="Calibri" w:hAnsi="Calibri" w:cs="Garamond"/>
          <w:color w:val="000000"/>
          <w:sz w:val="22"/>
          <w:szCs w:val="22"/>
        </w:rPr>
        <w:t xml:space="preserve">Az e </w:t>
      </w:r>
      <w:r w:rsidR="005957B0" w:rsidRPr="00913BBC">
        <w:rPr>
          <w:rFonts w:ascii="Calibri" w:hAnsi="Calibri" w:cs="Garamond"/>
          <w:color w:val="000000"/>
          <w:sz w:val="22"/>
          <w:szCs w:val="22"/>
        </w:rPr>
        <w:t>pontban</w:t>
      </w:r>
      <w:r w:rsidRPr="00913BBC">
        <w:rPr>
          <w:rFonts w:ascii="Calibri" w:hAnsi="Calibri" w:cs="Garamond"/>
          <w:color w:val="000000"/>
          <w:sz w:val="22"/>
          <w:szCs w:val="22"/>
        </w:rPr>
        <w:t xml:space="preserve"> nem említett mezőkre vonatkozó </w:t>
      </w:r>
      <w:r w:rsidR="005957B0" w:rsidRPr="00913BBC">
        <w:rPr>
          <w:rFonts w:ascii="Calibri" w:hAnsi="Calibri" w:cs="Garamond"/>
          <w:color w:val="000000"/>
          <w:sz w:val="22"/>
          <w:szCs w:val="22"/>
        </w:rPr>
        <w:t>kitöltési előírások</w:t>
      </w:r>
      <w:r w:rsidRPr="00913BBC">
        <w:rPr>
          <w:rFonts w:ascii="Calibri" w:hAnsi="Calibri" w:cs="Garamond"/>
          <w:color w:val="000000"/>
          <w:sz w:val="22"/>
          <w:szCs w:val="22"/>
        </w:rPr>
        <w:t xml:space="preserve"> megegyeznek a II.1. </w:t>
      </w:r>
      <w:r w:rsidR="005957B0" w:rsidRPr="00913BBC">
        <w:rPr>
          <w:rFonts w:ascii="Calibri" w:hAnsi="Calibri" w:cs="Garamond"/>
          <w:color w:val="000000"/>
          <w:sz w:val="22"/>
          <w:szCs w:val="22"/>
        </w:rPr>
        <w:t>pontban</w:t>
      </w:r>
      <w:r w:rsidRPr="00913BBC">
        <w:rPr>
          <w:rFonts w:ascii="Calibri" w:hAnsi="Calibri" w:cs="Garamond"/>
          <w:color w:val="000000"/>
          <w:sz w:val="22"/>
          <w:szCs w:val="22"/>
        </w:rPr>
        <w:t xml:space="preserve"> ismertetettekkel.</w:t>
      </w:r>
    </w:p>
    <w:p w:rsidR="004366CA" w:rsidRPr="00913BBC" w:rsidRDefault="004366CA">
      <w:pPr>
        <w:spacing w:before="120"/>
        <w:jc w:val="both"/>
        <w:rPr>
          <w:rFonts w:ascii="Calibri" w:hAnsi="Calibri" w:cs="Garamond"/>
          <w:color w:val="000000"/>
          <w:sz w:val="22"/>
          <w:szCs w:val="22"/>
        </w:rPr>
      </w:pPr>
      <w:r w:rsidRPr="00913BBC">
        <w:rPr>
          <w:rFonts w:ascii="Calibri" w:hAnsi="Calibri" w:cs="Garamond"/>
          <w:color w:val="000000"/>
          <w:sz w:val="22"/>
          <w:szCs w:val="22"/>
        </w:rPr>
        <w:t xml:space="preserve">A pénzügyi </w:t>
      </w:r>
      <w:proofErr w:type="spellStart"/>
      <w:r w:rsidRPr="00913BBC">
        <w:rPr>
          <w:rFonts w:ascii="Calibri" w:hAnsi="Calibri" w:cs="Garamond"/>
          <w:color w:val="000000"/>
          <w:sz w:val="22"/>
          <w:szCs w:val="22"/>
        </w:rPr>
        <w:t>derivatívák</w:t>
      </w:r>
      <w:proofErr w:type="spellEnd"/>
      <w:r w:rsidRPr="00913BBC">
        <w:rPr>
          <w:rFonts w:ascii="Calibri" w:hAnsi="Calibri" w:cs="Garamond"/>
          <w:color w:val="000000"/>
          <w:sz w:val="22"/>
          <w:szCs w:val="22"/>
        </w:rPr>
        <w:t xml:space="preserve"> jelentéséről készült példatár e rendelet 3. mellékletének </w:t>
      </w:r>
      <w:r w:rsidR="008C3A79" w:rsidRPr="00913BBC">
        <w:rPr>
          <w:rFonts w:ascii="Calibri" w:hAnsi="Calibri" w:cs="Garamond"/>
          <w:color w:val="000000"/>
          <w:sz w:val="22"/>
          <w:szCs w:val="22"/>
        </w:rPr>
        <w:t xml:space="preserve">9. </w:t>
      </w:r>
      <w:r w:rsidRPr="00913BBC">
        <w:rPr>
          <w:rFonts w:ascii="Calibri" w:hAnsi="Calibri" w:cs="Garamond"/>
          <w:color w:val="000000"/>
          <w:sz w:val="22"/>
          <w:szCs w:val="22"/>
        </w:rPr>
        <w:t xml:space="preserve">pontja </w:t>
      </w:r>
      <w:r w:rsidR="008C3A79" w:rsidRPr="00913BBC">
        <w:rPr>
          <w:rFonts w:ascii="Calibri" w:hAnsi="Calibri" w:cs="Garamond"/>
          <w:color w:val="000000"/>
          <w:sz w:val="22"/>
          <w:szCs w:val="22"/>
        </w:rPr>
        <w:t xml:space="preserve">második francia bekezdése </w:t>
      </w:r>
      <w:r w:rsidRPr="00913BBC">
        <w:rPr>
          <w:rFonts w:ascii="Calibri" w:hAnsi="Calibri" w:cs="Garamond"/>
          <w:color w:val="000000"/>
          <w:sz w:val="22"/>
          <w:szCs w:val="22"/>
        </w:rPr>
        <w:t>szerinti, az MNB honlapján közzétett technikai segédletben található.</w:t>
      </w:r>
    </w:p>
    <w:sectPr w:rsidR="004366CA" w:rsidRPr="00913BBC">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E9B" w:rsidRDefault="00282E9B">
      <w:r>
        <w:separator/>
      </w:r>
    </w:p>
  </w:endnote>
  <w:endnote w:type="continuationSeparator" w:id="0">
    <w:p w:rsidR="00282E9B" w:rsidRDefault="0028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E3" w:rsidRDefault="00627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AE3" w:rsidRDefault="00627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E3" w:rsidRDefault="00627A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E9B" w:rsidRDefault="00282E9B">
      <w:r>
        <w:separator/>
      </w:r>
    </w:p>
  </w:footnote>
  <w:footnote w:type="continuationSeparator" w:id="0">
    <w:p w:rsidR="00282E9B" w:rsidRDefault="0028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AE3" w:rsidRPr="00AB3DD9" w:rsidRDefault="00627AE3">
    <w:pPr>
      <w:pStyle w:val="Header"/>
      <w:jc w:val="right"/>
      <w:rPr>
        <w:rFonts w:ascii="Garamond" w:hAnsi="Garamond"/>
        <w:u w:val="single"/>
      </w:rPr>
    </w:pPr>
    <w:r w:rsidRPr="00AB3DD9">
      <w:rPr>
        <w:rFonts w:ascii="Garamond" w:hAnsi="Garamon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C64BD"/>
    <w:multiLevelType w:val="hybridMultilevel"/>
    <w:tmpl w:val="64EE67F8"/>
    <w:lvl w:ilvl="0" w:tplc="FBC44414">
      <w:numFmt w:val="bullet"/>
      <w:lvlText w:val="-"/>
      <w:lvlJc w:val="left"/>
      <w:pPr>
        <w:tabs>
          <w:tab w:val="num" w:pos="720"/>
        </w:tabs>
        <w:ind w:left="720" w:hanging="360"/>
      </w:pPr>
      <w:rPr>
        <w:rFonts w:ascii="Garamond" w:eastAsia="Times New Roman" w:hAnsi="Garamond"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D2550B"/>
    <w:multiLevelType w:val="hybridMultilevel"/>
    <w:tmpl w:val="BC7A2CE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6B23FA"/>
    <w:multiLevelType w:val="singleLevel"/>
    <w:tmpl w:val="A968AABA"/>
    <w:lvl w:ilvl="0">
      <w:start w:val="1"/>
      <w:numFmt w:val="upperRoman"/>
      <w:lvlText w:val="%1."/>
      <w:lvlJc w:val="left"/>
      <w:pPr>
        <w:tabs>
          <w:tab w:val="num" w:pos="720"/>
        </w:tabs>
        <w:ind w:left="720" w:hanging="720"/>
      </w:pPr>
      <w:rPr>
        <w:rFonts w:hint="default"/>
        <w:b/>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31"/>
    <w:rsid w:val="00025E04"/>
    <w:rsid w:val="00033131"/>
    <w:rsid w:val="000C61C1"/>
    <w:rsid w:val="001034BB"/>
    <w:rsid w:val="0015566C"/>
    <w:rsid w:val="001B459B"/>
    <w:rsid w:val="001D24C4"/>
    <w:rsid w:val="00223183"/>
    <w:rsid w:val="00225583"/>
    <w:rsid w:val="00234F96"/>
    <w:rsid w:val="00282E9B"/>
    <w:rsid w:val="002C46E2"/>
    <w:rsid w:val="002D6101"/>
    <w:rsid w:val="0034374F"/>
    <w:rsid w:val="0037732D"/>
    <w:rsid w:val="0040717E"/>
    <w:rsid w:val="0043152C"/>
    <w:rsid w:val="004366CA"/>
    <w:rsid w:val="00441708"/>
    <w:rsid w:val="00455F29"/>
    <w:rsid w:val="004655C6"/>
    <w:rsid w:val="00491E1C"/>
    <w:rsid w:val="00512993"/>
    <w:rsid w:val="005358B1"/>
    <w:rsid w:val="005957B0"/>
    <w:rsid w:val="005B7B70"/>
    <w:rsid w:val="00627AE3"/>
    <w:rsid w:val="00657E89"/>
    <w:rsid w:val="00662AB8"/>
    <w:rsid w:val="0069059D"/>
    <w:rsid w:val="006B22E1"/>
    <w:rsid w:val="00716A9B"/>
    <w:rsid w:val="00796069"/>
    <w:rsid w:val="007C0999"/>
    <w:rsid w:val="007F2634"/>
    <w:rsid w:val="00812A70"/>
    <w:rsid w:val="00846826"/>
    <w:rsid w:val="00852FB3"/>
    <w:rsid w:val="008852D7"/>
    <w:rsid w:val="008A4A09"/>
    <w:rsid w:val="008C3A79"/>
    <w:rsid w:val="008E31BA"/>
    <w:rsid w:val="00902D0E"/>
    <w:rsid w:val="00913BBC"/>
    <w:rsid w:val="009E01D4"/>
    <w:rsid w:val="00A13720"/>
    <w:rsid w:val="00A47B90"/>
    <w:rsid w:val="00A80B2A"/>
    <w:rsid w:val="00AC6640"/>
    <w:rsid w:val="00AD12FC"/>
    <w:rsid w:val="00B77A47"/>
    <w:rsid w:val="00BA25C7"/>
    <w:rsid w:val="00BD3DB1"/>
    <w:rsid w:val="00C04DA1"/>
    <w:rsid w:val="00C23DE1"/>
    <w:rsid w:val="00C26378"/>
    <w:rsid w:val="00D014AB"/>
    <w:rsid w:val="00D412B6"/>
    <w:rsid w:val="00DA2B9A"/>
    <w:rsid w:val="00DC03B2"/>
    <w:rsid w:val="00EE7F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DC6694-5691-4EEF-BE7E-0E065159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09"/>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rPr>
      <w:vertAlign w:val="superscript"/>
    </w:rPr>
  </w:style>
  <w:style w:type="paragraph" w:styleId="BlockText">
    <w:name w:val="Block Text"/>
    <w:basedOn w:val="Normal"/>
    <w:pPr>
      <w:spacing w:before="120"/>
      <w:ind w:left="283" w:right="562"/>
      <w:jc w:val="both"/>
    </w:pPr>
    <w:rPr>
      <w:sz w:val="24"/>
    </w:rPr>
  </w:style>
  <w:style w:type="paragraph" w:styleId="FootnoteText">
    <w:name w:val="footnote text"/>
    <w:basedOn w:val="Normal"/>
    <w:semiHidden/>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pPr>
      <w:spacing w:before="60"/>
      <w:jc w:val="both"/>
    </w:pPr>
    <w:rPr>
      <w:sz w:val="24"/>
    </w:rPr>
  </w:style>
  <w:style w:type="paragraph" w:styleId="BodyText2">
    <w:name w:val="Body Text 2"/>
    <w:basedOn w:val="Normal"/>
    <w:pPr>
      <w:spacing w:after="120" w:line="480" w:lineRule="auto"/>
    </w:pPr>
  </w:style>
  <w:style w:type="paragraph" w:styleId="TOC1">
    <w:name w:val="toc 1"/>
    <w:basedOn w:val="Normal"/>
    <w:next w:val="Normal"/>
    <w:autoRedefine/>
    <w:semiHidden/>
    <w:pPr>
      <w:spacing w:before="120" w:after="120"/>
    </w:pPr>
    <w:rPr>
      <w:b/>
      <w:bCs/>
      <w:caps/>
    </w:rPr>
  </w:style>
  <w:style w:type="paragraph" w:styleId="TOC2">
    <w:name w:val="toc 2"/>
    <w:basedOn w:val="Normal"/>
    <w:next w:val="Normal"/>
    <w:autoRedefine/>
    <w:semiHidden/>
    <w:pPr>
      <w:ind w:left="200"/>
    </w:pPr>
    <w:rPr>
      <w:smallCaps/>
    </w:rPr>
  </w:style>
  <w:style w:type="character" w:styleId="Hyperlink">
    <w:name w:val="Hyperlink"/>
    <w:basedOn w:val="DefaultParagraphFont"/>
    <w:rPr>
      <w:color w:val="0000FF"/>
      <w:u w:val="single"/>
    </w:rPr>
  </w:style>
  <w:style w:type="paragraph" w:customStyle="1" w:styleId="Hivatkozs">
    <w:name w:val="Hivatkozás"/>
    <w:basedOn w:val="Normal"/>
    <w:pPr>
      <w:spacing w:before="120"/>
      <w:jc w:val="both"/>
    </w:pPr>
    <w:rPr>
      <w:sz w:val="24"/>
    </w:rPr>
  </w:style>
  <w:style w:type="paragraph" w:styleId="TOC3">
    <w:name w:val="toc 3"/>
    <w:basedOn w:val="Normal"/>
    <w:next w:val="Normal"/>
    <w:autoRedefine/>
    <w:semiHidden/>
    <w:pPr>
      <w:ind w:left="400"/>
    </w:pPr>
    <w:rPr>
      <w:i/>
      <w:iCs/>
    </w:rPr>
  </w:style>
  <w:style w:type="paragraph" w:styleId="Header">
    <w:name w:val="header"/>
    <w:basedOn w:val="Normal"/>
    <w:pPr>
      <w:tabs>
        <w:tab w:val="center" w:pos="4536"/>
        <w:tab w:val="right" w:pos="9072"/>
      </w:tabs>
    </w:pPr>
  </w:style>
  <w:style w:type="paragraph" w:styleId="BodyText3">
    <w:name w:val="Body Text 3"/>
    <w:basedOn w:val="Normal"/>
    <w:pPr>
      <w:spacing w:after="120"/>
    </w:pPr>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CharChar1CharCharCharCharCharCharCharCharCharCharCharCharChar">
    <w:name w:val=" Char Char1 Char Char Char Char Char Char Char Char Char Char Char Char Char"/>
    <w:basedOn w:val="Normal"/>
    <w:rsid w:val="0015566C"/>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20762">
      <w:bodyDiv w:val="1"/>
      <w:marLeft w:val="0"/>
      <w:marRight w:val="0"/>
      <w:marTop w:val="0"/>
      <w:marBottom w:val="0"/>
      <w:divBdr>
        <w:top w:val="none" w:sz="0" w:space="0" w:color="auto"/>
        <w:left w:val="none" w:sz="0" w:space="0" w:color="auto"/>
        <w:bottom w:val="none" w:sz="0" w:space="0" w:color="auto"/>
        <w:right w:val="none" w:sz="0" w:space="0" w:color="auto"/>
      </w:divBdr>
    </w:div>
    <w:div w:id="540484643">
      <w:bodyDiv w:val="1"/>
      <w:marLeft w:val="0"/>
      <w:marRight w:val="0"/>
      <w:marTop w:val="0"/>
      <w:marBottom w:val="0"/>
      <w:divBdr>
        <w:top w:val="none" w:sz="0" w:space="0" w:color="auto"/>
        <w:left w:val="none" w:sz="0" w:space="0" w:color="auto"/>
        <w:bottom w:val="none" w:sz="0" w:space="0" w:color="auto"/>
        <w:right w:val="none" w:sz="0" w:space="0" w:color="auto"/>
      </w:divBdr>
    </w:div>
    <w:div w:id="571046331">
      <w:bodyDiv w:val="1"/>
      <w:marLeft w:val="0"/>
      <w:marRight w:val="0"/>
      <w:marTop w:val="0"/>
      <w:marBottom w:val="0"/>
      <w:divBdr>
        <w:top w:val="none" w:sz="0" w:space="0" w:color="auto"/>
        <w:left w:val="none" w:sz="0" w:space="0" w:color="auto"/>
        <w:bottom w:val="none" w:sz="0" w:space="0" w:color="auto"/>
        <w:right w:val="none" w:sz="0" w:space="0" w:color="auto"/>
      </w:divBdr>
    </w:div>
    <w:div w:id="186432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3513</Words>
  <Characters>24246</Characters>
  <Application>Microsoft Office Word</Application>
  <DocSecurity>0</DocSecurity>
  <Lines>202</Lines>
  <Paragraphs>55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MNB adatgyűjtés azonosító:…</vt:lpstr>
      <vt:lpstr>MNB adatgyűjtés azonosító:…</vt:lpstr>
    </vt:vector>
  </TitlesOfParts>
  <Company>Magyar Nemzeti Bank</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MNB adatgyűjtés azonosító:…</dc:title>
  <dc:subject/>
  <dc:creator>Uriné Müller Veronika</dc:creator>
  <cp:keywords/>
  <dc:description/>
  <cp:lastModifiedBy>STA</cp:lastModifiedBy>
  <cp:revision>2</cp:revision>
  <cp:lastPrinted>2006-01-23T13:09:00Z</cp:lastPrinted>
  <dcterms:created xsi:type="dcterms:W3CDTF">2022-11-22T14:43:00Z</dcterms:created>
  <dcterms:modified xsi:type="dcterms:W3CDTF">2022-11-22T14:43:00Z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2027-11-22T14:42:40Z</vt:filetime>
  </property>
  <property fmtid="{D5CDD505-2E9C-101B-9397-08002B2CF9AE}" pid="3" name="Érvényességet beállító">
    <vt:lpwstr>kotulicsnem</vt:lpwstr>
  </property>
  <property fmtid="{D5CDD505-2E9C-101B-9397-08002B2CF9AE}" pid="4" name="Érvényességi idő első beállítása">
    <vt:filetime>2022-11-22T14:42:40Z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kotulicsnem@mnb.hu</vt:lpwstr>
  </property>
  <property fmtid="{D5CDD505-2E9C-101B-9397-08002B2CF9AE}" pid="8" name="MSIP_Label_b0d11092-50c9-4e74-84b5-b1af078dc3d0_SetDate">
    <vt:lpwstr>2022-11-22T14:43:07.1120027Z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5a1e51bc-9fda-4627-8b6a-b83f21b671e4</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