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125E6EAE"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 xml:space="preserve">a </w:t>
      </w:r>
      <w:r w:rsidR="008A10E7" w:rsidRPr="00CF78E3">
        <w:rPr>
          <w:rFonts w:cs="Arial"/>
          <w:szCs w:val="20"/>
        </w:rPr>
        <w:t>.../2024. (... ...)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proofErr w:type="spellStart"/>
      <w:r w:rsidR="00462E9F">
        <w:rPr>
          <w:rFonts w:cs="Arial"/>
          <w:snapToGrid w:val="0"/>
          <w:szCs w:val="20"/>
        </w:rPr>
        <w:t>Kbftv</w:t>
      </w:r>
      <w:proofErr w:type="spellEnd"/>
      <w:r w:rsidR="00462E9F">
        <w:rPr>
          <w:rFonts w:cs="Arial"/>
          <w:snapToGrid w:val="0"/>
          <w:szCs w:val="20"/>
        </w:rPr>
        <w:t>.</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w:t>
      </w:r>
      <w:proofErr w:type="spellStart"/>
      <w:r w:rsidR="000E4FA3" w:rsidRPr="008C4FD9">
        <w:rPr>
          <w:rFonts w:cs="Arial"/>
          <w:iCs/>
          <w:szCs w:val="20"/>
        </w:rPr>
        <w:t>ERA</w:t>
      </w:r>
      <w:proofErr w:type="spellEnd"/>
      <w:r w:rsidR="000E4FA3" w:rsidRPr="008C4FD9">
        <w:rPr>
          <w:rFonts w:cs="Arial"/>
          <w:iCs/>
          <w:szCs w:val="20"/>
        </w:rPr>
        <w:t xml:space="preserve">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w:t>
      </w:r>
      <w:proofErr w:type="spellStart"/>
      <w:r w:rsidRPr="00521C78">
        <w:rPr>
          <w:rFonts w:cs="Arial"/>
          <w:szCs w:val="20"/>
          <w:lang w:eastAsia="hu-HU"/>
        </w:rPr>
        <w:t>Kbftv</w:t>
      </w:r>
      <w:proofErr w:type="spellEnd"/>
      <w:r w:rsidRPr="00521C78">
        <w:rPr>
          <w:rFonts w:cs="Arial"/>
          <w:szCs w:val="20"/>
          <w:lang w:eastAsia="hu-HU"/>
        </w:rPr>
        <w:t xml:space="preserve">.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w:t>
      </w:r>
      <w:proofErr w:type="spellStart"/>
      <w:r w:rsidRPr="00521C78">
        <w:rPr>
          <w:rFonts w:cs="Arial"/>
          <w:szCs w:val="20"/>
          <w:lang w:eastAsia="hu-HU"/>
        </w:rPr>
        <w:t>Kbftv</w:t>
      </w:r>
      <w:proofErr w:type="spellEnd"/>
      <w:r w:rsidRPr="00521C78">
        <w:rPr>
          <w:rFonts w:cs="Arial"/>
          <w:szCs w:val="20"/>
          <w:lang w:eastAsia="hu-HU"/>
        </w:rPr>
        <w:t xml:space="preserve">.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w:t>
      </w:r>
      <w:proofErr w:type="spellStart"/>
      <w:r>
        <w:rPr>
          <w:rFonts w:cs="Arial"/>
          <w:snapToGrid w:val="0"/>
          <w:szCs w:val="20"/>
        </w:rPr>
        <w:t>ZPTN</w:t>
      </w:r>
      <w:proofErr w:type="spellEnd"/>
      <w:r>
        <w:rPr>
          <w:rFonts w:cs="Arial"/>
          <w:snapToGrid w:val="0"/>
          <w:szCs w:val="20"/>
        </w:rPr>
        <w:t xml:space="preserve"> jelentés) </w:t>
      </w:r>
      <w:r w:rsidRPr="007E1840">
        <w:rPr>
          <w:rFonts w:cs="Arial"/>
          <w:snapToGrid w:val="0"/>
          <w:szCs w:val="20"/>
        </w:rPr>
        <w:t xml:space="preserve">formai és technikai követelményeit az </w:t>
      </w:r>
      <w:proofErr w:type="spellStart"/>
      <w:r w:rsidRPr="007E1840">
        <w:rPr>
          <w:rFonts w:cs="Arial"/>
          <w:snapToGrid w:val="0"/>
          <w:szCs w:val="20"/>
        </w:rPr>
        <w:t>ERA</w:t>
      </w:r>
      <w:proofErr w:type="spellEnd"/>
      <w:r w:rsidRPr="007E1840">
        <w:rPr>
          <w:rFonts w:cs="Arial"/>
          <w:snapToGrid w:val="0"/>
          <w:szCs w:val="20"/>
        </w:rPr>
        <w:t xml:space="preserve"> rendszer Felhasználói kézikönyve, </w:t>
      </w:r>
      <w:r w:rsidR="00D11103">
        <w:rPr>
          <w:rFonts w:cs="Arial"/>
          <w:snapToGrid w:val="0"/>
          <w:szCs w:val="20"/>
        </w:rPr>
        <w:t>valamint</w:t>
      </w:r>
      <w:r w:rsidRPr="007E1840">
        <w:rPr>
          <w:rFonts w:cs="Arial"/>
          <w:snapToGrid w:val="0"/>
          <w:szCs w:val="20"/>
        </w:rPr>
        <w:t xml:space="preserve"> az </w:t>
      </w:r>
      <w:proofErr w:type="spellStart"/>
      <w:r w:rsidRPr="007E1840">
        <w:rPr>
          <w:rFonts w:cs="Arial"/>
          <w:snapToGrid w:val="0"/>
          <w:szCs w:val="20"/>
        </w:rPr>
        <w:t>ERA</w:t>
      </w:r>
      <w:proofErr w:type="spellEnd"/>
      <w:r w:rsidRPr="007E1840">
        <w:rPr>
          <w:rFonts w:cs="Arial"/>
          <w:snapToGrid w:val="0"/>
          <w:szCs w:val="20"/>
        </w:rPr>
        <w:t xml:space="preserve"> – </w:t>
      </w:r>
      <w:proofErr w:type="spellStart"/>
      <w:r w:rsidRPr="007E1840">
        <w:rPr>
          <w:rFonts w:cs="Arial"/>
          <w:snapToGrid w:val="0"/>
          <w:szCs w:val="20"/>
        </w:rPr>
        <w:t>ZPT</w:t>
      </w:r>
      <w:proofErr w:type="spellEnd"/>
      <w:r w:rsidRPr="007E1840">
        <w:rPr>
          <w:rFonts w:cs="Arial"/>
          <w:snapToGrid w:val="0"/>
          <w:szCs w:val="20"/>
        </w:rPr>
        <w:t xml:space="preserve">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ins w:id="0" w:author="MNB" w:date="2024-07-19T16:03:00Z"/>
          <w:rStyle w:val="Cmsor2Char"/>
          <w:b/>
          <w:bCs/>
        </w:rPr>
      </w:pPr>
      <w:r>
        <w:rPr>
          <w:rStyle w:val="Cmsor2Char"/>
          <w:b/>
        </w:rPr>
        <w:t xml:space="preserve">1. </w:t>
      </w:r>
      <w:ins w:id="1" w:author="MNB" w:date="2024-07-19T16:03:00Z">
        <w:r w:rsidR="00344D9C">
          <w:rPr>
            <w:rStyle w:val="Cmsor2Char"/>
            <w:b/>
            <w:bCs/>
          </w:rPr>
          <w:t>50A Befektetési alap nettó eszközértékének megállapítása és 50W Befektetési alap egy jegyre jutó nettó eszközértéke</w:t>
        </w:r>
      </w:ins>
    </w:p>
    <w:p w14:paraId="04D2040A" w14:textId="530E0071"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alapoknál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lastRenderedPageBreak/>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 xml:space="preserve">Az </w:t>
      </w:r>
      <w:proofErr w:type="spellStart"/>
      <w:r w:rsidRPr="00034107">
        <w:t>illikvid</w:t>
      </w:r>
      <w:proofErr w:type="spellEnd"/>
      <w:r w:rsidRPr="00034107">
        <w:t xml:space="preserve">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3CBF7861" w:rsidR="000830A4" w:rsidRPr="00C77A98"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proofErr w:type="spellStart"/>
      <w:r w:rsidRPr="0072630F">
        <w:t>sorozatonkénti</w:t>
      </w:r>
      <w:proofErr w:type="spellEnd"/>
      <w:r w:rsidRPr="0072630F">
        <w:t xml:space="preserve"> adat</w:t>
      </w:r>
      <w:r w:rsidR="00205973" w:rsidRPr="0072630F">
        <w:t>ait</w:t>
      </w:r>
      <w:r w:rsidRPr="0072630F">
        <w:t xml:space="preserve"> tartalmazzák.</w:t>
      </w:r>
      <w:r w:rsidR="00FF5FF1" w:rsidRPr="0072630F">
        <w:t xml:space="preserve"> </w:t>
      </w:r>
      <w:ins w:id="2" w:author="MNB" w:date="2024-07-19T16:03:00Z">
        <w:r w:rsidR="00074E88">
          <w:t>A</w:t>
        </w:r>
        <w:r w:rsidR="00074E88" w:rsidRPr="00D1382E">
          <w:t xml:space="preserve"> befektetési alap minden sorozatát szükséges feltüntetni, </w:t>
        </w:r>
        <w:r w:rsidR="00074E88">
          <w:t xml:space="preserve">így az </w:t>
        </w:r>
        <w:r w:rsidR="00074E88" w:rsidRPr="00D1382E">
          <w:t xml:space="preserve">eszközzel nem rendelkező </w:t>
        </w:r>
        <w:proofErr w:type="spellStart"/>
        <w:r w:rsidR="00074E88" w:rsidRPr="00D1382E">
          <w:t>sorozatokat</w:t>
        </w:r>
        <w:proofErr w:type="spellEnd"/>
        <w:r w:rsidR="00074E88" w:rsidRPr="00D1382E">
          <w:t xml:space="preserve"> is.</w:t>
        </w:r>
        <w:r w:rsidR="00074E88">
          <w:t xml:space="preserve"> </w:t>
        </w:r>
      </w:ins>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w:t>
      </w:r>
      <w:proofErr w:type="spellStart"/>
      <w:r w:rsidR="009D1CA6" w:rsidRPr="00034107">
        <w:rPr>
          <w:color w:val="000000"/>
        </w:rPr>
        <w:t>ÉÉÉÉHHNN</w:t>
      </w:r>
      <w:proofErr w:type="spellEnd"/>
      <w:r w:rsidR="009D1CA6" w:rsidRPr="00034107">
        <w:rPr>
          <w:color w:val="000000"/>
        </w:rPr>
        <w:t xml:space="preserve"> (pl.: </w:t>
      </w:r>
      <w:proofErr w:type="spellStart"/>
      <w:r w:rsidR="009D1CA6" w:rsidRPr="00034107">
        <w:rPr>
          <w:color w:val="000000"/>
        </w:rPr>
        <w:t>XYZ</w:t>
      </w:r>
      <w:proofErr w:type="spellEnd"/>
      <w:r w:rsidR="009D1CA6" w:rsidRPr="00034107">
        <w:rPr>
          <w:color w:val="000000"/>
        </w:rPr>
        <w:t xml:space="preserve">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proofErr w:type="spellStart"/>
      <w:r w:rsidR="00F40AC8" w:rsidRPr="004B411B">
        <w:t>Identifier</w:t>
      </w:r>
      <w:proofErr w:type="spellEnd"/>
      <w:r w:rsidR="00F40AC8" w:rsidRPr="00034107">
        <w:t xml:space="preserve"> </w:t>
      </w:r>
      <w:proofErr w:type="spellStart"/>
      <w:r w:rsidR="00F40AC8" w:rsidRPr="00034107">
        <w:t>Code</w:t>
      </w:r>
      <w:proofErr w:type="spellEnd"/>
      <w:r w:rsidR="00F40AC8" w:rsidRPr="00034107">
        <w:t xml:space="preserve"> (1</w:t>
      </w:r>
      <w:r w:rsidR="003F6101" w:rsidRPr="00034107">
        <w:t>1 karakter)]; az 50A13 kezdetű soroknál az ingatlan helyrajzi száma.</w:t>
      </w:r>
      <w:r w:rsidR="0023698A" w:rsidRPr="00034107">
        <w:t xml:space="preserve"> Ha a kölcsönnyújtónak nincs </w:t>
      </w:r>
      <w:proofErr w:type="spellStart"/>
      <w:r w:rsidR="0023698A" w:rsidRPr="00034107">
        <w:t>BIC</w:t>
      </w:r>
      <w:proofErr w:type="spellEnd"/>
      <w:r w:rsidR="00C85AA3" w:rsidRPr="00034107">
        <w:t xml:space="preserve"> </w:t>
      </w:r>
      <w:r w:rsidR="0023698A" w:rsidRPr="00034107">
        <w:t xml:space="preserve">kódja (Bank </w:t>
      </w:r>
      <w:proofErr w:type="spellStart"/>
      <w:r w:rsidR="0023698A" w:rsidRPr="00034107">
        <w:t>Identifier</w:t>
      </w:r>
      <w:proofErr w:type="spellEnd"/>
      <w:r w:rsidR="0023698A" w:rsidRPr="00034107">
        <w:t xml:space="preserve"> </w:t>
      </w:r>
      <w:proofErr w:type="spellStart"/>
      <w:r w:rsidR="0023698A" w:rsidRPr="00034107">
        <w:t>Code</w:t>
      </w:r>
      <w:proofErr w:type="spellEnd"/>
      <w:r w:rsidR="0023698A" w:rsidRPr="00034107">
        <w:t xml:space="preserve">), akkor </w:t>
      </w:r>
      <w:r w:rsidR="00DB6691" w:rsidRPr="00034107">
        <w:t>alkalmazható</w:t>
      </w:r>
      <w:r w:rsidR="0023698A" w:rsidRPr="00034107">
        <w:t xml:space="preserve"> a LEI-kód (</w:t>
      </w:r>
      <w:proofErr w:type="spellStart"/>
      <w:r w:rsidR="0023698A" w:rsidRPr="00034107">
        <w:t>Legal</w:t>
      </w:r>
      <w:proofErr w:type="spellEnd"/>
      <w:r w:rsidR="0023698A" w:rsidRPr="00034107">
        <w:t xml:space="preserve"> </w:t>
      </w:r>
      <w:proofErr w:type="spellStart"/>
      <w:r w:rsidR="0023698A" w:rsidRPr="00034107">
        <w:t>Entity</w:t>
      </w:r>
      <w:proofErr w:type="spellEnd"/>
      <w:r w:rsidR="0023698A" w:rsidRPr="00034107">
        <w:t xml:space="preserve"> </w:t>
      </w:r>
      <w:proofErr w:type="spellStart"/>
      <w:r w:rsidR="0023698A" w:rsidRPr="00034107">
        <w:t>Identifier</w:t>
      </w:r>
      <w:proofErr w:type="spellEnd"/>
      <w:r w:rsidR="0023698A" w:rsidRPr="00034107">
        <w:t>)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 xml:space="preserve">ja, amelyikben az adott sorban szereplő eszköz denominált. Ha ugyanazon eszközre különböző devizákban is van az alapnak pozíciója, akkor </w:t>
      </w:r>
      <w:proofErr w:type="spellStart"/>
      <w:r w:rsidRPr="00034107">
        <w:t>devizánként</w:t>
      </w:r>
      <w:proofErr w:type="spellEnd"/>
      <w:r w:rsidRPr="00034107">
        <w:t xml:space="preserve">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proofErr w:type="spellStart"/>
      <w:r w:rsidR="00B2053C" w:rsidRPr="00034107">
        <w:t>Kbftv</w:t>
      </w:r>
      <w:proofErr w:type="spellEnd"/>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w:t>
      </w:r>
      <w:proofErr w:type="spellStart"/>
      <w:r w:rsidRPr="00034107">
        <w:t>tulajdonolt</w:t>
      </w:r>
      <w:proofErr w:type="spellEnd"/>
      <w:r w:rsidRPr="00034107">
        <w:t xml:space="preserve">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w:t>
      </w:r>
      <w:proofErr w:type="spellStart"/>
      <w:r w:rsidRPr="00034107">
        <w:rPr>
          <w:lang w:eastAsia="hu-HU"/>
        </w:rPr>
        <w:t>repó</w:t>
      </w:r>
      <w:proofErr w:type="spellEnd"/>
      <w:r w:rsidRPr="00034107">
        <w:rPr>
          <w:lang w:eastAsia="hu-HU"/>
        </w:rPr>
        <w:t xml:space="preserve"> ügyletek azonnali lábából származó követelések és az óvadéki </w:t>
      </w:r>
      <w:proofErr w:type="spellStart"/>
      <w:r w:rsidRPr="00034107">
        <w:rPr>
          <w:lang w:eastAsia="hu-HU"/>
        </w:rPr>
        <w:t>repóba</w:t>
      </w:r>
      <w:proofErr w:type="spellEnd"/>
      <w:r w:rsidRPr="00034107">
        <w:rPr>
          <w:lang w:eastAsia="hu-HU"/>
        </w:rPr>
        <w:t xml:space="preserve">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w:t>
      </w:r>
      <w:proofErr w:type="spellStart"/>
      <w:r w:rsidRPr="00034107">
        <w:rPr>
          <w:lang w:eastAsia="hu-HU"/>
        </w:rPr>
        <w:t>repó</w:t>
      </w:r>
      <w:proofErr w:type="spellEnd"/>
      <w:r w:rsidRPr="00034107">
        <w:rPr>
          <w:lang w:eastAsia="hu-HU"/>
        </w:rPr>
        <w:t xml:space="preserve">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w:t>
      </w:r>
      <w:proofErr w:type="spellStart"/>
      <w:r w:rsidRPr="00034107">
        <w:rPr>
          <w:lang w:eastAsia="hu-HU"/>
        </w:rPr>
        <w:t>repó</w:t>
      </w:r>
      <w:proofErr w:type="spellEnd"/>
      <w:r w:rsidRPr="00034107">
        <w:rPr>
          <w:lang w:eastAsia="hu-HU"/>
        </w:rPr>
        <w:t xml:space="preserve"> ügyletek azonnali lábából származó kötelezettségek és az óvadéki </w:t>
      </w:r>
      <w:proofErr w:type="spellStart"/>
      <w:r w:rsidRPr="00034107">
        <w:rPr>
          <w:lang w:eastAsia="hu-HU"/>
        </w:rPr>
        <w:t>repóba</w:t>
      </w:r>
      <w:proofErr w:type="spellEnd"/>
      <w:r w:rsidRPr="00034107">
        <w:rPr>
          <w:lang w:eastAsia="hu-HU"/>
        </w:rPr>
        <w:t xml:space="preserve">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w:t>
      </w:r>
      <w:proofErr w:type="spellStart"/>
      <w:r w:rsidRPr="00034107">
        <w:rPr>
          <w:lang w:eastAsia="hu-HU"/>
        </w:rPr>
        <w:t>repó</w:t>
      </w:r>
      <w:proofErr w:type="spellEnd"/>
      <w:r w:rsidRPr="00034107">
        <w:rPr>
          <w:lang w:eastAsia="hu-HU"/>
        </w:rPr>
        <w:t xml:space="preserve">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lastRenderedPageBreak/>
        <w:t>50A61 sor:</w:t>
      </w:r>
      <w:r w:rsidRPr="000F5785">
        <w:t xml:space="preserve"> </w:t>
      </w:r>
      <w:bookmarkStart w:id="3" w:name="_Hlk52974860"/>
      <w:r w:rsidRPr="000F5785">
        <w:t>kapott/adott óvadék nettó értéken, a nettó eszközértékben kimutatott értékkel ellentétes előjellel.</w:t>
      </w:r>
      <w:bookmarkEnd w:id="3"/>
    </w:p>
    <w:p w14:paraId="228DFF44" w14:textId="17AB2215" w:rsidR="006C5FD5" w:rsidRPr="000F5785" w:rsidRDefault="006C5FD5" w:rsidP="0054171D">
      <w:pPr>
        <w:rPr>
          <w:ins w:id="4" w:author="MNB" w:date="2024-07-19T16:03:00Z"/>
          <w:b/>
        </w:rPr>
      </w:pPr>
      <w:ins w:id="5" w:author="MNB" w:date="2024-07-19T16:03:00Z">
        <w:r w:rsidRPr="00306711">
          <w:rPr>
            <w:b/>
            <w:bCs/>
          </w:rPr>
          <w:t>50A63 sor</w:t>
        </w:r>
        <w:r>
          <w:t xml:space="preserve">: a </w:t>
        </w:r>
        <w:proofErr w:type="spellStart"/>
        <w:r>
          <w:t>Kbftv</w:t>
        </w:r>
        <w:proofErr w:type="spellEnd"/>
        <w:r>
          <w:t xml:space="preserve">.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ins>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77777777"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 §-</w:t>
      </w:r>
      <w:proofErr w:type="spellStart"/>
      <w:r>
        <w:rPr>
          <w:rFonts w:cs="Arial"/>
        </w:rPr>
        <w:t>á</w:t>
      </w:r>
      <w:r w:rsidRPr="00546698">
        <w:rPr>
          <w:rFonts w:cs="Arial"/>
        </w:rPr>
        <w:t>ban</w:t>
      </w:r>
      <w:proofErr w:type="spellEnd"/>
      <w:r>
        <w:rPr>
          <w:rFonts w:cs="Arial"/>
        </w:rPr>
        <w:t>, illetve 1/L. §-</w:t>
      </w:r>
      <w:proofErr w:type="spellStart"/>
      <w:r>
        <w:rPr>
          <w:rFonts w:cs="Arial"/>
        </w:rPr>
        <w:t>ában</w:t>
      </w:r>
      <w:proofErr w:type="spellEnd"/>
      <w:r>
        <w:rPr>
          <w:rFonts w:cs="Arial"/>
        </w:rPr>
        <w:t xml:space="preserve">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w:t>
      </w:r>
      <w:proofErr w:type="spellStart"/>
      <w:r w:rsidRPr="00034107">
        <w:rPr>
          <w:rFonts w:cs="Arial"/>
          <w:szCs w:val="20"/>
        </w:rPr>
        <w:t>idejével</w:t>
      </w:r>
      <w:proofErr w:type="spellEnd"/>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6"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6"/>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7"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7"/>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 xml:space="preserve">A </w:t>
      </w:r>
      <w:proofErr w:type="spellStart"/>
      <w:r w:rsidRPr="00034107">
        <w:rPr>
          <w:rFonts w:ascii="Arial" w:hAnsi="Arial" w:cs="Arial"/>
          <w:sz w:val="20"/>
          <w:szCs w:val="20"/>
        </w:rPr>
        <w:t>Bszt</w:t>
      </w:r>
      <w:proofErr w:type="spellEnd"/>
      <w:r w:rsidRPr="00034107">
        <w:rPr>
          <w:rFonts w:ascii="Arial" w:hAnsi="Arial" w:cs="Arial"/>
          <w:sz w:val="20"/>
          <w:szCs w:val="20"/>
        </w:rPr>
        <w: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 xml:space="preserve">30.) </w:t>
      </w:r>
      <w:proofErr w:type="spellStart"/>
      <w:r w:rsidRPr="00034107">
        <w:rPr>
          <w:rFonts w:ascii="Arial" w:hAnsi="Arial" w:cs="Arial"/>
          <w:sz w:val="20"/>
          <w:szCs w:val="20"/>
        </w:rPr>
        <w:t>NGM</w:t>
      </w:r>
      <w:proofErr w:type="spellEnd"/>
      <w:r w:rsidRPr="00034107">
        <w:rPr>
          <w:rFonts w:ascii="Arial" w:hAnsi="Arial" w:cs="Arial"/>
          <w:sz w:val="20"/>
          <w:szCs w:val="20"/>
        </w:rPr>
        <w:t xml:space="preserve">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 ügyféllel kötött szerződés </w:t>
      </w:r>
      <w:proofErr w:type="spellStart"/>
      <w:r w:rsidRPr="00034107">
        <w:rPr>
          <w:rFonts w:ascii="Arial" w:hAnsi="Arial" w:cs="Arial"/>
          <w:sz w:val="20"/>
          <w:szCs w:val="20"/>
        </w:rPr>
        <w:t>kamatának</w:t>
      </w:r>
      <w:proofErr w:type="spellEnd"/>
      <w:r w:rsidRPr="00034107">
        <w:rPr>
          <w:rFonts w:ascii="Arial" w:hAnsi="Arial" w:cs="Arial"/>
          <w:sz w:val="20"/>
          <w:szCs w:val="20"/>
        </w:rPr>
        <w:t>,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28FB00D1" w:rsidR="00933739" w:rsidRPr="00034107" w:rsidRDefault="005E6C44" w:rsidP="00CF65A4">
      <w:r w:rsidRPr="00CF65A4">
        <w:rPr>
          <w:b/>
          <w:bCs/>
        </w:rPr>
        <w:t>50GA1</w:t>
      </w:r>
      <w:r w:rsidR="00933739" w:rsidRPr="00CF65A4">
        <w:rPr>
          <w:b/>
          <w:bCs/>
        </w:rPr>
        <w:t>1</w:t>
      </w:r>
      <w:r w:rsidRPr="00CF65A4">
        <w:rPr>
          <w:b/>
          <w:bCs/>
        </w:rPr>
        <w:t xml:space="preserve">-50GA18 </w:t>
      </w:r>
      <w:del w:id="8" w:author="MNB" w:date="2024-07-19T16:03:00Z">
        <w:r w:rsidRPr="00CF65A4">
          <w:rPr>
            <w:b/>
            <w:bCs/>
          </w:rPr>
          <w:delText>sor</w:delText>
        </w:r>
        <w:r w:rsidR="00933739" w:rsidRPr="00CF65A4">
          <w:rPr>
            <w:b/>
            <w:bCs/>
          </w:rPr>
          <w:delText>ok</w:delText>
        </w:r>
      </w:del>
      <w:ins w:id="9" w:author="MNB" w:date="2024-07-19T16:03:00Z">
        <w:r w:rsidRPr="00CF65A4">
          <w:rPr>
            <w:b/>
            <w:bCs/>
          </w:rPr>
          <w:t>sor</w:t>
        </w:r>
      </w:ins>
      <w:r w:rsidR="00933739" w:rsidRPr="00CF65A4">
        <w:rPr>
          <w:b/>
          <w:bCs/>
        </w:rPr>
        <w:t>:</w:t>
      </w:r>
      <w:r w:rsidR="00933739" w:rsidRPr="00034107">
        <w:t xml:space="preserve"> a </w:t>
      </w:r>
      <w:proofErr w:type="spellStart"/>
      <w:r w:rsidRPr="00034107">
        <w:rPr>
          <w:snapToGrid w:val="0"/>
        </w:rPr>
        <w:t>Kbftv</w:t>
      </w:r>
      <w:proofErr w:type="spellEnd"/>
      <w:r w:rsidRPr="00034107">
        <w:rPr>
          <w:snapToGrid w:val="0"/>
        </w:rPr>
        <w:t xml:space="preserve">. 6. § (1) és (2) bekezdésében, illetve a </w:t>
      </w:r>
      <w:proofErr w:type="spellStart"/>
      <w:r w:rsidRPr="00034107">
        <w:rPr>
          <w:snapToGrid w:val="0"/>
        </w:rPr>
        <w:t>Kbftv</w:t>
      </w:r>
      <w:proofErr w:type="spellEnd"/>
      <w:r w:rsidRPr="00034107">
        <w:rPr>
          <w:snapToGrid w:val="0"/>
        </w:rPr>
        <w:t>. 7. § (1</w:t>
      </w:r>
      <w:del w:id="10" w:author="MNB" w:date="2024-07-19T16:03:00Z">
        <w:r w:rsidRPr="00034107">
          <w:rPr>
            <w:snapToGrid w:val="0"/>
          </w:rPr>
          <w:delText>)-(</w:delText>
        </w:r>
      </w:del>
      <w:ins w:id="11" w:author="MNB" w:date="2024-07-19T16:03:00Z">
        <w:r w:rsidRPr="00034107">
          <w:rPr>
            <w:snapToGrid w:val="0"/>
          </w:rPr>
          <w:t>)</w:t>
        </w:r>
        <w:r w:rsidR="008E58A3">
          <w:rPr>
            <w:snapToGrid w:val="0"/>
          </w:rPr>
          <w:t>–</w:t>
        </w:r>
        <w:r w:rsidRPr="00034107">
          <w:rPr>
            <w:snapToGrid w:val="0"/>
          </w:rPr>
          <w:t>(</w:t>
        </w:r>
      </w:ins>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12"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12"/>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405B1882"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w:t>
      </w:r>
      <w:proofErr w:type="spellStart"/>
      <w:r w:rsidRPr="00034107">
        <w:rPr>
          <w:rFonts w:cs="Arial"/>
          <w:iCs/>
          <w:szCs w:val="20"/>
        </w:rPr>
        <w:t>Kbftv</w:t>
      </w:r>
      <w:proofErr w:type="spellEnd"/>
      <w:r w:rsidRPr="00034107">
        <w:rPr>
          <w:rFonts w:cs="Arial"/>
          <w:iCs/>
          <w:szCs w:val="20"/>
        </w:rPr>
        <w:t>.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del w:id="13" w:author="MNB" w:date="2024-07-19T16:03:00Z">
        <w:r w:rsidRPr="00034107">
          <w:rPr>
            <w:rFonts w:cs="Arial"/>
            <w:iCs/>
            <w:szCs w:val="20"/>
          </w:rPr>
          <w:delText>)-(</w:delText>
        </w:r>
      </w:del>
      <w:ins w:id="14" w:author="MNB" w:date="2024-07-19T16:03:00Z">
        <w:r w:rsidRPr="00034107">
          <w:rPr>
            <w:rFonts w:cs="Arial"/>
            <w:iCs/>
            <w:szCs w:val="20"/>
          </w:rPr>
          <w:t>)</w:t>
        </w:r>
        <w:r w:rsidR="008E58A3">
          <w:rPr>
            <w:rFonts w:cs="Arial"/>
            <w:iCs/>
            <w:szCs w:val="20"/>
          </w:rPr>
          <w:t>–</w:t>
        </w:r>
        <w:r w:rsidRPr="00034107">
          <w:rPr>
            <w:rFonts w:cs="Arial"/>
            <w:iCs/>
            <w:szCs w:val="20"/>
          </w:rPr>
          <w:t>(</w:t>
        </w:r>
      </w:ins>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w:t>
      </w:r>
      <w:proofErr w:type="spellStart"/>
      <w:r w:rsidRPr="00034107">
        <w:rPr>
          <w:rFonts w:cs="Arial"/>
          <w:iCs/>
          <w:szCs w:val="20"/>
        </w:rPr>
        <w:t>Kbftv</w:t>
      </w:r>
      <w:proofErr w:type="spellEnd"/>
      <w:r w:rsidRPr="00034107">
        <w:rPr>
          <w:rFonts w:cs="Arial"/>
          <w:iCs/>
          <w:szCs w:val="20"/>
        </w:rPr>
        <w:t>.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w:t>
      </w:r>
      <w:proofErr w:type="spellStart"/>
      <w:r w:rsidRPr="00034107">
        <w:t>letétkezelőnként</w:t>
      </w:r>
      <w:proofErr w:type="spellEnd"/>
      <w:r w:rsidRPr="00034107">
        <w:t xml:space="preserve"> külön-külön sorban kimutatva a velük szemben fennálló kitettség értékét.</w:t>
      </w:r>
    </w:p>
    <w:p w14:paraId="0413D55B" w14:textId="01C8111E"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del w:id="15" w:author="MNB" w:date="2024-07-19T16:03:00Z">
        <w:r w:rsidR="0069759E" w:rsidRPr="00034107">
          <w:delText>-</w:delText>
        </w:r>
      </w:del>
      <w:ins w:id="16" w:author="MNB" w:date="2024-07-19T16:03:00Z">
        <w:r w:rsidR="00933936">
          <w:t>–</w:t>
        </w:r>
      </w:ins>
      <w:r w:rsidR="0069759E" w:rsidRPr="00034107">
        <w:t>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w:t>
      </w:r>
      <w:proofErr w:type="spellStart"/>
      <w:r w:rsidR="002B2415" w:rsidRPr="00034107">
        <w:rPr>
          <w:rFonts w:cs="Arial"/>
          <w:szCs w:val="20"/>
        </w:rPr>
        <w:t>ker</w:t>
      </w:r>
      <w:proofErr w:type="spellEnd"/>
      <w:r w:rsidR="002B2415" w:rsidRPr="00034107">
        <w:rPr>
          <w:rFonts w:cs="Arial"/>
          <w:szCs w:val="20"/>
        </w:rPr>
        <w:t>”) vagy letétkezelőnek („</w:t>
      </w:r>
      <w:proofErr w:type="spellStart"/>
      <w:r w:rsidR="002B2415" w:rsidRPr="00034107">
        <w:rPr>
          <w:rFonts w:cs="Arial"/>
          <w:szCs w:val="20"/>
        </w:rPr>
        <w:t>letétkez</w:t>
      </w:r>
      <w:proofErr w:type="spellEnd"/>
      <w:r w:rsidR="002B2415" w:rsidRPr="00034107">
        <w:rPr>
          <w:rFonts w:cs="Arial"/>
          <w:szCs w:val="20"/>
        </w:rPr>
        <w:t>”)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proofErr w:type="spellStart"/>
      <w:r w:rsidR="00693D48" w:rsidRPr="000335A9">
        <w:rPr>
          <w:rFonts w:cs="Arial"/>
          <w:szCs w:val="20"/>
        </w:rPr>
        <w:t>Legal</w:t>
      </w:r>
      <w:proofErr w:type="spellEnd"/>
      <w:r w:rsidR="00693D48" w:rsidRPr="000335A9">
        <w:rPr>
          <w:rFonts w:cs="Arial"/>
          <w:szCs w:val="20"/>
        </w:rPr>
        <w:t xml:space="preserve"> </w:t>
      </w:r>
      <w:proofErr w:type="spellStart"/>
      <w:r w:rsidR="00693D48" w:rsidRPr="000335A9">
        <w:rPr>
          <w:rFonts w:cs="Arial"/>
          <w:szCs w:val="20"/>
        </w:rPr>
        <w:t>Entity</w:t>
      </w:r>
      <w:proofErr w:type="spellEnd"/>
      <w:r w:rsidR="00693D48" w:rsidRPr="000335A9">
        <w:rPr>
          <w:rFonts w:cs="Arial"/>
          <w:szCs w:val="20"/>
        </w:rPr>
        <w:t xml:space="preserve"> </w:t>
      </w:r>
      <w:proofErr w:type="spellStart"/>
      <w:r w:rsidR="00693D48" w:rsidRPr="000335A9">
        <w:rPr>
          <w:rFonts w:cs="Arial"/>
          <w:szCs w:val="20"/>
        </w:rPr>
        <w:t>Identifier</w:t>
      </w:r>
      <w:proofErr w:type="spellEnd"/>
      <w:r w:rsidR="00693D48" w:rsidRPr="000335A9">
        <w:rPr>
          <w:rFonts w:cs="Arial"/>
          <w:szCs w:val="20"/>
        </w:rPr>
        <w:t xml:space="preserve">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 xml:space="preserve">ISO 9362 nemzetközi szabvány szerint meghatározott kódja [SWIFT/Bank </w:t>
      </w:r>
      <w:proofErr w:type="spellStart"/>
      <w:r w:rsidR="00372268" w:rsidRPr="00034107">
        <w:rPr>
          <w:rFonts w:cs="Arial"/>
          <w:szCs w:val="20"/>
        </w:rPr>
        <w:t>Identifier</w:t>
      </w:r>
      <w:proofErr w:type="spellEnd"/>
      <w:r w:rsidR="00372268" w:rsidRPr="00034107">
        <w:rPr>
          <w:rFonts w:cs="Arial"/>
          <w:szCs w:val="20"/>
        </w:rPr>
        <w:t xml:space="preserve"> </w:t>
      </w:r>
      <w:proofErr w:type="spellStart"/>
      <w:r w:rsidR="00372268" w:rsidRPr="00034107">
        <w:rPr>
          <w:rFonts w:cs="Arial"/>
          <w:szCs w:val="20"/>
        </w:rPr>
        <w:t>Code</w:t>
      </w:r>
      <w:proofErr w:type="spellEnd"/>
      <w:r w:rsidR="00372268" w:rsidRPr="00034107">
        <w:rPr>
          <w:rFonts w:cs="Arial"/>
          <w:szCs w:val="20"/>
        </w:rPr>
        <w:t xml:space="preserv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8963A5">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w:t>
      </w:r>
      <w:proofErr w:type="spellStart"/>
      <w:r w:rsidRPr="00034107">
        <w:rPr>
          <w:rFonts w:cs="Arial"/>
          <w:szCs w:val="20"/>
        </w:rPr>
        <w:t>Kbftv</w:t>
      </w:r>
      <w:proofErr w:type="spellEnd"/>
      <w:r w:rsidRPr="00034107">
        <w:rPr>
          <w:rFonts w:cs="Arial"/>
          <w:szCs w:val="20"/>
        </w:rPr>
        <w:t xml:space="preserve">.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w:t>
      </w:r>
      <w:proofErr w:type="spellStart"/>
      <w:r w:rsidRPr="00034107">
        <w:rPr>
          <w:rFonts w:cs="Arial"/>
          <w:szCs w:val="20"/>
        </w:rPr>
        <w:t>Kbftv</w:t>
      </w:r>
      <w:proofErr w:type="spellEnd"/>
      <w:r w:rsidRPr="00034107">
        <w:rPr>
          <w:rFonts w:cs="Arial"/>
          <w:szCs w:val="20"/>
        </w:rPr>
        <w:t>.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17" w:name="_Hlk164843533"/>
      <w:r w:rsidR="001C60E3" w:rsidRPr="00C65E95">
        <w:rPr>
          <w:rFonts w:cs="Arial"/>
        </w:rPr>
        <w:t>–</w:t>
      </w:r>
      <w:bookmarkEnd w:id="17"/>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6DFBA91E" w:rsidR="000830A4" w:rsidRPr="00034107" w:rsidRDefault="00A071D3" w:rsidP="008963A5">
      <w:pPr>
        <w:pStyle w:val="Cmsor2"/>
      </w:pPr>
      <w:del w:id="18" w:author="MNB" w:date="2024-07-19T16:03:00Z">
        <w:r w:rsidRPr="00034107">
          <w:delText>7</w:delText>
        </w:r>
      </w:del>
      <w:ins w:id="19" w:author="MNB" w:date="2024-07-19T16:03:00Z">
        <w:r w:rsidR="00DA6B2C">
          <w:t>6</w:t>
        </w:r>
      </w:ins>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6A93D2CA"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lastRenderedPageBreak/>
              <w:t xml:space="preserve">A tárgynapra vonatkozóan az ügyfélszámlák követel egyenlegeit tartalmazza. Az összesítésnél bruttó elvet kell követni, a tartozások és követelések ügyfelek között nem </w:t>
            </w:r>
            <w:proofErr w:type="spellStart"/>
            <w:r w:rsidRPr="00034107">
              <w:rPr>
                <w:rFonts w:cs="Arial"/>
                <w:szCs w:val="20"/>
              </w:rPr>
              <w:t>nettósíthatók</w:t>
            </w:r>
            <w:proofErr w:type="spellEnd"/>
            <w:r w:rsidRPr="00034107">
              <w:rPr>
                <w:rFonts w:cs="Arial"/>
                <w:szCs w:val="20"/>
              </w:rPr>
              <w:t>,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w:t>
            </w:r>
            <w:proofErr w:type="spellStart"/>
            <w:r w:rsidRPr="00034107">
              <w:rPr>
                <w:rFonts w:cs="Arial"/>
                <w:b/>
                <w:szCs w:val="20"/>
              </w:rPr>
              <w:t>nál</w:t>
            </w:r>
            <w:proofErr w:type="spellEnd"/>
            <w:r w:rsidRPr="00034107">
              <w:rPr>
                <w:rFonts w:cs="Arial"/>
                <w:b/>
                <w:szCs w:val="20"/>
              </w:rPr>
              <w:t xml:space="preserve">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w:t>
            </w:r>
            <w:proofErr w:type="spellStart"/>
            <w:r w:rsidRPr="00034107">
              <w:rPr>
                <w:rFonts w:cs="Arial"/>
                <w:szCs w:val="20"/>
              </w:rPr>
              <w:t>KELER</w:t>
            </w:r>
            <w:proofErr w:type="spellEnd"/>
            <w:r w:rsidRPr="00034107">
              <w:rPr>
                <w:rFonts w:cs="Arial"/>
                <w:szCs w:val="20"/>
              </w:rPr>
              <w:t xml:space="preserve"> </w:t>
            </w:r>
            <w:proofErr w:type="spellStart"/>
            <w:r w:rsidRPr="00034107">
              <w:rPr>
                <w:rFonts w:cs="Arial"/>
                <w:szCs w:val="20"/>
              </w:rPr>
              <w:t>KSZF</w:t>
            </w:r>
            <w:proofErr w:type="spellEnd"/>
            <w:r w:rsidRPr="00034107">
              <w:rPr>
                <w:rFonts w:cs="Arial"/>
                <w:szCs w:val="20"/>
              </w:rPr>
              <w:t xml:space="preserve">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 xml:space="preserve">Azon összeg, amivel az adatszolgáltató belső és külső letéti helyein (számláin) található ügyféltulajdonú pénzeszközök túl- vagy </w:t>
            </w:r>
            <w:proofErr w:type="spellStart"/>
            <w:r w:rsidRPr="00034107">
              <w:rPr>
                <w:rFonts w:cs="Arial"/>
                <w:szCs w:val="20"/>
              </w:rPr>
              <w:t>alulfedezik</w:t>
            </w:r>
            <w:proofErr w:type="spellEnd"/>
            <w:r w:rsidRPr="00034107">
              <w:rPr>
                <w:rFonts w:cs="Arial"/>
                <w:szCs w:val="20"/>
              </w:rPr>
              <w:t xml:space="preserve">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440A88FE" w:rsidR="008E1B21" w:rsidRPr="00034107" w:rsidRDefault="00A071D3" w:rsidP="008963A5">
      <w:pPr>
        <w:pStyle w:val="Cmsor2"/>
      </w:pPr>
      <w:del w:id="20" w:author="MNB" w:date="2024-07-19T16:03:00Z">
        <w:r w:rsidRPr="00034107">
          <w:delText>8</w:delText>
        </w:r>
      </w:del>
      <w:ins w:id="21" w:author="MNB" w:date="2024-07-19T16:03:00Z">
        <w:r w:rsidR="00C36494">
          <w:t>7</w:t>
        </w:r>
      </w:ins>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 xml:space="preserve">A saját tulajdonú papírokra és az ügyfelek papírjaira vonatkozó adatokat </w:t>
      </w:r>
      <w:proofErr w:type="spellStart"/>
      <w:r w:rsidRPr="00034107">
        <w:rPr>
          <w:rFonts w:cs="Arial"/>
          <w:szCs w:val="20"/>
        </w:rPr>
        <w:t>teljeskörűen</w:t>
      </w:r>
      <w:proofErr w:type="spellEnd"/>
      <w:r w:rsidRPr="00034107">
        <w:rPr>
          <w:rFonts w:cs="Arial"/>
          <w:szCs w:val="20"/>
        </w:rPr>
        <w:t xml:space="preserve"> kell szolgáltatni.</w:t>
      </w:r>
    </w:p>
    <w:p w14:paraId="7D7BD51D" w14:textId="000DA058" w:rsidR="008E1B21" w:rsidRPr="00034107" w:rsidRDefault="008E1B21" w:rsidP="00563E43">
      <w:pPr>
        <w:rPr>
          <w:rFonts w:cs="Arial"/>
          <w:szCs w:val="20"/>
        </w:rPr>
      </w:pPr>
      <w:r w:rsidRPr="00034107">
        <w:rPr>
          <w:rFonts w:cs="Arial"/>
          <w:szCs w:val="20"/>
        </w:rPr>
        <w:t xml:space="preserve">Az értékpapírokat </w:t>
      </w:r>
      <w:proofErr w:type="spellStart"/>
      <w:r w:rsidRPr="00034107">
        <w:rPr>
          <w:rFonts w:cs="Arial"/>
          <w:szCs w:val="20"/>
        </w:rPr>
        <w:t>akkortól</w:t>
      </w:r>
      <w:proofErr w:type="spellEnd"/>
      <w:r w:rsidRPr="00034107">
        <w:rPr>
          <w:rFonts w:cs="Arial"/>
          <w:szCs w:val="20"/>
        </w:rPr>
        <w:t xml:space="preserve">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w:t>
            </w:r>
            <w:proofErr w:type="spellStart"/>
            <w:r w:rsidR="00581838" w:rsidRPr="005A47CF">
              <w:rPr>
                <w:rFonts w:cs="Arial"/>
                <w:szCs w:val="20"/>
              </w:rPr>
              <w:t>KELER</w:t>
            </w:r>
            <w:proofErr w:type="spellEnd"/>
            <w:r w:rsidR="00581838" w:rsidRPr="005A47CF">
              <w:rPr>
                <w:rFonts w:cs="Arial"/>
                <w:szCs w:val="20"/>
              </w:rPr>
              <w:t xml:space="preserve"> megbízói alszámláról a </w:t>
            </w:r>
            <w:proofErr w:type="spellStart"/>
            <w:r w:rsidR="00581838" w:rsidRPr="005A47CF">
              <w:rPr>
                <w:rFonts w:cs="Arial"/>
                <w:szCs w:val="20"/>
              </w:rPr>
              <w:t>KELER</w:t>
            </w:r>
            <w:proofErr w:type="spellEnd"/>
            <w:r w:rsidR="00581838" w:rsidRPr="005A47CF">
              <w:rPr>
                <w:rFonts w:cs="Arial"/>
                <w:szCs w:val="20"/>
              </w:rPr>
              <w:t xml:space="preserve">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 xml:space="preserve">A saját tulajdonban álló (a saját számlára kölcsön vett, illetve arról kölcsönadott értékpapírok átvezetése után kialakult saját rendelkezésű értékpapír-állományból </w:t>
            </w:r>
            <w:r w:rsidRPr="00034107">
              <w:rPr>
                <w:rFonts w:cs="Arial"/>
                <w:szCs w:val="20"/>
              </w:rPr>
              <w:lastRenderedPageBreak/>
              <w:t>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63F4C0F6" w:rsidR="00D67070" w:rsidRPr="00034107" w:rsidRDefault="00A071D3" w:rsidP="008963A5">
      <w:pPr>
        <w:pStyle w:val="Cmsor2"/>
      </w:pPr>
      <w:del w:id="22" w:author="MNB" w:date="2024-07-19T16:03:00Z">
        <w:r w:rsidRPr="00034107">
          <w:delText>9</w:delText>
        </w:r>
      </w:del>
      <w:ins w:id="23" w:author="MNB" w:date="2024-07-19T16:03:00Z">
        <w:r w:rsidR="002B5D78">
          <w:t>8</w:t>
        </w:r>
      </w:ins>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3F9B9B3F" w:rsidR="00DA584B" w:rsidRPr="00034107" w:rsidRDefault="00A071D3" w:rsidP="008963A5">
      <w:pPr>
        <w:pStyle w:val="Cmsor2"/>
      </w:pPr>
      <w:del w:id="24" w:author="MNB" w:date="2024-07-19T16:03:00Z">
        <w:r w:rsidRPr="00034107">
          <w:delText>10</w:delText>
        </w:r>
      </w:del>
      <w:ins w:id="25" w:author="MNB" w:date="2024-07-19T16:03:00Z">
        <w:r w:rsidR="00FC2962">
          <w:t>9</w:t>
        </w:r>
      </w:ins>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26"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 xml:space="preserve">és nem </w:t>
      </w:r>
      <w:r w:rsidRPr="00034107">
        <w:rPr>
          <w:rFonts w:cs="Arial"/>
          <w:szCs w:val="20"/>
        </w:rPr>
        <w:lastRenderedPageBreak/>
        <w:t>rendelhetők hozzá egyértelműen egy sorozathoz, becslés alkalmazásával (pl. a piaci értékek arányában) kell szétosztani a sorozatok között.</w:t>
      </w:r>
    </w:p>
    <w:bookmarkEnd w:id="26"/>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w:t>
      </w:r>
      <w:proofErr w:type="gramStart"/>
      <w:r>
        <w:t>0”-</w:t>
      </w:r>
      <w:proofErr w:type="gramEnd"/>
      <w:r>
        <w:t>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w:t>
      </w:r>
      <w:proofErr w:type="spellStart"/>
      <w:r w:rsidRPr="00034107">
        <w:t>sorozatokat</w:t>
      </w:r>
      <w:proofErr w:type="spellEnd"/>
      <w:r w:rsidRPr="00034107">
        <w:t xml:space="preserve">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6EFDF311" w:rsidR="00DA584B" w:rsidRPr="00D43A6C" w:rsidRDefault="00DA584B" w:rsidP="00672CC4">
      <w:r w:rsidRPr="005F4213">
        <w:rPr>
          <w:b/>
          <w:bCs/>
        </w:rPr>
        <w:t>6. oszlop:</w:t>
      </w:r>
      <w:r w:rsidRPr="00F30161">
        <w:t xml:space="preserve"> </w:t>
      </w:r>
      <w:r w:rsidR="00672CC4" w:rsidRPr="00865EBE">
        <w:t>kódtár („</w:t>
      </w:r>
      <w:del w:id="27" w:author="MNB" w:date="2024-07-19T16:03:00Z">
        <w:r w:rsidR="00672CC4" w:rsidRPr="00CE6F9C">
          <w:delText xml:space="preserve">Alap </w:delText>
        </w:r>
        <w:r w:rsidR="00672CC4">
          <w:delText>típus</w:delText>
        </w:r>
        <w:r w:rsidR="00E47800">
          <w:delText>a</w:delText>
        </w:r>
      </w:del>
      <w:ins w:id="28" w:author="MNB" w:date="2024-07-19T16:03:00Z">
        <w:r w:rsidR="006C5FD5">
          <w:t>Elsődleges eszközkategória</w:t>
        </w:r>
      </w:ins>
      <w:r w:rsidR="00672CC4" w:rsidRPr="00865EBE">
        <w:t>”) szerint</w:t>
      </w:r>
      <w:r w:rsidR="00803FA3">
        <w:t xml:space="preserve"> azzal, hogy a</w:t>
      </w:r>
      <w:r w:rsidR="00672CC4">
        <w:t xml:space="preserve"> kódtár „</w:t>
      </w:r>
      <w:r w:rsidR="006C5FD5">
        <w:t>kockázati tőkealap</w:t>
      </w:r>
      <w:del w:id="29" w:author="MNB" w:date="2024-07-19T16:03:00Z">
        <w:r w:rsidR="00672CC4">
          <w:delText>”</w:delText>
        </w:r>
      </w:del>
      <w:r w:rsidR="006C5FD5">
        <w:t xml:space="preserve"> és </w:t>
      </w:r>
      <w:del w:id="30" w:author="MNB" w:date="2024-07-19T16:03:00Z">
        <w:r w:rsidR="00672CC4">
          <w:delText>„</w:delText>
        </w:r>
      </w:del>
      <w:r w:rsidR="006C5FD5">
        <w:t>magántőkealap</w:t>
      </w:r>
      <w:r w:rsidR="00672CC4">
        <w:t>”</w:t>
      </w:r>
      <w:del w:id="31" w:author="MNB" w:date="2024-07-19T16:03:00Z">
        <w:r w:rsidR="00672CC4">
          <w:delText xml:space="preserve"> értékei</w:delText>
        </w:r>
      </w:del>
      <w:ins w:id="32" w:author="MNB" w:date="2024-07-19T16:03:00Z">
        <w:r w:rsidR="00672CC4">
          <w:t xml:space="preserve"> értéke</w:t>
        </w:r>
      </w:ins>
      <w:r w:rsidR="006C5FD5">
        <w:t xml:space="preserve"> </w:t>
      </w:r>
      <w:r w:rsidR="00672CC4">
        <w:t xml:space="preserve">a táblában nem </w:t>
      </w:r>
      <w:del w:id="33" w:author="MNB" w:date="2024-07-19T16:03:00Z">
        <w:r w:rsidR="00672CC4">
          <w:delText>értelmezhetők</w:delText>
        </w:r>
      </w:del>
      <w:ins w:id="34" w:author="MNB" w:date="2024-07-19T16:03:00Z">
        <w:r w:rsidR="00672CC4">
          <w:t>értelmezhető</w:t>
        </w:r>
      </w:ins>
      <w:r w:rsidR="00672CC4">
        <w:t>.</w:t>
      </w:r>
    </w:p>
    <w:p w14:paraId="07F451E3" w14:textId="75B7286D" w:rsidR="00DA584B" w:rsidRDefault="00DA584B" w:rsidP="000E33CD">
      <w:r w:rsidRPr="005F4213">
        <w:rPr>
          <w:b/>
          <w:bCs/>
        </w:rPr>
        <w:t>7. oszlop:</w:t>
      </w:r>
      <w:r w:rsidRPr="00F30161">
        <w:t xml:space="preserve"> </w:t>
      </w:r>
      <w:r w:rsidR="006C5FD5" w:rsidRPr="006C5FD5">
        <w:t xml:space="preserve">kódtár </w:t>
      </w:r>
      <w:del w:id="35" w:author="MNB" w:date="2024-07-19T16:03:00Z">
        <w:r w:rsidR="002A0AC2" w:rsidRPr="00865EBE">
          <w:delText>(„</w:delText>
        </w:r>
      </w:del>
      <w:ins w:id="36" w:author="MNB" w:date="2024-07-19T16:03:00Z">
        <w:r w:rsidR="006C5FD5" w:rsidRPr="006C5FD5">
          <w:t>[a 78/2014. (III. 14.) Korm. rendelet hatálya alá nem tartozó alap esetén „</w:t>
        </w:r>
      </w:ins>
      <w:r w:rsidR="006C5FD5" w:rsidRPr="006C5FD5">
        <w:t>Befektetési politika</w:t>
      </w:r>
      <w:del w:id="37" w:author="MNB" w:date="2024-07-19T16:03:00Z">
        <w:r w:rsidR="002A0AC2" w:rsidRPr="00865EBE">
          <w:delText>”)</w:delText>
        </w:r>
      </w:del>
      <w:ins w:id="38" w:author="MNB" w:date="2024-07-19T16:03:00Z">
        <w:r w:rsidR="006C5FD5" w:rsidRPr="006C5FD5">
          <w:t>”, a 78/2014 (III. 14.) Korm. rendelet hatálya alá tartozó alap esetén „Befektetési politika kódtára 78/2014. (III. 14.) Korm. rendelet szerint”]</w:t>
        </w:r>
      </w:ins>
      <w:r w:rsidR="006C5FD5" w:rsidRPr="006C5FD5">
        <w:t xml:space="preserve"> szerint azzal, hogy a </w:t>
      </w:r>
      <w:del w:id="39" w:author="MNB" w:date="2024-07-19T16:03:00Z">
        <w:r w:rsidR="002A0AC2">
          <w:delText>kódtár</w:delText>
        </w:r>
      </w:del>
      <w:ins w:id="40" w:author="MNB" w:date="2024-07-19T16:03:00Z">
        <w:r w:rsidR="006C5FD5" w:rsidRPr="006C5FD5">
          <w:t>78/2014. (III. 14.) Korm. rendelet hatálya alá nem tartozó alapnak kell tekinteni a 78/2014. (III. 14.) Korm. rendelet 1/A. §-</w:t>
        </w:r>
        <w:proofErr w:type="spellStart"/>
        <w:r w:rsidR="006C5FD5" w:rsidRPr="006C5FD5">
          <w:t>ában</w:t>
        </w:r>
        <w:proofErr w:type="spellEnd"/>
        <w:r w:rsidR="006C5FD5" w:rsidRPr="006C5FD5">
          <w:t>, illetve 1/L. §-</w:t>
        </w:r>
        <w:proofErr w:type="spellStart"/>
        <w:r w:rsidR="006C5FD5" w:rsidRPr="006C5FD5">
          <w:t>ában</w:t>
        </w:r>
        <w:proofErr w:type="spellEnd"/>
        <w:r w:rsidR="006C5FD5" w:rsidRPr="006C5FD5">
          <w:t xml:space="preserve"> nevesített, az (EU) 2017/1131 európai parlamenti és tanácsi rendelet által szabályozott pénzpiaci alapot, illetve a zártkörű befektetési alapot és a nyilvános, belépési korláttal rendelkező ingatlanalapot. </w:t>
        </w:r>
        <w:r w:rsidR="006C5FD5">
          <w:t>A</w:t>
        </w:r>
        <w:r w:rsidR="00C77A98">
          <w:t xml:space="preserve"> </w:t>
        </w:r>
        <w:r w:rsidR="002A0AC2">
          <w:t>kódtár</w:t>
        </w:r>
        <w:r w:rsidR="006C5FD5">
          <w:t>ak</w:t>
        </w:r>
      </w:ins>
      <w:r w:rsidR="002A0AC2">
        <w:t xml:space="preserve"> „kockázati tőkealap</w:t>
      </w:r>
      <w:del w:id="41" w:author="MNB" w:date="2024-07-19T16:03:00Z">
        <w:r w:rsidR="002A0AC2">
          <w:delText>”</w:delText>
        </w:r>
      </w:del>
      <w:r w:rsidR="002A0AC2">
        <w:t xml:space="preserve"> és </w:t>
      </w:r>
      <w:del w:id="42" w:author="MNB" w:date="2024-07-19T16:03:00Z">
        <w:r w:rsidR="002A0AC2">
          <w:delText>„</w:delText>
        </w:r>
      </w:del>
      <w:r w:rsidR="002A0AC2">
        <w:t xml:space="preserve">magántőkealap” </w:t>
      </w:r>
      <w:del w:id="43" w:author="MNB" w:date="2024-07-19T16:03:00Z">
        <w:r w:rsidR="002A0AC2">
          <w:delText>értékei</w:delText>
        </w:r>
      </w:del>
      <w:ins w:id="44" w:author="MNB" w:date="2024-07-19T16:03:00Z">
        <w:r w:rsidR="002A0AC2">
          <w:t>értéke</w:t>
        </w:r>
      </w:ins>
      <w:r w:rsidR="002A0AC2">
        <w:t xml:space="preserve"> a táblában nem </w:t>
      </w:r>
      <w:del w:id="45" w:author="MNB" w:date="2024-07-19T16:03:00Z">
        <w:r w:rsidR="002A0AC2">
          <w:delText>értelmezhetők</w:delText>
        </w:r>
      </w:del>
      <w:ins w:id="46" w:author="MNB" w:date="2024-07-19T16:03:00Z">
        <w:r w:rsidR="002A0AC2">
          <w:t>értelmezhető</w:t>
        </w:r>
      </w:ins>
      <w:r w:rsidR="002A0AC2">
        <w:t>.</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3881516D" w:rsidR="009A7F4C" w:rsidRDefault="009A7F4C" w:rsidP="000E33CD">
      <w:r>
        <w:t xml:space="preserve">A </w:t>
      </w:r>
      <w:r w:rsidRPr="009A7F4C">
        <w:rPr>
          <w:b/>
          <w:bCs/>
        </w:rPr>
        <w:t>24. és 25.oszlopban</w:t>
      </w:r>
      <w:r>
        <w:t xml:space="preserve"> a dátumokat </w:t>
      </w:r>
      <w:proofErr w:type="spellStart"/>
      <w:proofErr w:type="gramStart"/>
      <w:r>
        <w:t>ÉÉÉÉ.HH.NN</w:t>
      </w:r>
      <w:proofErr w:type="spellEnd"/>
      <w:proofErr w:type="gramEnd"/>
      <w:r>
        <w:t xml:space="preserve"> dátumformátumban kell megadni </w:t>
      </w:r>
      <w:r w:rsidR="000F115B">
        <w:t>(</w:t>
      </w:r>
      <w:r>
        <w:t xml:space="preserve">például: </w:t>
      </w:r>
      <w:del w:id="47" w:author="MNB" w:date="2024-07-19T16:03:00Z">
        <w:r>
          <w:delText>2023</w:delText>
        </w:r>
      </w:del>
      <w:ins w:id="48" w:author="MNB" w:date="2024-07-19T16:03:00Z">
        <w:r w:rsidR="001C4CC2">
          <w:t>2024</w:t>
        </w:r>
      </w:ins>
      <w:r>
        <w:t>.03.11).</w:t>
      </w:r>
    </w:p>
    <w:p w14:paraId="3A3D54F2" w14:textId="34BF8D38" w:rsidR="001E3AD2" w:rsidRDefault="00DA584B" w:rsidP="000E33CD">
      <w:r w:rsidRPr="00034107">
        <w:lastRenderedPageBreak/>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kizárólag „</w:t>
      </w:r>
      <w:proofErr w:type="gramStart"/>
      <w:r w:rsidR="001E3AD2">
        <w:t>0”-</w:t>
      </w:r>
      <w:proofErr w:type="gramEnd"/>
      <w:r w:rsidR="001E3AD2">
        <w:t xml:space="preserve">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894AC34" w:rsidR="004D0F44" w:rsidRDefault="00D36435" w:rsidP="000E33CD">
      <w:pPr>
        <w:rPr>
          <w:ins w:id="49" w:author="MNB" w:date="2024-07-19T16:03:00Z"/>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w:t>
      </w:r>
      <w:proofErr w:type="spellStart"/>
      <w:r w:rsidRPr="00D36435">
        <w:rPr>
          <w:rFonts w:cs="Arial"/>
          <w:szCs w:val="20"/>
        </w:rPr>
        <w:t>S&amp;P</w:t>
      </w:r>
      <w:proofErr w:type="spellEnd"/>
      <w:r w:rsidRPr="00D36435">
        <w:rPr>
          <w:rFonts w:cs="Arial"/>
          <w:szCs w:val="20"/>
        </w:rPr>
        <w:t xml:space="preserve"> 500 + 20% MAX. </w:t>
      </w:r>
      <w:del w:id="50" w:author="MNB" w:date="2024-07-19T16:03:00Z">
        <w:r>
          <w:rPr>
            <w:rFonts w:cs="Arial"/>
            <w:szCs w:val="20"/>
          </w:rPr>
          <w:delText>Ha</w:delText>
        </w:r>
      </w:del>
    </w:p>
    <w:p w14:paraId="169D0C56" w14:textId="5F1783E8" w:rsidR="006C5FD5" w:rsidRPr="00EE4664" w:rsidRDefault="006C5FD5" w:rsidP="006C5FD5">
      <w:pPr>
        <w:rPr>
          <w:bCs/>
        </w:rPr>
      </w:pPr>
      <w:bookmarkStart w:id="51" w:name="_Hlk164870772"/>
      <w:ins w:id="52" w:author="MNB" w:date="2024-07-19T16:03:00Z">
        <w:r w:rsidRPr="009B40D3">
          <w:rPr>
            <w:bCs/>
          </w:rPr>
          <w:t xml:space="preserve">A </w:t>
        </w:r>
        <w:r w:rsidRPr="009B40D3">
          <w:rPr>
            <w:b/>
          </w:rPr>
          <w:t>47. oszlopban</w:t>
        </w:r>
        <w:r w:rsidRPr="009B40D3">
          <w:rPr>
            <w:bCs/>
          </w:rPr>
          <w:t xml:space="preserve"> szükséges megadni – amennyiben van –</w:t>
        </w:r>
      </w:ins>
      <w:r w:rsidRPr="009B40D3">
        <w:rPr>
          <w:bCs/>
        </w:rPr>
        <w:t xml:space="preserve"> az adott sorozat </w:t>
      </w:r>
      <w:del w:id="53" w:author="MNB" w:date="2024-07-19T16:03:00Z">
        <w:r w:rsidR="00D36435" w:rsidRPr="00D36435">
          <w:rPr>
            <w:rFonts w:cs="Arial"/>
            <w:szCs w:val="20"/>
          </w:rPr>
          <w:delText xml:space="preserve">nem alkalmaz referencia mutatót, de sikerdíjat felszámíthat, </w:delText>
        </w:r>
        <w:r w:rsidR="00D36435">
          <w:rPr>
            <w:rFonts w:cs="Arial"/>
            <w:szCs w:val="20"/>
          </w:rPr>
          <w:delText>akkor</w:delText>
        </w:r>
      </w:del>
      <w:ins w:id="54" w:author="MNB" w:date="2024-07-19T16:03:00Z">
        <w:r w:rsidRPr="009B40D3">
          <w:rPr>
            <w:bCs/>
          </w:rPr>
          <w:t>esetében alkalmazott sikerdíjmodellt,</w:t>
        </w:r>
      </w:ins>
      <w:r w:rsidRPr="009B40D3">
        <w:rPr>
          <w:bCs/>
        </w:rPr>
        <w:t xml:space="preserve"> a sikerdíjmodell tájékoztatóban szereplő rövid </w:t>
      </w:r>
      <w:del w:id="55" w:author="MNB" w:date="2024-07-19T16:03:00Z">
        <w:r w:rsidR="00D36435" w:rsidRPr="00D36435">
          <w:rPr>
            <w:rFonts w:cs="Arial"/>
            <w:szCs w:val="20"/>
          </w:rPr>
          <w:delText xml:space="preserve">változatát </w:delText>
        </w:r>
        <w:r w:rsidR="00D36435">
          <w:rPr>
            <w:rFonts w:cs="Arial"/>
            <w:szCs w:val="20"/>
          </w:rPr>
          <w:delText>kell szerepeltetni</w:delText>
        </w:r>
      </w:del>
      <w:ins w:id="56" w:author="MNB" w:date="2024-07-19T16:03:00Z">
        <w:r w:rsidRPr="009B40D3">
          <w:rPr>
            <w:bCs/>
          </w:rPr>
          <w:t>változat</w:t>
        </w:r>
        <w:r w:rsidR="00343DCD">
          <w:rPr>
            <w:bCs/>
          </w:rPr>
          <w:t>ot</w:t>
        </w:r>
        <w:r w:rsidRPr="009B40D3">
          <w:rPr>
            <w:bCs/>
          </w:rPr>
          <w:t xml:space="preserve"> szerepeltet</w:t>
        </w:r>
        <w:r w:rsidR="00343DCD">
          <w:rPr>
            <w:bCs/>
          </w:rPr>
          <w:t>ve</w:t>
        </w:r>
      </w:ins>
      <w:r w:rsidRPr="009B40D3">
        <w:rPr>
          <w:bCs/>
        </w:rPr>
        <w:t xml:space="preserve">, szöveges formában, százalékos érték esetén tizedespont alkalmazásával (például </w:t>
      </w:r>
      <w:proofErr w:type="spellStart"/>
      <w:r w:rsidRPr="009B40D3">
        <w:rPr>
          <w:bCs/>
        </w:rPr>
        <w:t>HWM</w:t>
      </w:r>
      <w:proofErr w:type="spellEnd"/>
      <w:r w:rsidRPr="009B40D3">
        <w:rPr>
          <w:bCs/>
        </w:rPr>
        <w:t xml:space="preserve"> + 3% küszöbhozam, vagy </w:t>
      </w:r>
      <w:proofErr w:type="spellStart"/>
      <w:r w:rsidRPr="009B40D3">
        <w:rPr>
          <w:bCs/>
        </w:rPr>
        <w:t>HoH</w:t>
      </w:r>
      <w:proofErr w:type="spellEnd"/>
      <w:r w:rsidRPr="009B40D3">
        <w:rPr>
          <w:bCs/>
        </w:rPr>
        <w:t xml:space="preserve"> + 2.5% hozamkorlát).</w:t>
      </w:r>
    </w:p>
    <w:bookmarkEnd w:id="51"/>
    <w:p w14:paraId="2621B344" w14:textId="77777777" w:rsidR="006C5FD5" w:rsidRPr="00D36435" w:rsidRDefault="006C5FD5" w:rsidP="000E33CD">
      <w:pPr>
        <w:rPr>
          <w:rFonts w:cs="Arial"/>
          <w:szCs w:val="20"/>
        </w:rPr>
      </w:pPr>
    </w:p>
    <w:p w14:paraId="022F05BF" w14:textId="242C4335" w:rsidR="00DA584B" w:rsidRPr="00034107" w:rsidRDefault="00A071D3" w:rsidP="008963A5">
      <w:pPr>
        <w:pStyle w:val="Cmsor2"/>
      </w:pPr>
      <w:del w:id="57" w:author="MNB" w:date="2024-07-19T16:03:00Z">
        <w:r w:rsidRPr="00034107">
          <w:delText>11</w:delText>
        </w:r>
      </w:del>
      <w:ins w:id="58" w:author="MNB" w:date="2024-07-19T16:03:00Z">
        <w:r w:rsidRPr="00034107">
          <w:t>1</w:t>
        </w:r>
        <w:r w:rsidR="00343DCD">
          <w:t>0</w:t>
        </w:r>
      </w:ins>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w:t>
      </w:r>
      <w:proofErr w:type="spellStart"/>
      <w:r w:rsidRPr="00034107">
        <w:t>sorozatokat</w:t>
      </w:r>
      <w:proofErr w:type="spellEnd"/>
      <w:r w:rsidRPr="00034107">
        <w:t xml:space="preserve">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 xml:space="preserve">Az adatokat sorozatonként, és azon belül a 4. oszlopban feltüntetett </w:t>
      </w:r>
      <w:proofErr w:type="spellStart"/>
      <w:r w:rsidRPr="00034107">
        <w:t>költségfajtánként</w:t>
      </w:r>
      <w:proofErr w:type="spellEnd"/>
      <w:r w:rsidRPr="00034107">
        <w:t xml:space="preserve">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511B1F9F" w:rsidR="00DA584B" w:rsidRPr="00034107" w:rsidRDefault="00A071D3" w:rsidP="008963A5">
      <w:pPr>
        <w:pStyle w:val="Cmsor2"/>
      </w:pPr>
      <w:del w:id="59" w:author="MNB" w:date="2024-07-19T16:03:00Z">
        <w:r w:rsidRPr="00034107">
          <w:delText>12</w:delText>
        </w:r>
      </w:del>
      <w:ins w:id="60" w:author="MNB" w:date="2024-07-19T16:03:00Z">
        <w:r w:rsidRPr="00034107">
          <w:t>1</w:t>
        </w:r>
        <w:r w:rsidR="009849DC">
          <w:t>1</w:t>
        </w:r>
      </w:ins>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táblában a sorozat nettó eszközértékének 10%-</w:t>
      </w:r>
      <w:proofErr w:type="spellStart"/>
      <w:r w:rsidRPr="00034107">
        <w:t>ánál</w:t>
      </w:r>
      <w:proofErr w:type="spellEnd"/>
      <w:r w:rsidRPr="00034107">
        <w:t xml:space="preserve">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t>A tábla oszlopai:</w:t>
      </w:r>
    </w:p>
    <w:p w14:paraId="6BC6D989" w14:textId="4482F8B3" w:rsidR="00ED7DDB" w:rsidRPr="003C41C0" w:rsidRDefault="00ED7DDB" w:rsidP="000E33CD">
      <w:pPr>
        <w:rPr>
          <w:b/>
        </w:rPr>
      </w:pPr>
      <w:r w:rsidRPr="003C41C0">
        <w:rPr>
          <w:rFonts w:eastAsia="Times New Roman"/>
          <w:b/>
          <w:bCs/>
        </w:rPr>
        <w:lastRenderedPageBreak/>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w:t>
      </w:r>
      <w:proofErr w:type="spellStart"/>
      <w:r w:rsidRPr="00034107">
        <w:t>ánál</w:t>
      </w:r>
      <w:proofErr w:type="spellEnd"/>
      <w:r w:rsidRPr="00034107">
        <w:t xml:space="preserve">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a 10%-</w:t>
      </w:r>
      <w:proofErr w:type="spellStart"/>
      <w:r w:rsidRPr="00034107">
        <w:t>nál</w:t>
      </w:r>
      <w:proofErr w:type="spellEnd"/>
      <w:r w:rsidRPr="00034107">
        <w:t xml:space="preserve">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 xml:space="preserve">PSZÁF ajánlás II. 8. pont </w:t>
      </w:r>
      <w:proofErr w:type="gramStart"/>
      <w:r w:rsidRPr="00034107">
        <w:t>a)-</w:t>
      </w:r>
      <w:proofErr w:type="gramEnd"/>
      <w:r w:rsidRPr="00034107">
        <w:t>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1898E8A9" w:rsidR="00DA584B" w:rsidRPr="00034107" w:rsidRDefault="00A071D3" w:rsidP="008963A5">
      <w:pPr>
        <w:pStyle w:val="Cmsor2"/>
      </w:pPr>
      <w:del w:id="61" w:author="MNB" w:date="2024-07-19T16:03:00Z">
        <w:r w:rsidRPr="00034107">
          <w:delText>13</w:delText>
        </w:r>
      </w:del>
      <w:ins w:id="62" w:author="MNB" w:date="2024-07-19T16:03:00Z">
        <w:r w:rsidRPr="00034107">
          <w:t>1</w:t>
        </w:r>
        <w:r w:rsidR="008963A5">
          <w:t>2</w:t>
        </w:r>
      </w:ins>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w:t>
      </w:r>
      <w:proofErr w:type="spellStart"/>
      <w:r w:rsidRPr="00034107">
        <w:t>forgalmazónként</w:t>
      </w:r>
      <w:proofErr w:type="spellEnd"/>
      <w:r w:rsidRPr="00034107">
        <w:t xml:space="preserve">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3D226354" w:rsidR="00380FCE" w:rsidRPr="00034107" w:rsidRDefault="00A071D3" w:rsidP="008963A5">
      <w:pPr>
        <w:pStyle w:val="Cmsor2"/>
      </w:pPr>
      <w:del w:id="63" w:author="MNB" w:date="2024-07-19T16:03:00Z">
        <w:r w:rsidRPr="00034107">
          <w:delText>14</w:delText>
        </w:r>
      </w:del>
      <w:ins w:id="64" w:author="MNB" w:date="2024-07-19T16:03:00Z">
        <w:r w:rsidRPr="00034107">
          <w:t>1</w:t>
        </w:r>
        <w:r w:rsidR="008963A5">
          <w:t>3</w:t>
        </w:r>
      </w:ins>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6B494F60" w:rsidR="00380FCE" w:rsidRPr="00034107" w:rsidRDefault="00380FCE" w:rsidP="000E33CD">
      <w:r w:rsidRPr="00034107">
        <w:t>A tábla kitöltésé</w:t>
      </w:r>
      <w:r w:rsidR="00804088" w:rsidRPr="00034107">
        <w:t>r</w:t>
      </w:r>
      <w:r w:rsidRPr="00034107">
        <w:t xml:space="preserve">e a </w:t>
      </w:r>
      <w:proofErr w:type="spellStart"/>
      <w:r w:rsidRPr="00034107">
        <w:t>Kbftv</w:t>
      </w:r>
      <w:proofErr w:type="spellEnd"/>
      <w:r w:rsidRPr="00034107">
        <w:t>. 4.</w:t>
      </w:r>
      <w:r w:rsidR="00804088" w:rsidRPr="00034107">
        <w:t xml:space="preserve"> </w:t>
      </w:r>
      <w:r w:rsidRPr="00034107">
        <w:t xml:space="preserve">§ (1) bekezdés 91. pontja és </w:t>
      </w:r>
      <w:del w:id="65" w:author="MNB" w:date="2024-07-19T16:03:00Z">
        <w:r w:rsidRPr="00034107">
          <w:delText xml:space="preserve">a </w:delText>
        </w:r>
      </w:del>
      <w:r w:rsidRPr="00034107">
        <w:t>16. §</w:t>
      </w:r>
      <w:r w:rsidR="00C80DEC" w:rsidRPr="00034107">
        <w:t>-a</w:t>
      </w:r>
      <w:r w:rsidRPr="00034107">
        <w:t xml:space="preserve"> az irányadó.</w:t>
      </w:r>
    </w:p>
    <w:p w14:paraId="296DDD2A" w14:textId="77777777" w:rsidR="00380FCE" w:rsidRPr="00034107" w:rsidRDefault="00380FCE" w:rsidP="000E33CD">
      <w:r w:rsidRPr="00034107">
        <w:t xml:space="preserve">A </w:t>
      </w:r>
      <w:proofErr w:type="spellStart"/>
      <w:r w:rsidRPr="00034107">
        <w:t>Kbftv</w:t>
      </w:r>
      <w:proofErr w:type="spellEnd"/>
      <w:r w:rsidRPr="00034107">
        <w:t>. 16. §-</w:t>
      </w:r>
      <w:proofErr w:type="spellStart"/>
      <w:r w:rsidRPr="00034107">
        <w:t>ában</w:t>
      </w:r>
      <w:proofErr w:type="spellEnd"/>
      <w:r w:rsidRPr="00034107">
        <w:t xml:space="preserve">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w:t>
      </w:r>
      <w:proofErr w:type="spellStart"/>
      <w:r w:rsidRPr="00034107">
        <w:t>Kbftv</w:t>
      </w:r>
      <w:proofErr w:type="spellEnd"/>
      <w:r w:rsidRPr="00034107">
        <w:t xml:space="preserve">. 16. §-a alapján számolt tőkekövetelmény. </w:t>
      </w:r>
    </w:p>
    <w:p w14:paraId="39A44816" w14:textId="4498CFE8" w:rsidR="00D736FF" w:rsidRPr="00034107" w:rsidRDefault="00AC6558" w:rsidP="000E33CD">
      <w:r w:rsidRPr="00034107">
        <w:t xml:space="preserve">Számítása: 50T1 = </w:t>
      </w:r>
      <w:proofErr w:type="spellStart"/>
      <w:proofErr w:type="gramStart"/>
      <w:r w:rsidRPr="00034107">
        <w:t>max</w:t>
      </w:r>
      <w:proofErr w:type="spellEnd"/>
      <w:r w:rsidR="00380FCE" w:rsidRPr="00034107">
        <w:t>{</w:t>
      </w:r>
      <w:proofErr w:type="gramEnd"/>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 xml:space="preserve">50T12 A </w:t>
      </w:r>
      <w:proofErr w:type="spellStart"/>
      <w:r w:rsidRPr="00034107">
        <w:rPr>
          <w:rFonts w:cs="Arial"/>
          <w:b/>
          <w:color w:val="000000"/>
          <w:szCs w:val="20"/>
        </w:rPr>
        <w:t>Kbftv</w:t>
      </w:r>
      <w:proofErr w:type="spellEnd"/>
      <w:r w:rsidRPr="00034107">
        <w:rPr>
          <w:rFonts w:cs="Arial"/>
          <w:b/>
          <w:color w:val="000000"/>
          <w:szCs w:val="20"/>
        </w:rPr>
        <w:t>.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w:t>
      </w:r>
      <w:proofErr w:type="spellStart"/>
      <w:r w:rsidRPr="00034107">
        <w:rPr>
          <w:rFonts w:cs="Arial"/>
          <w:b/>
          <w:color w:val="000000"/>
          <w:szCs w:val="20"/>
        </w:rPr>
        <w:t>ának</w:t>
      </w:r>
      <w:proofErr w:type="spellEnd"/>
      <w:r w:rsidRPr="00034107">
        <w:rPr>
          <w:rFonts w:cs="Arial"/>
          <w:b/>
          <w:color w:val="000000"/>
          <w:szCs w:val="20"/>
        </w:rPr>
        <w:t xml:space="preserve">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proofErr w:type="spellStart"/>
      <w:r w:rsidR="00211576" w:rsidRPr="00034107">
        <w:rPr>
          <w:rFonts w:cs="Arial"/>
          <w:color w:val="000000"/>
          <w:szCs w:val="20"/>
        </w:rPr>
        <w:t>Va</w:t>
      </w:r>
      <w:proofErr w:type="spellEnd"/>
      <w:r w:rsidR="00211576" w:rsidRPr="00034107">
        <w:rPr>
          <w:rFonts w:cs="Arial"/>
          <w:color w:val="000000"/>
          <w:szCs w:val="20"/>
        </w:rPr>
        <w:t>.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w:t>
      </w:r>
      <w:proofErr w:type="spellStart"/>
      <w:r w:rsidRPr="00034107">
        <w:rPr>
          <w:rFonts w:cs="Arial"/>
          <w:b/>
          <w:szCs w:val="20"/>
        </w:rPr>
        <w:t>Kbftv</w:t>
      </w:r>
      <w:proofErr w:type="spellEnd"/>
      <w:r w:rsidRPr="00034107">
        <w:rPr>
          <w:rFonts w:cs="Arial"/>
          <w:b/>
          <w:szCs w:val="20"/>
        </w:rPr>
        <w:t>. 4. § (1) bekezdés 91. pont):</w:t>
      </w:r>
      <w:r w:rsidRPr="00034107">
        <w:rPr>
          <w:rFonts w:cs="Arial"/>
          <w:szCs w:val="20"/>
        </w:rPr>
        <w:t xml:space="preserve"> </w:t>
      </w:r>
      <w:r w:rsidR="00ED7D8A" w:rsidRPr="00034107">
        <w:rPr>
          <w:rFonts w:cs="Arial"/>
          <w:szCs w:val="20"/>
        </w:rPr>
        <w:t xml:space="preserve">a </w:t>
      </w:r>
      <w:proofErr w:type="spellStart"/>
      <w:r w:rsidR="00ED7D8A" w:rsidRPr="00034107">
        <w:rPr>
          <w:rFonts w:cs="Arial"/>
          <w:szCs w:val="20"/>
        </w:rPr>
        <w:t>CRR</w:t>
      </w:r>
      <w:proofErr w:type="spellEnd"/>
      <w:r w:rsidR="00ED7D8A" w:rsidRPr="00034107">
        <w:rPr>
          <w:rFonts w:cs="Arial"/>
          <w:szCs w:val="20"/>
        </w:rPr>
        <w:t xml:space="preserve">-ben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lastRenderedPageBreak/>
        <w:t xml:space="preserve">Likvid eszközként a </w:t>
      </w:r>
      <w:proofErr w:type="spellStart"/>
      <w:r w:rsidRPr="00034107">
        <w:rPr>
          <w:rFonts w:cs="Arial"/>
          <w:szCs w:val="20"/>
        </w:rPr>
        <w:t>Kbftv</w:t>
      </w:r>
      <w:proofErr w:type="spellEnd"/>
      <w:r w:rsidRPr="00034107">
        <w:rPr>
          <w:rFonts w:cs="Arial"/>
          <w:szCs w:val="20"/>
        </w:rPr>
        <w:t>.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1BFDD750" w:rsidR="00C64B62" w:rsidRPr="00034107" w:rsidRDefault="00A071D3" w:rsidP="008963A5">
      <w:pPr>
        <w:pStyle w:val="Cmsor2"/>
      </w:pPr>
      <w:del w:id="66" w:author="MNB" w:date="2024-07-19T16:03:00Z">
        <w:r w:rsidRPr="00034107">
          <w:delText>15</w:delText>
        </w:r>
      </w:del>
      <w:ins w:id="67" w:author="MNB" w:date="2024-07-19T16:03:00Z">
        <w:r w:rsidRPr="00034107">
          <w:t>1</w:t>
        </w:r>
        <w:r w:rsidR="008963A5">
          <w:t>4</w:t>
        </w:r>
      </w:ins>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w:t>
      </w:r>
      <w:proofErr w:type="spellStart"/>
      <w:r w:rsidR="00C64B62" w:rsidRPr="00034107">
        <w:rPr>
          <w:b/>
        </w:rPr>
        <w:t>auditor</w:t>
      </w:r>
      <w:proofErr w:type="spellEnd"/>
      <w:r w:rsidR="00C64B62" w:rsidRPr="00034107">
        <w:rPr>
          <w:b/>
        </w:rPr>
        <w:t xml:space="preserve">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68" w:name="_Hlk40355581"/>
      <w:r>
        <w:rPr>
          <w:b/>
        </w:rPr>
        <w:t>50U</w:t>
      </w:r>
      <w:r w:rsidRPr="000617FC">
        <w:rPr>
          <w:b/>
        </w:rPr>
        <w:t>0901 A legfontosabb rendszerek üzemeltetése saját gépteremben vagy külső adatközpont(ok)</w:t>
      </w:r>
      <w:proofErr w:type="spellStart"/>
      <w:r w:rsidRPr="000617FC">
        <w:rPr>
          <w:b/>
        </w:rPr>
        <w:t>ban</w:t>
      </w:r>
      <w:proofErr w:type="spellEnd"/>
      <w:r w:rsidRPr="000617FC">
        <w:rPr>
          <w:b/>
        </w:rPr>
        <w:t xml:space="preserve">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339EE7ED" w:rsidR="001D2423" w:rsidRPr="001968FC" w:rsidRDefault="00735D65" w:rsidP="000E33CD">
      <w:r>
        <w:rPr>
          <w:b/>
        </w:rPr>
        <w:t>50U</w:t>
      </w:r>
      <w:r w:rsidR="001D2423" w:rsidRPr="000617FC">
        <w:rPr>
          <w:b/>
        </w:rPr>
        <w:t>0913</w:t>
      </w:r>
      <w:r w:rsidR="00E653A6">
        <w:rPr>
          <w:b/>
        </w:rPr>
        <w:t>–</w:t>
      </w:r>
      <w:r>
        <w:rPr>
          <w:b/>
        </w:rPr>
        <w:t>50U</w:t>
      </w:r>
      <w:r w:rsidR="001D2423" w:rsidRPr="000617FC">
        <w:rPr>
          <w:b/>
        </w:rPr>
        <w:t xml:space="preserve">0918 </w:t>
      </w:r>
      <w:del w:id="69" w:author="MNB" w:date="2024-07-19T16:03:00Z">
        <w:r w:rsidR="001D2423" w:rsidRPr="000617FC">
          <w:rPr>
            <w:b/>
          </w:rPr>
          <w:delText>sorok</w:delText>
        </w:r>
      </w:del>
      <w:ins w:id="70" w:author="MNB" w:date="2024-07-19T16:03:00Z">
        <w:r w:rsidR="001D2423" w:rsidRPr="000617FC">
          <w:rPr>
            <w:b/>
          </w:rPr>
          <w:t>sor</w:t>
        </w:r>
      </w:ins>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68"/>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w:t>
      </w:r>
      <w:proofErr w:type="spellStart"/>
      <w:r w:rsidRPr="001B0129">
        <w:t>EBA</w:t>
      </w:r>
      <w:proofErr w:type="spellEnd"/>
      <w:r w:rsidRPr="001B0129">
        <w:t>/</w:t>
      </w:r>
      <w:proofErr w:type="spellStart"/>
      <w:r w:rsidRPr="001B0129">
        <w:t>REC</w:t>
      </w:r>
      <w:proofErr w:type="spellEnd"/>
      <w:r w:rsidRPr="001B0129">
        <w:t>/2017/03)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71" w:name="_Hlk40355687"/>
      <w:r>
        <w:rPr>
          <w:b/>
        </w:rPr>
        <w:t>50U11</w:t>
      </w:r>
      <w:r w:rsidRPr="000617FC">
        <w:rPr>
          <w:b/>
        </w:rPr>
        <w:t xml:space="preserve"> Elektronikus csatornák</w:t>
      </w:r>
    </w:p>
    <w:p w14:paraId="3E810F2A" w14:textId="385ABFA3" w:rsidR="00735D65"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203DA62F" w:rsidR="00E653A6" w:rsidRPr="007F4863" w:rsidRDefault="00453FF3" w:rsidP="000E33CD">
      <w:pPr>
        <w:rPr>
          <w:ins w:id="72" w:author="MNB" w:date="2024-07-19T16:03:00Z"/>
        </w:rPr>
      </w:pPr>
      <w:del w:id="73" w:author="MNB" w:date="2024-07-19T16:03:00Z">
        <w:r w:rsidRPr="00695423">
          <w:delText>16</w:delText>
        </w:r>
      </w:del>
    </w:p>
    <w:p w14:paraId="1329CFAD" w14:textId="11B5442D" w:rsidR="00695423" w:rsidRPr="00695423" w:rsidRDefault="00453FF3" w:rsidP="008963A5">
      <w:pPr>
        <w:pStyle w:val="Cmsor2"/>
      </w:pPr>
      <w:ins w:id="74" w:author="MNB" w:date="2024-07-19T16:03:00Z">
        <w:r w:rsidRPr="00695423">
          <w:t>1</w:t>
        </w:r>
        <w:r w:rsidR="00E653A6">
          <w:t>5</w:t>
        </w:r>
      </w:ins>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 xml:space="preserve">Intézményszintű </w:t>
      </w:r>
      <w:proofErr w:type="spellStart"/>
      <w:r w:rsidR="00695423" w:rsidRPr="00695423">
        <w:t>SFDR</w:t>
      </w:r>
      <w:proofErr w:type="spellEnd"/>
      <w:r w:rsidR="00695423" w:rsidRPr="00695423">
        <w:t xml:space="preserve">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w:t>
      </w:r>
      <w:proofErr w:type="spellStart"/>
      <w:r w:rsidRPr="002C1F13">
        <w:t>SFDR</w:t>
      </w:r>
      <w:proofErr w:type="spellEnd"/>
      <w:r w:rsidRPr="002C1F13">
        <w:t xml:space="preserve"> és </w:t>
      </w:r>
      <w:r>
        <w:t xml:space="preserve">az </w:t>
      </w:r>
      <w:proofErr w:type="spellStart"/>
      <w:r>
        <w:t>SFDR</w:t>
      </w:r>
      <w:proofErr w:type="spellEnd"/>
      <w:r>
        <w:t xml:space="preserve"> </w:t>
      </w:r>
      <w:proofErr w:type="spellStart"/>
      <w:r>
        <w:t>RTS</w:t>
      </w:r>
      <w:proofErr w:type="spellEnd"/>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proofErr w:type="spellStart"/>
      <w:r>
        <w:t>ÁÉKBV</w:t>
      </w:r>
      <w:proofErr w:type="spellEnd"/>
      <w:r>
        <w:t xml:space="preserve">-alapkezelő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 xml:space="preserve">SFDR83 sor abban </w:t>
      </w:r>
      <w:r w:rsidRPr="0092506E">
        <w:lastRenderedPageBreak/>
        <w:t>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 xml:space="preserve">SFDR83 sort az </w:t>
      </w:r>
      <w:proofErr w:type="spellStart"/>
      <w:r w:rsidR="00B45129" w:rsidRPr="0092506E">
        <w:t>SFDR</w:t>
      </w:r>
      <w:proofErr w:type="spellEnd"/>
      <w:r w:rsidR="00B45129" w:rsidRPr="0092506E">
        <w:t xml:space="preserve"> </w:t>
      </w:r>
      <w:proofErr w:type="spellStart"/>
      <w:r w:rsidR="00B45129" w:rsidRPr="0092506E">
        <w:t>RTS</w:t>
      </w:r>
      <w:proofErr w:type="spellEnd"/>
      <w:r w:rsidR="00B45129" w:rsidRPr="0092506E">
        <w:t xml:space="preserve">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proofErr w:type="spellStart"/>
      <w:r w:rsidRPr="000E33CD">
        <w:rPr>
          <w:rFonts w:ascii="Arial" w:hAnsi="Arial" w:cs="Arial"/>
          <w:i/>
          <w:iCs/>
          <w:sz w:val="20"/>
          <w:szCs w:val="20"/>
          <w:lang w:val="x-none" w:eastAsia="x-none"/>
        </w:rPr>
        <w:t>osszilis</w:t>
      </w:r>
      <w:proofErr w:type="spellEnd"/>
      <w:r w:rsidRPr="000E33CD">
        <w:rPr>
          <w:rFonts w:ascii="Arial" w:hAnsi="Arial" w:cs="Arial"/>
          <w:i/>
          <w:iCs/>
          <w:sz w:val="20"/>
          <w:szCs w:val="20"/>
          <w:lang w:val="x-none" w:eastAsia="x-none"/>
        </w:rPr>
        <w:t xml:space="preserve"> tüzelőanyagok ágazatában tevékenykedő vállalkozás</w:t>
      </w:r>
      <w:r w:rsidRPr="000E33CD">
        <w:rPr>
          <w:rFonts w:ascii="Arial" w:hAnsi="Arial" w:cs="Arial"/>
          <w:sz w:val="20"/>
          <w:szCs w:val="20"/>
        </w:rPr>
        <w:t xml:space="preserve">: az </w:t>
      </w:r>
      <w:proofErr w:type="spellStart"/>
      <w:r w:rsidRPr="000E33CD">
        <w:rPr>
          <w:rFonts w:ascii="Arial" w:hAnsi="Arial" w:cs="Arial"/>
          <w:sz w:val="20"/>
          <w:szCs w:val="20"/>
        </w:rPr>
        <w:t>SFDR</w:t>
      </w:r>
      <w:proofErr w:type="spellEnd"/>
      <w:r w:rsidRPr="000E33CD">
        <w:rPr>
          <w:rFonts w:ascii="Arial" w:hAnsi="Arial" w:cs="Arial"/>
          <w:sz w:val="20"/>
          <w:szCs w:val="20"/>
        </w:rPr>
        <w:t xml:space="preserve"> </w:t>
      </w:r>
      <w:proofErr w:type="spellStart"/>
      <w:r w:rsidRPr="000E33CD">
        <w:rPr>
          <w:rFonts w:ascii="Arial" w:hAnsi="Arial" w:cs="Arial"/>
          <w:sz w:val="20"/>
          <w:szCs w:val="20"/>
        </w:rPr>
        <w:t>RTS</w:t>
      </w:r>
      <w:proofErr w:type="spellEnd"/>
      <w:r w:rsidRPr="000E33CD">
        <w:rPr>
          <w:rFonts w:ascii="Arial" w:hAnsi="Arial" w:cs="Arial"/>
          <w:sz w:val="20"/>
          <w:szCs w:val="20"/>
        </w:rPr>
        <w:t xml:space="preserve">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proofErr w:type="spellStart"/>
      <w:r w:rsidRPr="000E33CD">
        <w:rPr>
          <w:rFonts w:ascii="Arial" w:eastAsia="Meiryo" w:hAnsi="Arial" w:cs="Arial"/>
          <w:i/>
          <w:iCs/>
          <w:sz w:val="20"/>
          <w:szCs w:val="20"/>
          <w:lang w:eastAsia="ja-JP"/>
        </w:rPr>
        <w:t>PAI</w:t>
      </w:r>
      <w:proofErr w:type="spellEnd"/>
      <w:r w:rsidRPr="000E33CD">
        <w:rPr>
          <w:rFonts w:ascii="Arial" w:eastAsia="Meiryo" w:hAnsi="Arial" w:cs="Arial"/>
          <w:i/>
          <w:iCs/>
          <w:sz w:val="20"/>
          <w:szCs w:val="20"/>
          <w:lang w:eastAsia="ja-JP"/>
        </w:rPr>
        <w:t>:</w:t>
      </w:r>
      <w:r w:rsidRPr="000E33CD">
        <w:rPr>
          <w:rFonts w:ascii="Arial" w:eastAsia="Meiryo" w:hAnsi="Arial" w:cs="Arial"/>
          <w:sz w:val="20"/>
          <w:szCs w:val="20"/>
          <w:lang w:eastAsia="ja-JP"/>
        </w:rPr>
        <w:t xml:space="preserve"> a fenntarthatósági tényezőkre gyakorolt főbb káros hatások (</w:t>
      </w:r>
      <w:proofErr w:type="spellStart"/>
      <w:r w:rsidRPr="000E33CD">
        <w:rPr>
          <w:rFonts w:ascii="Arial" w:eastAsia="Meiryo" w:hAnsi="Arial" w:cs="Arial"/>
          <w:sz w:val="20"/>
          <w:szCs w:val="20"/>
          <w:lang w:eastAsia="ja-JP"/>
        </w:rPr>
        <w:t>Principal</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Adverse</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Impact</w:t>
      </w:r>
      <w:proofErr w:type="spellEnd"/>
      <w:r w:rsidRPr="000E33CD">
        <w:rPr>
          <w:rFonts w:ascii="Arial" w:eastAsia="Meiryo" w:hAnsi="Arial" w:cs="Arial"/>
          <w:sz w:val="20"/>
          <w:szCs w:val="20"/>
          <w:lang w:eastAsia="ja-JP"/>
        </w:rPr>
        <w: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proofErr w:type="spellStart"/>
      <w:r w:rsidRPr="000E33CD">
        <w:rPr>
          <w:rFonts w:ascii="Arial" w:hAnsi="Arial" w:cs="Arial"/>
          <w:i/>
          <w:sz w:val="20"/>
          <w:szCs w:val="20"/>
        </w:rPr>
        <w:t>ÜHG</w:t>
      </w:r>
      <w:proofErr w:type="spellEnd"/>
      <w:r w:rsidRPr="000E33CD">
        <w:rPr>
          <w:rFonts w:ascii="Arial" w:hAnsi="Arial" w:cs="Arial"/>
          <w:i/>
          <w:sz w:val="20"/>
          <w:szCs w:val="20"/>
        </w:rPr>
        <w:t xml:space="preserve">: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w:t>
      </w:r>
      <w:proofErr w:type="spellStart"/>
      <w:r w:rsidRPr="0092506E">
        <w:rPr>
          <w:b/>
          <w:bCs/>
        </w:rPr>
        <w:t>PAI</w:t>
      </w:r>
      <w:proofErr w:type="spellEnd"/>
      <w:r w:rsidRPr="0092506E">
        <w:rPr>
          <w:b/>
          <w:bCs/>
        </w:rPr>
        <w:t>)?</w:t>
      </w:r>
    </w:p>
    <w:p w14:paraId="25C95691" w14:textId="77777777" w:rsidR="00B45129" w:rsidRPr="0092506E" w:rsidRDefault="00B45129" w:rsidP="000E33CD">
      <w:r w:rsidRPr="0092506E">
        <w:t xml:space="preserve">A lehetséges értékek: „Igen” vagy „Nem”. A mezőt az </w:t>
      </w:r>
      <w:proofErr w:type="spellStart"/>
      <w:r w:rsidRPr="0092506E">
        <w:t>SFDR</w:t>
      </w:r>
      <w:proofErr w:type="spellEnd"/>
      <w:r w:rsidRPr="0092506E">
        <w:t xml:space="preserve">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 xml:space="preserve">SFDR2 Hol található az </w:t>
      </w:r>
      <w:proofErr w:type="spellStart"/>
      <w:r w:rsidRPr="0092506E">
        <w:rPr>
          <w:b/>
          <w:bCs/>
        </w:rPr>
        <w:t>SFDR</w:t>
      </w:r>
      <w:proofErr w:type="spellEnd"/>
      <w:r w:rsidRPr="0092506E">
        <w:rPr>
          <w:b/>
          <w:bCs/>
        </w:rPr>
        <w:t xml:space="preserve">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w:t>
      </w:r>
      <w:proofErr w:type="spellStart"/>
      <w:r w:rsidRPr="0092506E">
        <w:t>SFDR</w:t>
      </w:r>
      <w:proofErr w:type="spellEnd"/>
      <w:r w:rsidRPr="0092506E">
        <w:t xml:space="preserve">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w:t>
      </w:r>
      <w:proofErr w:type="spellStart"/>
      <w:r w:rsidR="00751EDE">
        <w:t>SFDR</w:t>
      </w:r>
      <w:proofErr w:type="spellEnd"/>
      <w:r w:rsidR="00751EDE">
        <w:t xml:space="preserve">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 xml:space="preserve">1.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26668A8A" w14:textId="45AC720F" w:rsidR="00B45129" w:rsidRPr="0092506E" w:rsidRDefault="00B45129" w:rsidP="000E33CD">
      <w:r w:rsidRPr="0092506E">
        <w:rPr>
          <w:b/>
          <w:bCs/>
        </w:rPr>
        <w:t>50</w:t>
      </w:r>
      <w:r w:rsidR="000B70BC">
        <w:rPr>
          <w:b/>
          <w:bCs/>
        </w:rPr>
        <w:t>_</w:t>
      </w:r>
      <w:r w:rsidRPr="0092506E">
        <w:rPr>
          <w:b/>
          <w:bCs/>
        </w:rPr>
        <w:t xml:space="preserve">SFDR54 </w:t>
      </w:r>
      <w:proofErr w:type="spellStart"/>
      <w:r w:rsidRPr="0092506E">
        <w:rPr>
          <w:b/>
          <w:bCs/>
        </w:rPr>
        <w:t>ÜHG</w:t>
      </w:r>
      <w:proofErr w:type="spellEnd"/>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 xml:space="preserve">SFDR61 </w:t>
      </w:r>
      <w:proofErr w:type="spellStart"/>
      <w:r w:rsidRPr="0092506E">
        <w:rPr>
          <w:b/>
          <w:bCs/>
        </w:rPr>
        <w:t>ÜHG</w:t>
      </w:r>
      <w:proofErr w:type="spellEnd"/>
      <w:r w:rsidRPr="0092506E">
        <w:rPr>
          <w:b/>
          <w:bCs/>
        </w:rPr>
        <w:t>-intenzitás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w:t>
      </w:r>
      <w:proofErr w:type="spellStart"/>
      <w:r w:rsidRPr="0092506E">
        <w:t>SFDR</w:t>
      </w:r>
      <w:proofErr w:type="spellEnd"/>
      <w:r w:rsidRPr="0092506E">
        <w:t xml:space="preserve"> </w:t>
      </w:r>
      <w:proofErr w:type="spellStart"/>
      <w:r w:rsidRPr="0092506E">
        <w:t>RTS</w:t>
      </w:r>
      <w:proofErr w:type="spellEnd"/>
      <w:r w:rsidRPr="0092506E">
        <w:t xml:space="preserve">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 xml:space="preserve">t az </w:t>
      </w:r>
      <w:proofErr w:type="spellStart"/>
      <w:r w:rsidRPr="0092506E">
        <w:t>SFDR</w:t>
      </w:r>
      <w:proofErr w:type="spellEnd"/>
      <w:r w:rsidRPr="0092506E">
        <w:t xml:space="preserve"> </w:t>
      </w:r>
      <w:proofErr w:type="spellStart"/>
      <w:r w:rsidRPr="0092506E">
        <w:t>RTS</w:t>
      </w:r>
      <w:proofErr w:type="spellEnd"/>
      <w:r w:rsidRPr="0092506E">
        <w:t xml:space="preserve"> I. mellékletének 1., 2. és 3. számú táblázatából kell kiválasztani.</w:t>
      </w:r>
    </w:p>
    <w:p w14:paraId="330E81C3" w14:textId="77777777" w:rsidR="00B45129" w:rsidRPr="0092506E" w:rsidRDefault="00B45129" w:rsidP="000E33CD"/>
    <w:p w14:paraId="5D4D0A19" w14:textId="781D1E15" w:rsidR="00226048" w:rsidRPr="006415A5" w:rsidRDefault="00453FF3" w:rsidP="008963A5">
      <w:pPr>
        <w:pStyle w:val="Cmsor2"/>
      </w:pPr>
      <w:del w:id="75" w:author="MNB" w:date="2024-07-19T16:03:00Z">
        <w:r w:rsidRPr="006415A5">
          <w:delText>17</w:delText>
        </w:r>
      </w:del>
      <w:ins w:id="76" w:author="MNB" w:date="2024-07-19T16:03:00Z">
        <w:r w:rsidRPr="006415A5">
          <w:t>1</w:t>
        </w:r>
        <w:r w:rsidR="004C692A">
          <w:t>6</w:t>
        </w:r>
      </w:ins>
      <w:r w:rsidRPr="006415A5">
        <w:t>.</w:t>
      </w:r>
      <w:r w:rsidR="00B45129" w:rsidRPr="006415A5">
        <w:t xml:space="preserve"> </w:t>
      </w:r>
      <w:bookmarkStart w:id="77"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proofErr w:type="spellStart"/>
      <w:r w:rsidR="00B45129" w:rsidRPr="006415A5">
        <w:t>KPI</w:t>
      </w:r>
      <w:proofErr w:type="spellEnd"/>
      <w:r w:rsidR="00B45129" w:rsidRPr="006415A5">
        <w:t>-k</w:t>
      </w:r>
      <w:r w:rsidR="007C5F1F" w:rsidRPr="006415A5">
        <w:t>)</w:t>
      </w:r>
      <w:r w:rsidR="00B45129" w:rsidRPr="006415A5">
        <w:t xml:space="preserve"> összefoglalása</w:t>
      </w:r>
      <w:bookmarkEnd w:id="71"/>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w:t>
      </w:r>
      <w:proofErr w:type="spellStart"/>
      <w:r w:rsidRPr="0092506E">
        <w:t>KPI</w:t>
      </w:r>
      <w:proofErr w:type="spellEnd"/>
      <w:r w:rsidRPr="0092506E">
        <w:t xml:space="preserve"> által lefedett összes eszköz értékéhez viszonyítva.</w:t>
      </w:r>
    </w:p>
    <w:p w14:paraId="6EE54B69" w14:textId="1E68EAC4" w:rsidR="00B45129" w:rsidRDefault="00B45129" w:rsidP="000E33CD">
      <w:r w:rsidRPr="0092506E">
        <w:lastRenderedPageBreak/>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77"/>
    <w:p w14:paraId="51A69A2A" w14:textId="3A031F52" w:rsidR="00B45129"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51E6A5EC" w14:textId="101807A3" w:rsidR="004C692A" w:rsidRPr="00A04967" w:rsidRDefault="00A071D3" w:rsidP="000E33CD">
      <w:pPr>
        <w:rPr>
          <w:ins w:id="78" w:author="MNB" w:date="2024-07-19T16:03:00Z"/>
        </w:rPr>
      </w:pPr>
      <w:del w:id="79" w:author="MNB" w:date="2024-07-19T16:03:00Z">
        <w:r w:rsidRPr="00034107">
          <w:delText>1</w:delText>
        </w:r>
        <w:r w:rsidR="00453FF3">
          <w:delText>8</w:delText>
        </w:r>
      </w:del>
    </w:p>
    <w:p w14:paraId="03496C00" w14:textId="04E9C35F" w:rsidR="0054573B" w:rsidRPr="00976E14" w:rsidRDefault="00A071D3" w:rsidP="008963A5">
      <w:pPr>
        <w:pStyle w:val="Cmsor2"/>
      </w:pPr>
      <w:ins w:id="80" w:author="MNB" w:date="2024-07-19T16:03:00Z">
        <w:r w:rsidRPr="00034107">
          <w:t>1</w:t>
        </w:r>
        <w:r w:rsidR="004C692A">
          <w:t>7</w:t>
        </w:r>
      </w:ins>
      <w:r w:rsidR="00984A86" w:rsidRPr="00034107">
        <w:t xml:space="preserve">. </w:t>
      </w:r>
      <w:r w:rsidR="0054573B" w:rsidRPr="00034107">
        <w:t xml:space="preserve">51M Ingatlanalapok ingatlankitettségének állományváltozása a </w:t>
      </w:r>
      <w:del w:id="81" w:author="MNB" w:date="2024-07-19T16:03:00Z">
        <w:r w:rsidR="0054573B" w:rsidRPr="00034107">
          <w:delText>negyedév folyamán</w:delText>
        </w:r>
      </w:del>
      <w:ins w:id="82" w:author="MNB" w:date="2024-07-19T16:03:00Z">
        <w:r w:rsidR="009F2166">
          <w:t>tárgyidőszakban</w:t>
        </w:r>
      </w:ins>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77777777" w:rsidR="0054573B" w:rsidRPr="00034107" w:rsidRDefault="0054573B" w:rsidP="000E33CD">
      <w:pPr>
        <w:rPr>
          <w:rFonts w:cs="Arial"/>
          <w:b/>
          <w:bCs/>
          <w:szCs w:val="20"/>
        </w:rPr>
      </w:pPr>
      <w:r w:rsidRPr="00034107">
        <w:rPr>
          <w:rFonts w:cs="Arial"/>
          <w:szCs w:val="20"/>
        </w:rPr>
        <w:t xml:space="preserve">A tábla az ingatlanalapok ingatlankitettségének állományváltozását tartalmazza </w:t>
      </w:r>
      <w:proofErr w:type="spellStart"/>
      <w:r w:rsidRPr="00034107">
        <w:rPr>
          <w:rFonts w:cs="Arial"/>
          <w:szCs w:val="20"/>
        </w:rPr>
        <w:t>ingatlanonkénti</w:t>
      </w:r>
      <w:proofErr w:type="spellEnd"/>
      <w:r w:rsidRPr="00034107">
        <w:rPr>
          <w:rFonts w:cs="Arial"/>
          <w:szCs w:val="20"/>
        </w:rPr>
        <w:t xml:space="preserve"> részletezettségben. </w:t>
      </w:r>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6207BD4B"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del w:id="83" w:author="MNB" w:date="2024-07-19T16:03:00Z">
        <w:r w:rsidRPr="00034107">
          <w:rPr>
            <w:rFonts w:cs="Arial"/>
            <w:szCs w:val="20"/>
          </w:rPr>
          <w:delText>negyedév</w:delText>
        </w:r>
      </w:del>
      <w:ins w:id="84"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az előző </w:t>
      </w:r>
      <w:del w:id="85" w:author="MNB" w:date="2024-07-19T16:03:00Z">
        <w:r w:rsidRPr="00034107">
          <w:rPr>
            <w:rFonts w:cs="Arial"/>
            <w:szCs w:val="20"/>
          </w:rPr>
          <w:delText>negyedév</w:delText>
        </w:r>
      </w:del>
      <w:ins w:id="86"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5DF5DE21"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del w:id="87" w:author="MNB" w:date="2024-07-19T16:03:00Z">
        <w:r w:rsidRPr="00034107">
          <w:rPr>
            <w:rFonts w:cs="Arial"/>
            <w:szCs w:val="20"/>
          </w:rPr>
          <w:delText>negyedév</w:delText>
        </w:r>
      </w:del>
      <w:ins w:id="88"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folyamán az ingatlan felértékelésre került, akkor az értékelési különbözetet (növekményt) itt kell szerepeltetni. </w:t>
      </w:r>
    </w:p>
    <w:p w14:paraId="17381DAE" w14:textId="3C5789CE"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del w:id="89" w:author="MNB" w:date="2024-07-19T16:03:00Z">
        <w:r w:rsidRPr="00034107">
          <w:rPr>
            <w:rFonts w:cs="Arial"/>
            <w:szCs w:val="20"/>
          </w:rPr>
          <w:delText>tárgynegyedévben</w:delText>
        </w:r>
      </w:del>
      <w:ins w:id="90"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054E7A4F"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del w:id="91" w:author="MNB" w:date="2024-07-19T16:03:00Z">
        <w:r w:rsidRPr="00034107">
          <w:rPr>
            <w:rFonts w:cs="Arial"/>
            <w:szCs w:val="20"/>
          </w:rPr>
          <w:delText>tárgynegyedévben</w:delText>
        </w:r>
      </w:del>
      <w:ins w:id="92"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az ingatlanon elszámolt értékvesztés, leértékelés. </w:t>
      </w:r>
    </w:p>
    <w:p w14:paraId="69E16428" w14:textId="2EB6CD57"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del w:id="93" w:author="MNB" w:date="2024-07-19T16:03:00Z">
        <w:r w:rsidRPr="00034107">
          <w:rPr>
            <w:rFonts w:cs="Arial"/>
            <w:szCs w:val="20"/>
          </w:rPr>
          <w:delText>tárgynegyedévbe</w:delText>
        </w:r>
        <w:r w:rsidR="00895EBD" w:rsidRPr="00034107">
          <w:rPr>
            <w:rFonts w:cs="Arial"/>
            <w:szCs w:val="20"/>
          </w:rPr>
          <w:delText>n</w:delText>
        </w:r>
      </w:del>
      <w:ins w:id="94"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6011BEDA"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del w:id="95" w:author="MNB" w:date="2024-07-19T16:03:00Z">
        <w:r w:rsidRPr="00034107">
          <w:rPr>
            <w:rFonts w:cs="Arial"/>
            <w:szCs w:val="20"/>
          </w:rPr>
          <w:delText>tárgynegyedév</w:delText>
        </w:r>
      </w:del>
      <w:ins w:id="96"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del w:id="97" w:author="MNB" w:date="2024-07-19T16:03:00Z">
        <w:r w:rsidRPr="00034107">
          <w:rPr>
            <w:rFonts w:cs="Arial"/>
            <w:szCs w:val="20"/>
          </w:rPr>
          <w:delText>tárgynegyedév</w:delText>
        </w:r>
      </w:del>
      <w:ins w:id="98"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686817E3" w14:textId="23D3A855" w:rsidR="0054573B" w:rsidRPr="00034107" w:rsidRDefault="0054573B" w:rsidP="000E33CD">
      <w:pPr>
        <w:rPr>
          <w:rFonts w:cs="Arial"/>
          <w:b/>
          <w:bCs/>
          <w:szCs w:val="20"/>
        </w:rPr>
      </w:pPr>
      <w:r w:rsidRPr="00034107">
        <w:rPr>
          <w:rFonts w:cs="Arial"/>
          <w:szCs w:val="20"/>
        </w:rPr>
        <w:t xml:space="preserve">A </w:t>
      </w:r>
      <w:r w:rsidRPr="000E33CD">
        <w:rPr>
          <w:rFonts w:cs="Arial"/>
          <w:b/>
          <w:bCs/>
          <w:szCs w:val="20"/>
        </w:rPr>
        <w:t>12</w:t>
      </w:r>
      <w:del w:id="99" w:author="MNB" w:date="2024-07-19T16:03:00Z">
        <w:r w:rsidRPr="000E33CD">
          <w:rPr>
            <w:rFonts w:cs="Arial"/>
            <w:b/>
            <w:bCs/>
            <w:szCs w:val="20"/>
          </w:rPr>
          <w:delText>-</w:delText>
        </w:r>
      </w:del>
      <w:ins w:id="100" w:author="MNB" w:date="2024-07-19T16:03:00Z">
        <w:r w:rsidR="008D04BD">
          <w:rPr>
            <w:rFonts w:cs="Arial"/>
            <w:b/>
            <w:bCs/>
            <w:szCs w:val="20"/>
          </w:rPr>
          <w:t>–</w:t>
        </w:r>
      </w:ins>
      <w:r w:rsidRPr="000E33CD">
        <w:rPr>
          <w:rFonts w:cs="Arial"/>
          <w:b/>
          <w:bCs/>
          <w:szCs w:val="20"/>
        </w:rPr>
        <w:t>24. oszlopot</w:t>
      </w:r>
      <w:r w:rsidRPr="00034107">
        <w:rPr>
          <w:rFonts w:cs="Arial"/>
          <w:szCs w:val="20"/>
        </w:rPr>
        <w:t xml:space="preserve"> a </w:t>
      </w:r>
      <w:proofErr w:type="spellStart"/>
      <w:r w:rsidRPr="00034107">
        <w:rPr>
          <w:rFonts w:cs="Arial"/>
          <w:szCs w:val="20"/>
        </w:rPr>
        <w:t>Kbftv</w:t>
      </w:r>
      <w:proofErr w:type="spellEnd"/>
      <w:r w:rsidRPr="00034107">
        <w:rPr>
          <w:rFonts w:cs="Arial"/>
          <w:szCs w:val="20"/>
        </w:rPr>
        <w:t>. 7. mellékletének figyelembevételével kell kitölteni.</w:t>
      </w:r>
    </w:p>
    <w:p w14:paraId="28BFD4A3" w14:textId="09ED9761" w:rsidR="00765816" w:rsidRDefault="0054573B" w:rsidP="000E33CD">
      <w:r w:rsidRPr="000E33CD">
        <w:rPr>
          <w:b/>
          <w:bCs/>
        </w:rPr>
        <w:t>12. oszlop</w:t>
      </w:r>
      <w:r w:rsidRPr="00034107">
        <w:t xml:space="preserve">: a </w:t>
      </w:r>
      <w:proofErr w:type="spellStart"/>
      <w:r w:rsidRPr="00034107">
        <w:t>Kbftv</w:t>
      </w:r>
      <w:proofErr w:type="spellEnd"/>
      <w:r w:rsidRPr="00034107">
        <w:t xml:space="preserve">. 7. melléklet 2. </w:t>
      </w:r>
      <w:del w:id="101" w:author="MNB" w:date="2024-07-19T16:03:00Z">
        <w:r w:rsidRPr="00034107">
          <w:delText xml:space="preserve">pontjának megfelelően kell megadni. </w:delText>
        </w:r>
      </w:del>
      <w:ins w:id="102" w:author="MNB" w:date="2024-07-19T16:03:00Z">
        <w:r w:rsidRPr="00034107">
          <w:t>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ins>
    </w:p>
    <w:p w14:paraId="212E77CA" w14:textId="251B9927" w:rsidR="00765816" w:rsidRDefault="00BA013F" w:rsidP="00765816">
      <w:pPr>
        <w:rPr>
          <w:ins w:id="103" w:author="MNB" w:date="2024-07-19T16:03:00Z"/>
        </w:rPr>
      </w:pPr>
      <w:ins w:id="104" w:author="MNB" w:date="2024-07-19T16:03:00Z">
        <w:r w:rsidRPr="00306711">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ins>
    </w:p>
    <w:p w14:paraId="502BAA45" w14:textId="287D6DD2" w:rsidR="00765816" w:rsidRDefault="00765816" w:rsidP="000E33CD">
      <w:pPr>
        <w:rPr>
          <w:ins w:id="105" w:author="MNB" w:date="2024-07-19T16:03:00Z"/>
        </w:rPr>
      </w:pPr>
      <w:ins w:id="106" w:author="MNB" w:date="2024-07-19T16:03:00Z">
        <w:r w:rsidRPr="00306711">
          <w:rPr>
            <w:b/>
            <w:bCs/>
          </w:rPr>
          <w:t>15. oszlop</w:t>
        </w:r>
        <w:r>
          <w:t xml:space="preserve">: </w:t>
        </w:r>
        <w:r w:rsidRPr="00765816">
          <w:t xml:space="preserve">az építés éveként a kivitelezés befejezésének évét </w:t>
        </w:r>
        <w:r>
          <w:t>kell szerepeltetni</w:t>
        </w:r>
        <w:r w:rsidR="00C62E09">
          <w:t>.</w:t>
        </w:r>
      </w:ins>
    </w:p>
    <w:p w14:paraId="47A0220A" w14:textId="7A7CB082" w:rsidR="00563A55" w:rsidRPr="00306711" w:rsidRDefault="00563A55" w:rsidP="000E33CD">
      <w:pPr>
        <w:rPr>
          <w:ins w:id="107" w:author="MNB" w:date="2024-07-19T16:03:00Z"/>
          <w:b/>
          <w:bCs/>
        </w:rPr>
      </w:pPr>
      <w:ins w:id="108" w:author="MNB" w:date="2024-07-19T16:03:00Z">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ins>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7AD51730" w:rsidR="0054573B" w:rsidRPr="00034107" w:rsidRDefault="0054573B" w:rsidP="000E33CD">
      <w:r w:rsidRPr="00034107">
        <w:t>51M</w:t>
      </w:r>
      <w:proofErr w:type="gramStart"/>
      <w:r w:rsidRPr="00034107">
        <w:t>1,c</w:t>
      </w:r>
      <w:proofErr w:type="gramEnd"/>
      <w:r w:rsidRPr="00034107">
        <w:t xml:space="preserve"> = az előző </w:t>
      </w:r>
      <w:del w:id="109" w:author="MNB" w:date="2024-07-19T16:03:00Z">
        <w:r w:rsidRPr="00034107">
          <w:delText>negyedév</w:delText>
        </w:r>
      </w:del>
      <w:ins w:id="110" w:author="MNB" w:date="2024-07-19T16:03:00Z">
        <w:r w:rsidR="009F2166">
          <w:t>tárgyidőszak</w:t>
        </w:r>
      </w:ins>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5BE77A0E" w:rsidR="0054573B" w:rsidRPr="00034107" w:rsidRDefault="0054573B" w:rsidP="000E33CD">
      <w:r w:rsidRPr="00034107">
        <w:t>51M</w:t>
      </w:r>
      <w:proofErr w:type="gramStart"/>
      <w:r w:rsidRPr="00034107">
        <w:t>1,j</w:t>
      </w:r>
      <w:proofErr w:type="gramEnd"/>
      <w:r w:rsidRPr="00034107">
        <w:t xml:space="preserve"> = a </w:t>
      </w:r>
      <w:del w:id="111" w:author="MNB" w:date="2024-07-19T16:03:00Z">
        <w:r w:rsidRPr="00034107">
          <w:delText>tárgynegyedév</w:delText>
        </w:r>
      </w:del>
      <w:ins w:id="112"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5A426165" w:rsidR="0054573B" w:rsidRPr="00034107" w:rsidRDefault="0054573B" w:rsidP="000E33CD">
      <w:r w:rsidRPr="00034107">
        <w:t>51M</w:t>
      </w:r>
      <w:proofErr w:type="gramStart"/>
      <w:r w:rsidRPr="00034107">
        <w:t>2,c</w:t>
      </w:r>
      <w:proofErr w:type="gramEnd"/>
      <w:r w:rsidRPr="00034107">
        <w:t xml:space="preserve"> + 51M3,c = az előző </w:t>
      </w:r>
      <w:del w:id="113" w:author="MNB" w:date="2024-07-19T16:03:00Z">
        <w:r w:rsidRPr="00034107">
          <w:delText>negyedév</w:delText>
        </w:r>
      </w:del>
      <w:ins w:id="114" w:author="MNB" w:date="2024-07-19T16:03:00Z">
        <w:r w:rsidR="009F2166">
          <w:t>tárgyidőszak</w:t>
        </w:r>
      </w:ins>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3F9F58A0" w:rsidR="000B32FC" w:rsidRPr="00034107" w:rsidRDefault="0054573B" w:rsidP="000E33CD">
      <w:pPr>
        <w:rPr>
          <w:b/>
        </w:rPr>
      </w:pPr>
      <w:r w:rsidRPr="00034107">
        <w:lastRenderedPageBreak/>
        <w:t>51M</w:t>
      </w:r>
      <w:proofErr w:type="gramStart"/>
      <w:r w:rsidRPr="00034107">
        <w:t>2,j</w:t>
      </w:r>
      <w:proofErr w:type="gramEnd"/>
      <w:r w:rsidRPr="00034107">
        <w:t xml:space="preserve"> + 51M3,j = a </w:t>
      </w:r>
      <w:del w:id="115" w:author="MNB" w:date="2024-07-19T16:03:00Z">
        <w:r w:rsidRPr="00034107">
          <w:delText>tárgynegyedév</w:delText>
        </w:r>
      </w:del>
      <w:ins w:id="116"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5F17D268" w:rsidR="00015359" w:rsidRPr="00034107" w:rsidRDefault="00453FF3" w:rsidP="008963A5">
      <w:pPr>
        <w:pStyle w:val="Cmsor2"/>
      </w:pPr>
      <w:del w:id="117" w:author="MNB" w:date="2024-07-19T16:03:00Z">
        <w:r w:rsidRPr="00034107">
          <w:delText>1</w:delText>
        </w:r>
        <w:r>
          <w:delText>9</w:delText>
        </w:r>
      </w:del>
      <w:ins w:id="118" w:author="MNB" w:date="2024-07-19T16:03:00Z">
        <w:r w:rsidRPr="00034107">
          <w:t>1</w:t>
        </w:r>
        <w:r w:rsidR="00C06844">
          <w:t>8</w:t>
        </w:r>
      </w:ins>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2FEFC948" w:rsidR="00591378" w:rsidRPr="00034107" w:rsidRDefault="00453FF3" w:rsidP="008963A5">
      <w:pPr>
        <w:pStyle w:val="Cmsor2"/>
      </w:pPr>
      <w:del w:id="119" w:author="MNB" w:date="2024-07-19T16:03:00Z">
        <w:r>
          <w:delText>20</w:delText>
        </w:r>
      </w:del>
      <w:ins w:id="120" w:author="MNB" w:date="2024-07-19T16:03:00Z">
        <w:r w:rsidR="00D202C8">
          <w:t>19</w:t>
        </w:r>
      </w:ins>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21" w:name="_Hlk34917125"/>
    </w:p>
    <w:p w14:paraId="03E5EA2F" w14:textId="1D099F68" w:rsidR="00610194" w:rsidRDefault="00453FF3" w:rsidP="008963A5">
      <w:pPr>
        <w:pStyle w:val="Cmsor2"/>
      </w:pPr>
      <w:del w:id="122" w:author="MNB" w:date="2024-07-19T16:03:00Z">
        <w:r>
          <w:delText>21</w:delText>
        </w:r>
      </w:del>
      <w:ins w:id="123" w:author="MNB" w:date="2024-07-19T16:03:00Z">
        <w:r>
          <w:t>2</w:t>
        </w:r>
        <w:r w:rsidR="00155768">
          <w:t>0</w:t>
        </w:r>
      </w:ins>
      <w:r w:rsidR="00610194">
        <w:t xml:space="preserve">. 51R </w:t>
      </w:r>
      <w:r w:rsidR="00610194" w:rsidRPr="00610194">
        <w:t>Befektetési alap jellemzői</w:t>
      </w:r>
    </w:p>
    <w:p w14:paraId="3908B800" w14:textId="77777777" w:rsidR="00050014" w:rsidRPr="00452B2C" w:rsidRDefault="00050014" w:rsidP="00452B2C">
      <w:pPr>
        <w:rPr>
          <w:b/>
          <w:bCs/>
          <w:snapToGrid w:val="0"/>
        </w:rPr>
      </w:pPr>
      <w:r w:rsidRPr="00452B2C">
        <w:rPr>
          <w:b/>
          <w:bCs/>
          <w:snapToGrid w:val="0"/>
        </w:rPr>
        <w:t>A tábla sorai</w:t>
      </w:r>
    </w:p>
    <w:p w14:paraId="0E82FFD4" w14:textId="77777777" w:rsidR="00525D89" w:rsidRDefault="00525D89" w:rsidP="00452B2C"/>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723433CE"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51R5</w:t>
      </w:r>
      <w:r w:rsidR="00B744CC">
        <w:t xml:space="preserve"> sor kitöltésé</w:t>
      </w:r>
      <w:r w:rsidR="00081562">
        <w:t>re</w:t>
      </w:r>
      <w:r w:rsidR="00B744CC">
        <w:t xml:space="preserve"> a</w:t>
      </w:r>
      <w:r w:rsidRPr="00034107">
        <w:t xml:space="preserve"> </w:t>
      </w:r>
      <w:proofErr w:type="spellStart"/>
      <w:r w:rsidRPr="00034107">
        <w:t>Kbftv</w:t>
      </w:r>
      <w:proofErr w:type="spellEnd"/>
      <w:r w:rsidRPr="00034107">
        <w:t>.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0F5AC4EB" w:rsidR="005025A7" w:rsidRPr="007806B3" w:rsidRDefault="00D240D3" w:rsidP="005025A7">
      <w:r w:rsidRPr="00E658C2">
        <w:rPr>
          <w:b/>
          <w:bCs/>
        </w:rPr>
        <w:t>51R2 Az elsődleges eszközkategória</w:t>
      </w:r>
      <w:r w:rsidR="00E13EAD">
        <w:rPr>
          <w:b/>
          <w:bCs/>
        </w:rPr>
        <w:t xml:space="preserve">: </w:t>
      </w:r>
      <w:r w:rsidR="005025A7" w:rsidRPr="00865EBE">
        <w:t>kódtár („</w:t>
      </w:r>
      <w:r w:rsidR="005025A7" w:rsidRPr="00CE6F9C">
        <w:t xml:space="preserve">Alap </w:t>
      </w:r>
      <w:r w:rsidR="005025A7">
        <w:t>típusa</w:t>
      </w:r>
      <w:r w:rsidR="00C52FE5">
        <w:t xml:space="preserve">”, </w:t>
      </w:r>
      <w:r w:rsidR="004A0E65">
        <w:t>2024.</w:t>
      </w:r>
      <w:r w:rsidR="00F378EA">
        <w:t xml:space="preserve"> szeptember </w:t>
      </w:r>
      <w:r w:rsidR="004A0E65">
        <w:t>1. vonatkozási naptól kezdődően</w:t>
      </w:r>
      <w:r w:rsidR="005029E9">
        <w:t xml:space="preserve"> </w:t>
      </w:r>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lastRenderedPageBreak/>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6F67F2EC"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r w:rsidR="00C52FE5">
        <w:t xml:space="preserve"> </w:t>
      </w:r>
      <w:r w:rsidR="00F378EA">
        <w:t xml:space="preserve">a </w:t>
      </w:r>
      <w:r w:rsidR="00FA349E" w:rsidRPr="00C42BBB">
        <w:rPr>
          <w:rFonts w:cs="Arial"/>
          <w:bCs/>
          <w:szCs w:val="20"/>
        </w:rPr>
        <w:t xml:space="preserve">78/2014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 §-</w:t>
      </w:r>
      <w:proofErr w:type="spellStart"/>
      <w:r w:rsidR="00C52FE5">
        <w:rPr>
          <w:rFonts w:cs="Arial"/>
        </w:rPr>
        <w:t>á</w:t>
      </w:r>
      <w:r w:rsidR="00C52FE5" w:rsidRPr="00546698">
        <w:rPr>
          <w:rFonts w:cs="Arial"/>
        </w:rPr>
        <w:t>ban</w:t>
      </w:r>
      <w:proofErr w:type="spellEnd"/>
      <w:r w:rsidR="00C52FE5">
        <w:rPr>
          <w:rFonts w:cs="Arial"/>
        </w:rPr>
        <w:t>, illetve 1/L. §-</w:t>
      </w:r>
      <w:proofErr w:type="spellStart"/>
      <w:r w:rsidR="00C52FE5">
        <w:rPr>
          <w:rFonts w:cs="Arial"/>
        </w:rPr>
        <w:t>ában</w:t>
      </w:r>
      <w:proofErr w:type="spellEnd"/>
      <w:r w:rsidR="00C52FE5">
        <w:rPr>
          <w:rFonts w:cs="Arial"/>
        </w:rPr>
        <w:t xml:space="preserve"> nevesített,</w:t>
      </w:r>
      <w:r w:rsidR="00C52FE5" w:rsidRPr="00546698">
        <w:rPr>
          <w:rFonts w:cs="Arial"/>
        </w:rPr>
        <w:t xml:space="preserve">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323A8E16" w:rsidR="00B2326D" w:rsidRPr="00B2326D" w:rsidRDefault="00610194" w:rsidP="008963A5">
      <w:pPr>
        <w:pStyle w:val="Cmsor2"/>
      </w:pPr>
      <w:del w:id="124" w:author="MNB" w:date="2024-07-19T16:03:00Z">
        <w:r>
          <w:delText>2</w:delText>
        </w:r>
        <w:r w:rsidR="00453FF3">
          <w:delText>2</w:delText>
        </w:r>
      </w:del>
      <w:ins w:id="125" w:author="MNB" w:date="2024-07-19T16:03:00Z">
        <w:r>
          <w:t>2</w:t>
        </w:r>
        <w:r w:rsidR="00155768">
          <w:t>1</w:t>
        </w:r>
      </w:ins>
      <w:r w:rsidR="00EC4FDA">
        <w:t>.</w:t>
      </w:r>
      <w:r w:rsidR="00B2326D" w:rsidRPr="00B2326D">
        <w:t xml:space="preserve"> 59NF Nyilatkozat a </w:t>
      </w:r>
      <w:proofErr w:type="spellStart"/>
      <w:r w:rsidR="00B2326D" w:rsidRPr="00B2326D">
        <w:t>Kbftv</w:t>
      </w:r>
      <w:proofErr w:type="spellEnd"/>
      <w:r w:rsidR="00B2326D" w:rsidRPr="00B2326D">
        <w:t>.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 xml:space="preserve">A táblát az a kockázati tőkealap-kezelő, </w:t>
      </w:r>
      <w:proofErr w:type="spellStart"/>
      <w:r w:rsidRPr="00B2326D">
        <w:t>ABAK</w:t>
      </w:r>
      <w:proofErr w:type="spellEnd"/>
      <w:r w:rsidRPr="00B2326D">
        <w:t xml:space="preserve"> és az ezen típusú fióktelepek jelentik, amelyekre a </w:t>
      </w:r>
      <w:proofErr w:type="spellStart"/>
      <w:r w:rsidRPr="00B2326D">
        <w:t>Kbftv</w:t>
      </w:r>
      <w:proofErr w:type="spellEnd"/>
      <w:r w:rsidRPr="00B2326D">
        <w:t>.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w:t>
      </w:r>
      <w:proofErr w:type="spellStart"/>
      <w:r w:rsidRPr="00675A6C">
        <w:rPr>
          <w:color w:val="000000"/>
        </w:rPr>
        <w:t>Kbftv</w:t>
      </w:r>
      <w:proofErr w:type="spellEnd"/>
      <w:r w:rsidRPr="00675A6C">
        <w:rPr>
          <w:color w:val="000000"/>
        </w:rPr>
        <w:t>. 2. § (2) bekezdésében euróban meghatározott küszöbértékek átlépésének vizsgálatához az ABA-</w:t>
      </w:r>
      <w:proofErr w:type="spellStart"/>
      <w:r w:rsidRPr="00675A6C">
        <w:rPr>
          <w:color w:val="000000"/>
        </w:rPr>
        <w:t>kban</w:t>
      </w:r>
      <w:proofErr w:type="spellEnd"/>
      <w:r w:rsidRPr="00675A6C">
        <w:rPr>
          <w:color w:val="000000"/>
        </w:rPr>
        <w:t xml:space="preserve">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w:t>
      </w:r>
      <w:proofErr w:type="spellStart"/>
      <w:r w:rsidRPr="00675A6C">
        <w:rPr>
          <w:color w:val="000000"/>
        </w:rPr>
        <w:t>EKB</w:t>
      </w:r>
      <w:proofErr w:type="spellEnd"/>
      <w:r w:rsidRPr="00675A6C">
        <w:rPr>
          <w:color w:val="000000"/>
        </w:rPr>
        <w:t xml:space="preserve">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t xml:space="preserve">Az érintett kockázati tőkealap-kezelő a teljes táblát, az érintett </w:t>
      </w:r>
      <w:proofErr w:type="spellStart"/>
      <w:r w:rsidRPr="00B2326D">
        <w:rPr>
          <w:rFonts w:cs="Arial"/>
          <w:szCs w:val="20"/>
        </w:rPr>
        <w:t>ABAK</w:t>
      </w:r>
      <w:proofErr w:type="spellEnd"/>
      <w:r w:rsidRPr="00B2326D">
        <w:rPr>
          <w:rFonts w:cs="Arial"/>
          <w:szCs w:val="20"/>
        </w:rPr>
        <w:t xml:space="preserve">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 xml:space="preserve">59NF2 Az </w:t>
      </w:r>
      <w:proofErr w:type="spellStart"/>
      <w:r w:rsidRPr="00452B2C">
        <w:rPr>
          <w:b/>
          <w:bCs/>
        </w:rPr>
        <w:t>ABAK</w:t>
      </w:r>
      <w:proofErr w:type="spellEnd"/>
      <w:r w:rsidRPr="00452B2C">
        <w:rPr>
          <w:b/>
          <w:bCs/>
        </w:rPr>
        <w:t xml:space="preserve"> nyilatkozata arról, hogy a </w:t>
      </w:r>
      <w:proofErr w:type="spellStart"/>
      <w:r w:rsidRPr="00452B2C">
        <w:rPr>
          <w:b/>
          <w:bCs/>
        </w:rPr>
        <w:t>Kbftv</w:t>
      </w:r>
      <w:proofErr w:type="spellEnd"/>
      <w:r w:rsidRPr="00452B2C">
        <w:rPr>
          <w:b/>
          <w:bCs/>
        </w:rPr>
        <w:t>.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 xml:space="preserve">ezt az értéket a táblát kitöltő egyéb, kockázati tőkealap-kezelőnek nem minősülő </w:t>
      </w:r>
      <w:proofErr w:type="spellStart"/>
      <w:r w:rsidRPr="00B2326D">
        <w:t>ABAK-nak</w:t>
      </w:r>
      <w:proofErr w:type="spellEnd"/>
      <w:r w:rsidRPr="00B2326D">
        <w:t xml:space="preserve"> kell beírnia.</w:t>
      </w:r>
    </w:p>
    <w:p w14:paraId="2936917A" w14:textId="77777777" w:rsidR="00B2326D" w:rsidRPr="00452B2C" w:rsidRDefault="00B2326D" w:rsidP="00452B2C">
      <w:pPr>
        <w:rPr>
          <w:b/>
          <w:bCs/>
        </w:rPr>
      </w:pPr>
      <w:r w:rsidRPr="00452B2C">
        <w:rPr>
          <w:b/>
          <w:bCs/>
        </w:rPr>
        <w:t xml:space="preserve">59NF3 Az </w:t>
      </w:r>
      <w:proofErr w:type="spellStart"/>
      <w:r w:rsidRPr="00452B2C">
        <w:rPr>
          <w:b/>
          <w:bCs/>
        </w:rPr>
        <w:t>ABAK</w:t>
      </w:r>
      <w:proofErr w:type="spellEnd"/>
      <w:r w:rsidRPr="00452B2C">
        <w:rPr>
          <w:b/>
          <w:bCs/>
        </w:rPr>
        <w:t xml:space="preserve"> nyilatkozata arról, hogy olyan </w:t>
      </w:r>
      <w:proofErr w:type="spellStart"/>
      <w:r w:rsidRPr="00452B2C">
        <w:rPr>
          <w:b/>
          <w:bCs/>
        </w:rPr>
        <w:t>ABAK</w:t>
      </w:r>
      <w:proofErr w:type="spellEnd"/>
      <w:r w:rsidRPr="00452B2C">
        <w:rPr>
          <w:b/>
          <w:bCs/>
        </w:rPr>
        <w:t xml:space="preserve">-e, amely egy vagy több, de kizárólag zártkörű ABA-t kezel, amelyeknek ugyanezen </w:t>
      </w:r>
      <w:proofErr w:type="spellStart"/>
      <w:r w:rsidRPr="00452B2C">
        <w:rPr>
          <w:b/>
          <w:bCs/>
        </w:rPr>
        <w:t>ABAK</w:t>
      </w:r>
      <w:proofErr w:type="spellEnd"/>
      <w:r w:rsidRPr="00452B2C">
        <w:rPr>
          <w:b/>
          <w:bCs/>
        </w:rPr>
        <w:t xml:space="preserve">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 xml:space="preserve">A lehetséges értékek: „0” – a kivételszabály nem alkalmazható az </w:t>
      </w:r>
      <w:proofErr w:type="spellStart"/>
      <w:r w:rsidRPr="00B2326D">
        <w:t>ABAK-ra</w:t>
      </w:r>
      <w:proofErr w:type="spellEnd"/>
      <w:r w:rsidRPr="00B2326D">
        <w:t xml:space="preserve">; „1” – a kivételszabály alkalmazható az </w:t>
      </w:r>
      <w:proofErr w:type="spellStart"/>
      <w:r w:rsidRPr="00B2326D">
        <w:t>ABAK-ra</w:t>
      </w:r>
      <w:proofErr w:type="spellEnd"/>
      <w:r w:rsidRPr="00B2326D">
        <w:t>.</w:t>
      </w:r>
      <w:bookmarkEnd w:id="121"/>
    </w:p>
    <w:p w14:paraId="30A07860" w14:textId="77777777" w:rsidR="00034107" w:rsidRPr="00034107" w:rsidRDefault="00034107" w:rsidP="00452B2C"/>
    <w:p w14:paraId="1736CE7F" w14:textId="0B69A6A1" w:rsidR="00A7797E" w:rsidRPr="00034107" w:rsidRDefault="00610194" w:rsidP="008963A5">
      <w:pPr>
        <w:pStyle w:val="Cmsor2"/>
      </w:pPr>
      <w:del w:id="126" w:author="MNB" w:date="2024-07-19T16:03:00Z">
        <w:r>
          <w:lastRenderedPageBreak/>
          <w:delText>2</w:delText>
        </w:r>
        <w:r w:rsidR="00453FF3">
          <w:delText>3</w:delText>
        </w:r>
      </w:del>
      <w:ins w:id="127" w:author="MNB" w:date="2024-07-19T16:03:00Z">
        <w:r>
          <w:t>2</w:t>
        </w:r>
        <w:r w:rsidR="00421B62">
          <w:t>2</w:t>
        </w:r>
      </w:ins>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8963A5">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w:t>
      </w:r>
      <w:proofErr w:type="spellStart"/>
      <w:r w:rsidR="00583435" w:rsidRPr="00034107">
        <w:rPr>
          <w:bCs/>
        </w:rPr>
        <w:t>CF</w:t>
      </w:r>
      <w:proofErr w:type="spellEnd"/>
      <w:r w:rsidR="00583435" w:rsidRPr="00034107">
        <w:rPr>
          <w:bCs/>
        </w:rPr>
        <w:t>-</w:t>
      </w:r>
      <w:proofErr w:type="spellStart"/>
      <w:r w:rsidR="00583435" w:rsidRPr="00034107">
        <w:rPr>
          <w:bCs/>
        </w:rPr>
        <w:t>NNNNNN</w:t>
      </w:r>
      <w:proofErr w:type="spellEnd"/>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w:t>
      </w:r>
      <w:proofErr w:type="spellStart"/>
      <w:r w:rsidR="00A7797E" w:rsidRPr="00034107">
        <w:rPr>
          <w:rFonts w:cs="Arial"/>
          <w:szCs w:val="20"/>
        </w:rPr>
        <w:t>KBT</w:t>
      </w:r>
      <w:proofErr w:type="spellEnd"/>
      <w:r w:rsidR="00A7797E" w:rsidRPr="00034107">
        <w:rPr>
          <w:rFonts w:cs="Arial"/>
          <w:szCs w:val="20"/>
        </w:rPr>
        <w: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xml:space="preserve">. oszlopban K, illetve </w:t>
      </w:r>
      <w:proofErr w:type="spellStart"/>
      <w:r w:rsidRPr="00034107">
        <w:rPr>
          <w:rFonts w:cs="Arial"/>
          <w:snapToGrid w:val="0"/>
          <w:szCs w:val="20"/>
        </w:rPr>
        <w:t>KBT</w:t>
      </w:r>
      <w:proofErr w:type="spellEnd"/>
      <w:r w:rsidRPr="00034107">
        <w:rPr>
          <w:rFonts w:cs="Arial"/>
          <w:snapToGrid w:val="0"/>
          <w:szCs w:val="20"/>
        </w:rPr>
        <w:t xml:space="preserve">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w:t>
      </w:r>
      <w:proofErr w:type="spellStart"/>
      <w:r w:rsidRPr="00034107">
        <w:rPr>
          <w:rFonts w:cs="Arial"/>
          <w:szCs w:val="20"/>
        </w:rPr>
        <w:t>KBT</w:t>
      </w:r>
      <w:proofErr w:type="spellEnd"/>
      <w:r w:rsidRPr="00034107">
        <w:rPr>
          <w:rFonts w:cs="Arial"/>
          <w:szCs w:val="20"/>
        </w:rPr>
        <w:t>-vel jelölt sorok.</w:t>
      </w:r>
    </w:p>
    <w:p w14:paraId="0077B8F4" w14:textId="77777777" w:rsidR="00E92709" w:rsidRPr="00034107" w:rsidRDefault="00E92709" w:rsidP="00A7797E">
      <w:pPr>
        <w:rPr>
          <w:rFonts w:cs="Arial"/>
          <w:b/>
          <w:szCs w:val="20"/>
        </w:rPr>
      </w:pPr>
    </w:p>
    <w:p w14:paraId="5708A400" w14:textId="6F2A30A6" w:rsidR="00A32A9D" w:rsidRPr="00B07887" w:rsidRDefault="00610194" w:rsidP="008963A5">
      <w:pPr>
        <w:pStyle w:val="Cmsor2"/>
      </w:pPr>
      <w:del w:id="128" w:author="MNB" w:date="2024-07-19T16:03:00Z">
        <w:r>
          <w:lastRenderedPageBreak/>
          <w:delText>2</w:delText>
        </w:r>
        <w:r w:rsidR="00453FF3">
          <w:delText>5</w:delText>
        </w:r>
      </w:del>
      <w:ins w:id="129" w:author="MNB" w:date="2024-07-19T16:03:00Z">
        <w:r>
          <w:t>2</w:t>
        </w:r>
        <w:r w:rsidR="00E002BF">
          <w:t>4</w:t>
        </w:r>
      </w:ins>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 xml:space="preserve">(pl. </w:t>
      </w:r>
      <w:proofErr w:type="spellStart"/>
      <w:r w:rsidRPr="00034107">
        <w:rPr>
          <w:rFonts w:eastAsia="Times New Roman" w:cs="Arial"/>
          <w:szCs w:val="20"/>
        </w:rPr>
        <w:t>BUBOR</w:t>
      </w:r>
      <w:proofErr w:type="spellEnd"/>
      <w:r w:rsidRPr="00034107">
        <w:rPr>
          <w:rFonts w:eastAsia="Times New Roman" w:cs="Arial"/>
          <w:szCs w:val="20"/>
        </w:rPr>
        <w:t xml:space="preserve">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 xml:space="preserve">(pl. </w:t>
      </w:r>
      <w:proofErr w:type="spellStart"/>
      <w:r w:rsidRPr="00034107">
        <w:rPr>
          <w:rFonts w:eastAsia="Times New Roman" w:cs="Arial"/>
          <w:szCs w:val="20"/>
        </w:rPr>
        <w:t>félévente</w:t>
      </w:r>
      <w:proofErr w:type="spellEnd"/>
      <w:r w:rsidRPr="00034107">
        <w:rPr>
          <w:rFonts w:eastAsia="Times New Roman" w:cs="Arial"/>
          <w:szCs w:val="20"/>
        </w:rPr>
        <w:t xml:space="preserv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512EA587" w14:textId="77777777" w:rsidR="000830A4" w:rsidRPr="00452B2C" w:rsidRDefault="00610194" w:rsidP="00DB29C7">
      <w:pPr>
        <w:pStyle w:val="Cmsor2"/>
        <w:rPr>
          <w:del w:id="130" w:author="MNB" w:date="2024-07-19T16:03:00Z"/>
        </w:rPr>
      </w:pPr>
      <w:del w:id="131" w:author="MNB" w:date="2024-07-19T16:03:00Z">
        <w:r w:rsidRPr="00452B2C">
          <w:delText>2</w:delText>
        </w:r>
        <w:r w:rsidR="00453FF3" w:rsidRPr="00452B2C">
          <w:delText>6</w:delText>
        </w:r>
      </w:del>
      <w:ins w:id="132" w:author="MNB" w:date="2024-07-19T16:03:00Z">
        <w:r w:rsidRPr="00452B2C">
          <w:t>2</w:t>
        </w:r>
        <w:r w:rsidR="000B7E43">
          <w:t>5</w:t>
        </w:r>
      </w:ins>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p>
    <w:p w14:paraId="059104E9" w14:textId="77777777" w:rsidR="000B32FC" w:rsidRPr="00034107" w:rsidRDefault="00794372" w:rsidP="00452B2C">
      <w:pPr>
        <w:rPr>
          <w:del w:id="133" w:author="MNB" w:date="2024-07-19T16:03:00Z"/>
          <w:rFonts w:cs="Arial"/>
          <w:szCs w:val="20"/>
        </w:rPr>
      </w:pPr>
      <w:del w:id="134" w:author="MNB" w:date="2024-07-19T16:03:00Z">
        <w:r w:rsidRPr="00034107">
          <w:rPr>
            <w:rFonts w:cs="Arial"/>
            <w:szCs w:val="20"/>
          </w:rPr>
          <w:delText>A Számv.tv.</w:delText>
        </w:r>
        <w:r w:rsidR="008A093C" w:rsidRPr="00034107">
          <w:rPr>
            <w:rFonts w:cs="Arial"/>
            <w:szCs w:val="20"/>
          </w:rPr>
          <w:delText xml:space="preserve"> vonatkozó előírásainak megfelelően kell kitölteni.</w:delText>
        </w:r>
      </w:del>
    </w:p>
    <w:p w14:paraId="7A14A4BD" w14:textId="77777777" w:rsidR="000830A4" w:rsidRPr="00034107" w:rsidRDefault="00610194" w:rsidP="00DB29C7">
      <w:pPr>
        <w:pStyle w:val="Cmsor2"/>
        <w:rPr>
          <w:del w:id="135" w:author="MNB" w:date="2024-07-19T16:03:00Z"/>
        </w:rPr>
      </w:pPr>
      <w:del w:id="136" w:author="MNB" w:date="2024-07-19T16:03:00Z">
        <w:r>
          <w:delText>2</w:delText>
        </w:r>
        <w:r w:rsidR="00453FF3">
          <w:delText>7</w:delText>
        </w:r>
        <w:r w:rsidR="00084842" w:rsidRPr="00034107">
          <w:delText>.</w:delText>
        </w:r>
      </w:del>
      <w:ins w:id="137" w:author="MNB" w:date="2024-07-19T16:03:00Z">
        <w:r w:rsidR="000B7E43">
          <w:t>,</w:t>
        </w:r>
      </w:ins>
      <w:r w:rsidR="000B7E43">
        <w:t xml:space="preserve"> </w:t>
      </w:r>
      <w:r w:rsidR="000B7E43" w:rsidRPr="00034107">
        <w:t xml:space="preserve">50EF Befektetési alapkezelő </w:t>
      </w:r>
      <w:r w:rsidR="000B7E43">
        <w:t>–</w:t>
      </w:r>
      <w:r w:rsidR="000B7E43" w:rsidRPr="00034107">
        <w:t xml:space="preserve"> mérleg / források</w:t>
      </w:r>
    </w:p>
    <w:p w14:paraId="0500D662" w14:textId="77777777" w:rsidR="000B32FC" w:rsidRPr="00034107" w:rsidRDefault="00794372" w:rsidP="00452B2C">
      <w:pPr>
        <w:rPr>
          <w:del w:id="138" w:author="MNB" w:date="2024-07-19T16:03:00Z"/>
          <w:rFonts w:cs="Arial"/>
          <w:szCs w:val="20"/>
        </w:rPr>
      </w:pPr>
      <w:del w:id="139" w:author="MNB" w:date="2024-07-19T16:03:00Z">
        <w:r w:rsidRPr="00034107">
          <w:rPr>
            <w:rFonts w:cs="Arial"/>
            <w:szCs w:val="20"/>
          </w:rPr>
          <w:delText>A Számv.tv.</w:delText>
        </w:r>
        <w:r w:rsidR="008A093C" w:rsidRPr="00034107">
          <w:rPr>
            <w:rFonts w:cs="Arial"/>
            <w:szCs w:val="20"/>
          </w:rPr>
          <w:delText xml:space="preserve"> vonatkozó előírásainak megfelelően kell kitölteni.</w:delText>
        </w:r>
      </w:del>
    </w:p>
    <w:p w14:paraId="38892A46" w14:textId="0C2D1A7D" w:rsidR="000830A4" w:rsidRPr="00452B2C" w:rsidRDefault="00453FF3" w:rsidP="008963A5">
      <w:pPr>
        <w:pStyle w:val="Cmsor2"/>
      </w:pPr>
      <w:del w:id="140" w:author="MNB" w:date="2024-07-19T16:03:00Z">
        <w:r>
          <w:delText>28</w:delText>
        </w:r>
        <w:r w:rsidR="00084842" w:rsidRPr="00034107">
          <w:delText>.</w:delText>
        </w:r>
      </w:del>
      <w:ins w:id="141" w:author="MNB" w:date="2024-07-19T16:03:00Z">
        <w:r w:rsidR="000B7E43">
          <w:t xml:space="preserve"> és</w:t>
        </w:r>
      </w:ins>
      <w:r w:rsidR="000B7E43">
        <w:t xml:space="preserve"> </w:t>
      </w:r>
      <w:r w:rsidR="000B7E43" w:rsidRPr="00034107">
        <w:t xml:space="preserve">50ER Befektetési alapkezelő </w:t>
      </w:r>
      <w:r w:rsidR="000B7E43">
        <w:t>–</w:t>
      </w:r>
      <w:r w:rsidR="000B7E43" w:rsidRPr="00034107">
        <w:t xml:space="preserve"> eredménykimutatás</w:t>
      </w:r>
    </w:p>
    <w:p w14:paraId="63B4A5D4" w14:textId="7255E7BC" w:rsidR="000B32FC" w:rsidRDefault="00794372" w:rsidP="00452B2C">
      <w:pPr>
        <w:rPr>
          <w:rFonts w:cs="Arial"/>
          <w:szCs w:val="20"/>
        </w:rPr>
      </w:pPr>
      <w:r w:rsidRPr="00034107">
        <w:rPr>
          <w:rFonts w:cs="Arial"/>
          <w:szCs w:val="20"/>
        </w:rPr>
        <w:t>A</w:t>
      </w:r>
      <w:r w:rsidR="00BD00B6">
        <w:rPr>
          <w:rFonts w:cs="Arial"/>
          <w:szCs w:val="20"/>
        </w:rPr>
        <w:t xml:space="preserve"> </w:t>
      </w:r>
      <w:ins w:id="142" w:author="MNB" w:date="2024-07-19T16:03:00Z">
        <w:r w:rsidR="00BD00B6">
          <w:rPr>
            <w:rFonts w:cs="Arial"/>
            <w:szCs w:val="20"/>
          </w:rPr>
          <w:t>táblákat a</w:t>
        </w:r>
        <w:r w:rsidRPr="00034107">
          <w:rPr>
            <w:rFonts w:cs="Arial"/>
            <w:szCs w:val="20"/>
          </w:rPr>
          <w:t xml:space="preserve"> </w:t>
        </w:r>
      </w:ins>
      <w:r w:rsidRPr="00034107">
        <w:rPr>
          <w:rFonts w:cs="Arial"/>
          <w:szCs w:val="20"/>
        </w:rPr>
        <w:t>Számv.tv.</w:t>
      </w:r>
      <w:r w:rsidR="008A093C" w:rsidRPr="00034107">
        <w:rPr>
          <w:rFonts w:cs="Arial"/>
          <w:szCs w:val="20"/>
        </w:rPr>
        <w:t xml:space="preserve"> vonatkozó előírásainak megfelelően kell kitölteni</w:t>
      </w:r>
      <w:ins w:id="143" w:author="MNB" w:date="2024-07-19T16:03:00Z">
        <w:r w:rsidR="008A093C" w:rsidRPr="00034107">
          <w:rPr>
            <w:rFonts w:cs="Arial"/>
            <w:szCs w:val="20"/>
          </w:rPr>
          <w:t>.</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w:t>
        </w:r>
        <w:proofErr w:type="spellStart"/>
        <w:r w:rsidR="006C5FD5">
          <w:rPr>
            <w:rFonts w:cs="Arial"/>
            <w:szCs w:val="20"/>
          </w:rPr>
          <w:t>IFRS-</w:t>
        </w:r>
        <w:r w:rsidR="00973951">
          <w:rPr>
            <w:rFonts w:cs="Arial"/>
            <w:szCs w:val="20"/>
          </w:rPr>
          <w:t>eke</w:t>
        </w:r>
        <w:r w:rsidR="006C5FD5">
          <w:rPr>
            <w:rFonts w:cs="Arial"/>
            <w:szCs w:val="20"/>
          </w:rPr>
          <w:t>t</w:t>
        </w:r>
        <w:proofErr w:type="spellEnd"/>
        <w:r w:rsidR="006C5FD5">
          <w:rPr>
            <w:rFonts w:cs="Arial"/>
            <w:szCs w:val="20"/>
          </w:rPr>
          <w:t xml:space="preserve">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ins>
      <w:r w:rsidR="006C5FD5">
        <w:rPr>
          <w:rFonts w:cs="Arial"/>
          <w:szCs w:val="20"/>
        </w:rPr>
        <w:t>.</w:t>
      </w:r>
    </w:p>
    <w:p w14:paraId="6B215C5C" w14:textId="77777777" w:rsidR="00112698" w:rsidRPr="00034107" w:rsidRDefault="00112698" w:rsidP="000B7E43">
      <w:pPr>
        <w:rPr>
          <w:rFonts w:cs="Arial"/>
          <w:b/>
          <w:szCs w:val="20"/>
        </w:rPr>
      </w:pPr>
    </w:p>
    <w:p w14:paraId="79E11840" w14:textId="395DD952" w:rsidR="00112698" w:rsidRPr="00034107" w:rsidRDefault="00453FF3" w:rsidP="008963A5">
      <w:pPr>
        <w:pStyle w:val="Cmsor2"/>
      </w:pPr>
      <w:del w:id="144" w:author="MNB" w:date="2024-07-19T16:03:00Z">
        <w:r>
          <w:delText>29</w:delText>
        </w:r>
      </w:del>
      <w:ins w:id="145" w:author="MNB" w:date="2024-07-19T16:03:00Z">
        <w:r>
          <w:t>2</w:t>
        </w:r>
        <w:r w:rsidR="000B7E43">
          <w:t>6</w:t>
        </w:r>
      </w:ins>
      <w:r w:rsidR="00A32A9D" w:rsidRPr="00034107">
        <w:t xml:space="preserve">. </w:t>
      </w:r>
      <w:r w:rsidR="00112698" w:rsidRPr="00034107">
        <w:t xml:space="preserve">50EI </w:t>
      </w:r>
      <w:proofErr w:type="spellStart"/>
      <w:r w:rsidR="00112698" w:rsidRPr="00034107">
        <w:t>IFRS-eket</w:t>
      </w:r>
      <w:proofErr w:type="spellEnd"/>
      <w:r w:rsidR="00112698" w:rsidRPr="00034107">
        <w:t xml:space="preserve"> alkalmazó befektetési alapkezelő kiemelt pénzügyi információi</w:t>
      </w:r>
    </w:p>
    <w:p w14:paraId="4B6C3F91" w14:textId="6066E332" w:rsidR="00112698" w:rsidRPr="00034107" w:rsidRDefault="00112698" w:rsidP="00112698">
      <w:pPr>
        <w:rPr>
          <w:rFonts w:cs="Arial"/>
          <w:b/>
          <w:szCs w:val="20"/>
        </w:rPr>
      </w:pPr>
      <w:r w:rsidRPr="00034107">
        <w:rPr>
          <w:rFonts w:cs="Arial"/>
          <w:snapToGrid w:val="0"/>
          <w:szCs w:val="20"/>
        </w:rPr>
        <w:t xml:space="preserve">A táblában meghatározott pénzügyi információkat az </w:t>
      </w:r>
      <w:proofErr w:type="spellStart"/>
      <w:r w:rsidRPr="00034107">
        <w:rPr>
          <w:rFonts w:cs="Arial"/>
          <w:snapToGrid w:val="0"/>
          <w:szCs w:val="20"/>
        </w:rPr>
        <w:t>IFRS</w:t>
      </w:r>
      <w:proofErr w:type="spellEnd"/>
      <w:r w:rsidRPr="00034107">
        <w:rPr>
          <w:rFonts w:cs="Arial"/>
          <w:snapToGrid w:val="0"/>
          <w:szCs w:val="20"/>
        </w:rPr>
        <w:t xml:space="preserve">-ek megjelenítésre, beszámításra és értékelésre vonatkozó szabályaival összhangban kell </w:t>
      </w:r>
      <w:del w:id="146" w:author="MNB" w:date="2024-07-19T16:03:00Z">
        <w:r w:rsidRPr="00034107">
          <w:rPr>
            <w:rFonts w:cs="Arial"/>
            <w:snapToGrid w:val="0"/>
            <w:szCs w:val="20"/>
          </w:rPr>
          <w:delText>előállítani</w:delText>
        </w:r>
      </w:del>
      <w:ins w:id="147" w:author="MNB" w:date="2024-07-19T16:03:00Z">
        <w:r w:rsidR="000B7E43">
          <w:rPr>
            <w:rFonts w:cs="Arial"/>
            <w:snapToGrid w:val="0"/>
            <w:szCs w:val="20"/>
          </w:rPr>
          <w:t>megadni</w:t>
        </w:r>
      </w:ins>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lastRenderedPageBreak/>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 xml:space="preserve">Az </w:t>
      </w:r>
      <w:proofErr w:type="spellStart"/>
      <w:r w:rsidRPr="00034107">
        <w:rPr>
          <w:rFonts w:ascii="Arial" w:hAnsi="Arial" w:cs="Arial"/>
          <w:sz w:val="20"/>
          <w:szCs w:val="20"/>
          <w:lang w:val="hu-HU"/>
        </w:rPr>
        <w:t>IFRS</w:t>
      </w:r>
      <w:proofErr w:type="spellEnd"/>
      <w:r w:rsidRPr="00034107">
        <w:rPr>
          <w:rFonts w:ascii="Arial" w:hAnsi="Arial" w:cs="Arial"/>
          <w:sz w:val="20"/>
          <w:szCs w:val="20"/>
          <w:lang w:val="hu-HU"/>
        </w:rPr>
        <w:t xml:space="preserve">-ek előírásai értelmében a tőkeinstrumentumok azok a pénzügyi instrumentumok, amelyeket az </w:t>
      </w:r>
      <w:proofErr w:type="spellStart"/>
      <w:r w:rsidRPr="00034107">
        <w:rPr>
          <w:rFonts w:ascii="Arial" w:hAnsi="Arial" w:cs="Arial"/>
          <w:sz w:val="20"/>
          <w:szCs w:val="20"/>
          <w:lang w:val="hu-HU"/>
        </w:rPr>
        <w:t>IAS</w:t>
      </w:r>
      <w:proofErr w:type="spellEnd"/>
      <w:r w:rsidRPr="00034107">
        <w:rPr>
          <w:rFonts w:ascii="Arial" w:hAnsi="Arial" w:cs="Arial"/>
          <w:sz w:val="20"/>
          <w:szCs w:val="20"/>
          <w:lang w:val="hu-HU"/>
        </w:rPr>
        <w:t xml:space="preserve">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 xml:space="preserve">eányvállalatokba, közös vállalkozásokba, valamint társult vállalkozásokba történt befektetések </w:t>
      </w:r>
      <w:proofErr w:type="spellStart"/>
      <w:r w:rsidR="006476C9" w:rsidRPr="00034107">
        <w:rPr>
          <w:rFonts w:cs="Arial"/>
          <w:szCs w:val="20"/>
        </w:rPr>
        <w:t>tartalékai</w:t>
      </w:r>
      <w:proofErr w:type="spellEnd"/>
      <w:r w:rsidR="006476C9" w:rsidRPr="00034107">
        <w:rPr>
          <w:rFonts w:cs="Arial"/>
          <w:szCs w:val="20"/>
        </w:rPr>
        <w:t xml:space="preserve"> vagy halmozott veszteségei</w:t>
      </w:r>
      <w:r w:rsidR="00F01B27" w:rsidRPr="00034107">
        <w:rPr>
          <w:rFonts w:cs="Arial"/>
          <w:szCs w:val="20"/>
        </w:rPr>
        <w:t xml:space="preserve">; a saját részvények (negatív előjellel); az évközi osztalék (negatív előjellel); az átértékelési tartalék (az </w:t>
      </w:r>
      <w:proofErr w:type="spellStart"/>
      <w:r w:rsidR="00F01B27" w:rsidRPr="00034107">
        <w:rPr>
          <w:rFonts w:cs="Arial"/>
          <w:szCs w:val="20"/>
        </w:rPr>
        <w:t>IFRS-ekre</w:t>
      </w:r>
      <w:proofErr w:type="spellEnd"/>
      <w:r w:rsidR="00F01B27" w:rsidRPr="00034107">
        <w:rPr>
          <w:rFonts w:cs="Arial"/>
          <w:szCs w:val="20"/>
        </w:rPr>
        <w:t xml:space="preserve"> való áttéréskor).</w:t>
      </w:r>
    </w:p>
    <w:p w14:paraId="35088EC4" w14:textId="77777777" w:rsidR="00112698" w:rsidRPr="00034107" w:rsidRDefault="00112698" w:rsidP="00295414">
      <w:pPr>
        <w:rPr>
          <w:rFonts w:cs="Arial"/>
          <w:b/>
          <w:szCs w:val="20"/>
        </w:rPr>
      </w:pPr>
    </w:p>
    <w:p w14:paraId="221B652F" w14:textId="6626EF25" w:rsidR="00A66589" w:rsidRPr="00B07887" w:rsidRDefault="00453FF3" w:rsidP="008963A5">
      <w:pPr>
        <w:pStyle w:val="Cmsor2"/>
        <w:rPr>
          <w:rFonts w:eastAsia="Times New Roman"/>
          <w:lang w:eastAsia="hu-HU"/>
        </w:rPr>
      </w:pPr>
      <w:del w:id="148" w:author="MNB" w:date="2024-07-19T16:03:00Z">
        <w:r>
          <w:rPr>
            <w:rFonts w:eastAsia="Times New Roman"/>
            <w:lang w:eastAsia="hu-HU"/>
          </w:rPr>
          <w:delText>30</w:delText>
        </w:r>
      </w:del>
      <w:ins w:id="149" w:author="MNB" w:date="2024-07-19T16:03:00Z">
        <w:r w:rsidR="00BD00B6">
          <w:rPr>
            <w:rFonts w:eastAsia="Times New Roman"/>
            <w:lang w:eastAsia="hu-HU"/>
          </w:rPr>
          <w:t>27</w:t>
        </w:r>
      </w:ins>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w:t>
      </w:r>
      <w:proofErr w:type="spellStart"/>
      <w:r w:rsidR="00112698" w:rsidRPr="00034107">
        <w:rPr>
          <w:rFonts w:eastAsia="Times New Roman"/>
          <w:lang w:eastAsia="hu-HU"/>
        </w:rPr>
        <w:t>IFRS-eket</w:t>
      </w:r>
      <w:proofErr w:type="spellEnd"/>
      <w:r w:rsidR="00112698" w:rsidRPr="00034107">
        <w:rPr>
          <w:rFonts w:eastAsia="Times New Roman"/>
          <w:lang w:eastAsia="hu-HU"/>
        </w:rPr>
        <w:t xml:space="preserve">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 xml:space="preserve">sor elemei olyan bevételi és ráfordítási tételek, amelyek nem minősülnek az </w:t>
      </w:r>
      <w:proofErr w:type="spellStart"/>
      <w:r w:rsidR="00A66589" w:rsidRPr="00034107">
        <w:rPr>
          <w:rFonts w:ascii="Arial" w:hAnsi="Arial" w:cs="Arial"/>
          <w:color w:val="000000"/>
          <w:sz w:val="20"/>
          <w:szCs w:val="20"/>
          <w:lang w:val="hu-HU"/>
        </w:rPr>
        <w:t>IAS</w:t>
      </w:r>
      <w:proofErr w:type="spellEnd"/>
      <w:r w:rsidR="00ED7D8A" w:rsidRPr="00034107">
        <w:rPr>
          <w:rFonts w:ascii="Arial" w:hAnsi="Arial" w:cs="Arial"/>
          <w:color w:val="000000"/>
          <w:sz w:val="20"/>
          <w:szCs w:val="20"/>
          <w:lang w:val="hu-HU"/>
        </w:rPr>
        <w:t xml:space="preserve">, illetve az </w:t>
      </w:r>
      <w:proofErr w:type="spellStart"/>
      <w:r w:rsidR="00A66589" w:rsidRPr="00034107">
        <w:rPr>
          <w:rFonts w:ascii="Arial" w:hAnsi="Arial" w:cs="Arial"/>
          <w:color w:val="000000"/>
          <w:sz w:val="20"/>
          <w:szCs w:val="20"/>
          <w:lang w:val="hu-HU"/>
        </w:rPr>
        <w:t>IFRS</w:t>
      </w:r>
      <w:proofErr w:type="spellEnd"/>
      <w:r w:rsidR="00A66589" w:rsidRPr="00034107">
        <w:rPr>
          <w:rFonts w:ascii="Arial" w:hAnsi="Arial" w:cs="Arial"/>
          <w:color w:val="000000"/>
          <w:sz w:val="20"/>
          <w:szCs w:val="20"/>
          <w:lang w:val="hu-HU"/>
        </w:rPr>
        <w:t>-ek szerint eredménytételnek.</w:t>
      </w:r>
    </w:p>
    <w:p w14:paraId="75EA50A7" w14:textId="79B491C4" w:rsidR="00112698" w:rsidRPr="00521C78" w:rsidRDefault="00112698" w:rsidP="00973964">
      <w:pPr>
        <w:rPr>
          <w:rFonts w:cs="Arial"/>
          <w:b/>
          <w:szCs w:val="20"/>
        </w:rPr>
      </w:pPr>
    </w:p>
    <w:p w14:paraId="1DA8AB82" w14:textId="7EB1538D" w:rsidR="003C41C0" w:rsidRPr="00B07887" w:rsidRDefault="00453FF3" w:rsidP="008963A5">
      <w:pPr>
        <w:pStyle w:val="Cmsor2"/>
      </w:pPr>
      <w:del w:id="150" w:author="MNB" w:date="2024-07-19T16:03:00Z">
        <w:r>
          <w:delText>31</w:delText>
        </w:r>
      </w:del>
      <w:ins w:id="151" w:author="MNB" w:date="2024-07-19T16:03:00Z">
        <w:r w:rsidR="00BD00B6">
          <w:t>28</w:t>
        </w:r>
      </w:ins>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6E82D55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575D75C1" w:rsidR="007A2BEF" w:rsidRPr="005A032D" w:rsidRDefault="00A86156" w:rsidP="008963A5">
      <w:pPr>
        <w:pStyle w:val="Cmsor2"/>
      </w:pPr>
      <w:del w:id="152" w:author="MNB" w:date="2024-07-19T16:03:00Z">
        <w:r>
          <w:delText>32</w:delText>
        </w:r>
      </w:del>
      <w:ins w:id="153" w:author="MNB" w:date="2024-07-19T16:03:00Z">
        <w:r>
          <w:t>2</w:t>
        </w:r>
        <w:r w:rsidR="009C172F">
          <w:t>9</w:t>
        </w:r>
      </w:ins>
      <w:r>
        <w:t xml:space="preserve">. </w:t>
      </w:r>
      <w:proofErr w:type="spellStart"/>
      <w:r>
        <w:t>ZPTN</w:t>
      </w:r>
      <w:proofErr w:type="spellEnd"/>
      <w:r>
        <w:t xml:space="preserve">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w:t>
      </w:r>
      <w:proofErr w:type="spellStart"/>
      <w:r w:rsidRPr="0005609A">
        <w:rPr>
          <w:rFonts w:ascii="Arial" w:hAnsi="Arial" w:cs="Arial"/>
          <w:bCs/>
          <w:i/>
          <w:iCs/>
          <w:sz w:val="20"/>
          <w:szCs w:val="20"/>
        </w:rPr>
        <w:t>class</w:t>
      </w:r>
      <w:proofErr w:type="spellEnd"/>
      <w:r w:rsidRPr="0005609A">
        <w:rPr>
          <w:rFonts w:ascii="Arial" w:hAnsi="Arial" w:cs="Arial"/>
          <w:bCs/>
          <w:i/>
          <w:iCs/>
          <w:sz w:val="20"/>
          <w:szCs w:val="20"/>
        </w:rPr>
        <w:t xml:space="preserve">/Pozitív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sidRPr="0005609A">
        <w:rPr>
          <w:rFonts w:ascii="Arial" w:hAnsi="Arial" w:cs="Arial"/>
          <w:bCs/>
          <w:sz w:val="20"/>
          <w:szCs w:val="20"/>
        </w:rPr>
        <w:t>ESG</w:t>
      </w:r>
      <w:proofErr w:type="spellEnd"/>
      <w:r w:rsidRPr="0005609A">
        <w:rPr>
          <w:rFonts w:ascii="Arial" w:hAnsi="Arial" w:cs="Arial"/>
          <w:bCs/>
          <w:sz w:val="20"/>
          <w:szCs w:val="20"/>
        </w:rPr>
        <w:t xml:space="preserve">-pontszámok alapján rangsorolt vállalatok közül a legrosszabb </w:t>
      </w:r>
      <w:proofErr w:type="spellStart"/>
      <w:r w:rsidRPr="0005609A">
        <w:rPr>
          <w:rFonts w:ascii="Arial" w:hAnsi="Arial" w:cs="Arial"/>
          <w:bCs/>
          <w:sz w:val="20"/>
          <w:szCs w:val="20"/>
        </w:rPr>
        <w:t>ESG</w:t>
      </w:r>
      <w:proofErr w:type="spellEnd"/>
      <w:r w:rsidRPr="0005609A">
        <w:rPr>
          <w:rFonts w:ascii="Arial" w:hAnsi="Arial" w:cs="Arial"/>
          <w:bCs/>
          <w:sz w:val="20"/>
          <w:szCs w:val="20"/>
        </w:rPr>
        <w:t>-pontszámmal rendelkező vállalatok eszközei 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w:t>
      </w:r>
      <w:proofErr w:type="spellStart"/>
      <w:r w:rsidRPr="0005609A">
        <w:rPr>
          <w:rFonts w:ascii="Arial" w:hAnsi="Arial" w:cs="Arial"/>
          <w:bCs/>
          <w:sz w:val="20"/>
          <w:szCs w:val="20"/>
        </w:rPr>
        <w:t>Class</w:t>
      </w:r>
      <w:proofErr w:type="spellEnd"/>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proofErr w:type="spellStart"/>
      <w:r w:rsidRPr="0005609A">
        <w:rPr>
          <w:rFonts w:ascii="Arial" w:hAnsi="Arial" w:cs="Arial"/>
          <w:bCs/>
          <w:i/>
          <w:sz w:val="20"/>
          <w:szCs w:val="20"/>
        </w:rPr>
        <w:t>ESG</w:t>
      </w:r>
      <w:proofErr w:type="spellEnd"/>
      <w:r w:rsidRPr="0005609A">
        <w:rPr>
          <w:rFonts w:ascii="Arial" w:hAnsi="Arial" w:cs="Arial"/>
          <w:bCs/>
          <w:i/>
          <w:sz w:val="20"/>
          <w:szCs w:val="20"/>
        </w:rPr>
        <w:t xml:space="preserve">: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proofErr w:type="spellStart"/>
      <w:r w:rsidRPr="0005609A">
        <w:rPr>
          <w:rFonts w:ascii="Arial" w:hAnsi="Arial" w:cs="Arial"/>
          <w:bCs/>
          <w:iCs/>
          <w:sz w:val="20"/>
          <w:szCs w:val="20"/>
        </w:rPr>
        <w:t>environmental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social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governance</w:t>
      </w:r>
      <w:proofErr w:type="spellEnd"/>
      <w:r w:rsidRPr="0005609A">
        <w:rPr>
          <w:rFonts w:ascii="Arial" w:hAnsi="Arial" w:cs="Arial"/>
          <w:bCs/>
          <w:iCs/>
          <w:sz w:val="20"/>
          <w:szCs w:val="20"/>
        </w:rPr>
        <w:t xml:space="preserv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 xml:space="preserve">EU </w:t>
      </w:r>
      <w:proofErr w:type="spellStart"/>
      <w:r w:rsidRPr="0005609A">
        <w:rPr>
          <w:rFonts w:ascii="Arial" w:hAnsi="Arial" w:cs="Arial"/>
          <w:bCs/>
          <w:i/>
          <w:iCs/>
          <w:sz w:val="20"/>
          <w:szCs w:val="20"/>
        </w:rPr>
        <w:t>EcoLabel</w:t>
      </w:r>
      <w:proofErr w:type="spellEnd"/>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 xml:space="preserve">niós </w:t>
      </w:r>
      <w:proofErr w:type="spellStart"/>
      <w:r w:rsidRPr="0005609A">
        <w:rPr>
          <w:rFonts w:ascii="Arial" w:hAnsi="Arial" w:cs="Arial"/>
          <w:bCs/>
          <w:sz w:val="20"/>
          <w:szCs w:val="20"/>
        </w:rPr>
        <w:t>ökocímke</w:t>
      </w:r>
      <w:proofErr w:type="spellEnd"/>
      <w:r w:rsidRPr="0005609A">
        <w:rPr>
          <w:rFonts w:ascii="Arial" w:hAnsi="Arial" w:cs="Arial"/>
          <w:bCs/>
          <w:sz w:val="20"/>
          <w:szCs w:val="20"/>
        </w:rPr>
        <w:t>.</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w:t>
      </w:r>
      <w:proofErr w:type="spellStart"/>
      <w:r w:rsidRPr="0005609A">
        <w:rPr>
          <w:rFonts w:ascii="Arial" w:hAnsi="Arial" w:cs="Arial"/>
          <w:bCs/>
          <w:i/>
          <w:iCs/>
          <w:sz w:val="20"/>
          <w:szCs w:val="20"/>
        </w:rPr>
        <w:t>ESG</w:t>
      </w:r>
      <w:proofErr w:type="spellEnd"/>
      <w:r w:rsidRPr="0005609A">
        <w:rPr>
          <w:rFonts w:ascii="Arial" w:hAnsi="Arial" w:cs="Arial"/>
          <w:bCs/>
          <w:i/>
          <w:iCs/>
          <w:sz w:val="20"/>
          <w:szCs w:val="20"/>
        </w:rPr>
        <w:t xml:space="preserve">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Pr>
          <w:rFonts w:ascii="Arial" w:hAnsi="Arial" w:cs="Arial"/>
          <w:bCs/>
          <w:sz w:val="20"/>
          <w:szCs w:val="20"/>
        </w:rPr>
        <w:t>ESG</w:t>
      </w:r>
      <w:proofErr w:type="spellEnd"/>
      <w:r>
        <w:rPr>
          <w:rFonts w:ascii="Arial" w:hAnsi="Arial" w:cs="Arial"/>
          <w:bCs/>
          <w:sz w:val="20"/>
          <w:szCs w:val="20"/>
        </w:rPr>
        <w:t xml:space="preserve">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lastRenderedPageBreak/>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olyan vállalatokba történő befektetés, amelyek tevékenységük révén pozitív hatást gyakorolnak a környezetre, társadalomra (például megújuló energia, </w:t>
      </w:r>
      <w:proofErr w:type="spellStart"/>
      <w:r w:rsidRPr="0005609A">
        <w:rPr>
          <w:rFonts w:ascii="Arial" w:hAnsi="Arial" w:cs="Arial"/>
          <w:bCs/>
          <w:sz w:val="20"/>
          <w:szCs w:val="20"/>
        </w:rPr>
        <w:t>elektromobilitás</w:t>
      </w:r>
      <w:proofErr w:type="spellEnd"/>
      <w:r w:rsidRPr="0005609A">
        <w:rPr>
          <w:rFonts w:ascii="Arial" w:hAnsi="Arial" w:cs="Arial"/>
          <w:bCs/>
          <w:sz w:val="20"/>
          <w:szCs w:val="20"/>
        </w:rPr>
        <w:t>,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 xml:space="preserve">Kizárási politika/negatív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 xml:space="preserve">éldául: </w:t>
      </w:r>
      <w:proofErr w:type="spellStart"/>
      <w:r w:rsidRPr="00CE24AD">
        <w:rPr>
          <w:rFonts w:cs="Arial"/>
          <w:iCs/>
          <w:szCs w:val="20"/>
        </w:rPr>
        <w:t>Iberdrola</w:t>
      </w:r>
      <w:proofErr w:type="spellEnd"/>
      <w:r w:rsidRPr="00CE24AD">
        <w:rPr>
          <w:rFonts w:cs="Arial"/>
          <w:iCs/>
          <w:szCs w:val="20"/>
        </w:rPr>
        <w:t xml:space="preserve">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w:t>
      </w:r>
      <w:proofErr w:type="spellStart"/>
      <w:r w:rsidRPr="002256E5">
        <w:rPr>
          <w:rFonts w:cs="Arial"/>
          <w:iCs/>
          <w:szCs w:val="20"/>
        </w:rPr>
        <w:t>SFDR</w:t>
      </w:r>
      <w:proofErr w:type="spellEnd"/>
      <w:r w:rsidRPr="002256E5">
        <w:rPr>
          <w:rFonts w:cs="Arial"/>
          <w:iCs/>
          <w:szCs w:val="20"/>
        </w:rPr>
        <w:t xml:space="preserve"> </w:t>
      </w:r>
      <w:proofErr w:type="spellStart"/>
      <w:r w:rsidRPr="002256E5">
        <w:rPr>
          <w:rFonts w:cs="Arial"/>
          <w:iCs/>
          <w:szCs w:val="20"/>
        </w:rPr>
        <w:t>RTS</w:t>
      </w:r>
      <w:proofErr w:type="spellEnd"/>
      <w:r w:rsidRPr="002256E5">
        <w:rPr>
          <w:rFonts w:cs="Arial"/>
          <w:iCs/>
          <w:szCs w:val="20"/>
        </w:rPr>
        <w:t xml:space="preserve">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 xml:space="preserve">Az </w:t>
      </w:r>
      <w:proofErr w:type="spellStart"/>
      <w:r w:rsidRPr="00055A62">
        <w:rPr>
          <w:rFonts w:cs="Arial"/>
          <w:iCs/>
          <w:szCs w:val="20"/>
        </w:rPr>
        <w:t>SFDR</w:t>
      </w:r>
      <w:proofErr w:type="spellEnd"/>
      <w:r w:rsidRPr="00055A62">
        <w:rPr>
          <w:rFonts w:cs="Arial"/>
          <w:iCs/>
          <w:szCs w:val="20"/>
        </w:rPr>
        <w:t xml:space="preserve"> </w:t>
      </w:r>
      <w:proofErr w:type="spellStart"/>
      <w:r w:rsidRPr="00055A62">
        <w:rPr>
          <w:rFonts w:cs="Arial"/>
          <w:iCs/>
          <w:szCs w:val="20"/>
        </w:rPr>
        <w:t>RTS</w:t>
      </w:r>
      <w:proofErr w:type="spellEnd"/>
      <w:r w:rsidRPr="00055A62">
        <w:rPr>
          <w:rFonts w:cs="Arial"/>
          <w:iCs/>
          <w:szCs w:val="20"/>
        </w:rPr>
        <w:t xml:space="preserve">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C51E" w14:textId="77777777" w:rsidR="00314D6E" w:rsidRDefault="00314D6E">
      <w:r>
        <w:separator/>
      </w:r>
    </w:p>
  </w:endnote>
  <w:endnote w:type="continuationSeparator" w:id="0">
    <w:p w14:paraId="10A5C85B" w14:textId="77777777" w:rsidR="00314D6E" w:rsidRDefault="00314D6E">
      <w:r>
        <w:continuationSeparator/>
      </w:r>
    </w:p>
  </w:endnote>
  <w:endnote w:type="continuationNotice" w:id="1">
    <w:p w14:paraId="0EB55800" w14:textId="77777777" w:rsidR="00314D6E" w:rsidRDefault="0031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38F5" w14:textId="77777777" w:rsidR="00314D6E" w:rsidRDefault="00314D6E">
      <w:r>
        <w:separator/>
      </w:r>
    </w:p>
  </w:footnote>
  <w:footnote w:type="continuationSeparator" w:id="0">
    <w:p w14:paraId="4E695F41" w14:textId="77777777" w:rsidR="00314D6E" w:rsidRDefault="00314D6E">
      <w:r>
        <w:continuationSeparator/>
      </w:r>
    </w:p>
  </w:footnote>
  <w:footnote w:type="continuationNotice" w:id="1">
    <w:p w14:paraId="09034CAC" w14:textId="77777777" w:rsidR="00314D6E" w:rsidRDefault="0031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1AC2"/>
    <w:rsid w:val="001023B4"/>
    <w:rsid w:val="0010252A"/>
    <w:rsid w:val="00104ED3"/>
    <w:rsid w:val="0010505D"/>
    <w:rsid w:val="001056AE"/>
    <w:rsid w:val="00106028"/>
    <w:rsid w:val="0010616C"/>
    <w:rsid w:val="00107D10"/>
    <w:rsid w:val="00107EA6"/>
    <w:rsid w:val="00110AC9"/>
    <w:rsid w:val="00112698"/>
    <w:rsid w:val="0011331D"/>
    <w:rsid w:val="0011799C"/>
    <w:rsid w:val="001219FD"/>
    <w:rsid w:val="00122EEA"/>
    <w:rsid w:val="00124ED1"/>
    <w:rsid w:val="00130240"/>
    <w:rsid w:val="001333F7"/>
    <w:rsid w:val="00136B2B"/>
    <w:rsid w:val="00136C75"/>
    <w:rsid w:val="00137DF2"/>
    <w:rsid w:val="001416D4"/>
    <w:rsid w:val="001463A8"/>
    <w:rsid w:val="0015047D"/>
    <w:rsid w:val="001534F2"/>
    <w:rsid w:val="00155768"/>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2797"/>
    <w:rsid w:val="001B4D6E"/>
    <w:rsid w:val="001C4785"/>
    <w:rsid w:val="001C4CC2"/>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5D78"/>
    <w:rsid w:val="002B634C"/>
    <w:rsid w:val="002C135E"/>
    <w:rsid w:val="002C2D93"/>
    <w:rsid w:val="002C577C"/>
    <w:rsid w:val="002C6BCE"/>
    <w:rsid w:val="002D225E"/>
    <w:rsid w:val="002D44C4"/>
    <w:rsid w:val="002D57A7"/>
    <w:rsid w:val="002D79A7"/>
    <w:rsid w:val="002E038C"/>
    <w:rsid w:val="002E2F12"/>
    <w:rsid w:val="002E3ED7"/>
    <w:rsid w:val="002E48D4"/>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22DB9"/>
    <w:rsid w:val="0032681D"/>
    <w:rsid w:val="003268DA"/>
    <w:rsid w:val="00326A63"/>
    <w:rsid w:val="00326B2A"/>
    <w:rsid w:val="00326DBB"/>
    <w:rsid w:val="00331C61"/>
    <w:rsid w:val="00332B18"/>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60B81"/>
    <w:rsid w:val="00364C57"/>
    <w:rsid w:val="00366F12"/>
    <w:rsid w:val="0037151C"/>
    <w:rsid w:val="00372268"/>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6066"/>
    <w:rsid w:val="003A6EBA"/>
    <w:rsid w:val="003B15C0"/>
    <w:rsid w:val="003B3663"/>
    <w:rsid w:val="003B3A8B"/>
    <w:rsid w:val="003B402C"/>
    <w:rsid w:val="003B4086"/>
    <w:rsid w:val="003B47B3"/>
    <w:rsid w:val="003B5FB9"/>
    <w:rsid w:val="003C0C48"/>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C692A"/>
    <w:rsid w:val="004D0F44"/>
    <w:rsid w:val="004D213D"/>
    <w:rsid w:val="004D5A85"/>
    <w:rsid w:val="004E00C8"/>
    <w:rsid w:val="004E03CE"/>
    <w:rsid w:val="004E2253"/>
    <w:rsid w:val="004E4582"/>
    <w:rsid w:val="004E4D01"/>
    <w:rsid w:val="004E541D"/>
    <w:rsid w:val="004E59AE"/>
    <w:rsid w:val="004F0D4B"/>
    <w:rsid w:val="004F2723"/>
    <w:rsid w:val="004F2BF7"/>
    <w:rsid w:val="004F5E56"/>
    <w:rsid w:val="004F6BFE"/>
    <w:rsid w:val="004F70AD"/>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A55"/>
    <w:rsid w:val="00563E43"/>
    <w:rsid w:val="00565185"/>
    <w:rsid w:val="005656C7"/>
    <w:rsid w:val="0056606B"/>
    <w:rsid w:val="0056609B"/>
    <w:rsid w:val="00566F28"/>
    <w:rsid w:val="00567DC8"/>
    <w:rsid w:val="0057378A"/>
    <w:rsid w:val="00574985"/>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5741F"/>
    <w:rsid w:val="00660EB9"/>
    <w:rsid w:val="00661911"/>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515E"/>
    <w:rsid w:val="007358C1"/>
    <w:rsid w:val="00735D65"/>
    <w:rsid w:val="00737703"/>
    <w:rsid w:val="007378F2"/>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82BF2"/>
    <w:rsid w:val="007834AF"/>
    <w:rsid w:val="00787E3F"/>
    <w:rsid w:val="007905B3"/>
    <w:rsid w:val="00790AEA"/>
    <w:rsid w:val="00792B9D"/>
    <w:rsid w:val="00793EA6"/>
    <w:rsid w:val="00794372"/>
    <w:rsid w:val="007957BE"/>
    <w:rsid w:val="007A290F"/>
    <w:rsid w:val="007A2A67"/>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EBD"/>
    <w:rsid w:val="008963A5"/>
    <w:rsid w:val="008A046B"/>
    <w:rsid w:val="008A093C"/>
    <w:rsid w:val="008A10E7"/>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4B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55B1"/>
    <w:rsid w:val="00905B95"/>
    <w:rsid w:val="00906236"/>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4FBD"/>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E16"/>
    <w:rsid w:val="00AA1746"/>
    <w:rsid w:val="00AA2605"/>
    <w:rsid w:val="00AA43CD"/>
    <w:rsid w:val="00AB1021"/>
    <w:rsid w:val="00AB4A42"/>
    <w:rsid w:val="00AB5D07"/>
    <w:rsid w:val="00AB715F"/>
    <w:rsid w:val="00AC0DBF"/>
    <w:rsid w:val="00AC3ABE"/>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651D1"/>
    <w:rsid w:val="00B70360"/>
    <w:rsid w:val="00B71D90"/>
    <w:rsid w:val="00B744CC"/>
    <w:rsid w:val="00B74598"/>
    <w:rsid w:val="00B760CB"/>
    <w:rsid w:val="00B775BE"/>
    <w:rsid w:val="00B84DD0"/>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4FE3"/>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17C1"/>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7022"/>
    <w:rsid w:val="00E347B3"/>
    <w:rsid w:val="00E36E26"/>
    <w:rsid w:val="00E37982"/>
    <w:rsid w:val="00E40E28"/>
    <w:rsid w:val="00E453DF"/>
    <w:rsid w:val="00E47800"/>
    <w:rsid w:val="00E50994"/>
    <w:rsid w:val="00E51FEC"/>
    <w:rsid w:val="00E5282A"/>
    <w:rsid w:val="00E52F57"/>
    <w:rsid w:val="00E547F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7F59"/>
    <w:rsid w:val="00F00B42"/>
    <w:rsid w:val="00F016FF"/>
    <w:rsid w:val="00F01B27"/>
    <w:rsid w:val="00F020DF"/>
    <w:rsid w:val="00F022C5"/>
    <w:rsid w:val="00F03179"/>
    <w:rsid w:val="00F0329E"/>
    <w:rsid w:val="00F046E2"/>
    <w:rsid w:val="00F073A6"/>
    <w:rsid w:val="00F07AB6"/>
    <w:rsid w:val="00F12434"/>
    <w:rsid w:val="00F12A83"/>
    <w:rsid w:val="00F1468A"/>
    <w:rsid w:val="00F14F11"/>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A27A9"/>
    <w:rsid w:val="00FA349E"/>
    <w:rsid w:val="00FA44CE"/>
    <w:rsid w:val="00FA6625"/>
    <w:rsid w:val="00FB1CD5"/>
    <w:rsid w:val="00FB2875"/>
    <w:rsid w:val="00FB2D63"/>
    <w:rsid w:val="00FB30ED"/>
    <w:rsid w:val="00FB45A4"/>
    <w:rsid w:val="00FB522C"/>
    <w:rsid w:val="00FB6797"/>
    <w:rsid w:val="00FB6B76"/>
    <w:rsid w:val="00FB7162"/>
    <w:rsid w:val="00FC1A3A"/>
    <w:rsid w:val="00FC2962"/>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customXml/itemProps2.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25</Pages>
  <Words>10083</Words>
  <Characters>69580</Characters>
  <Application>Microsoft Office Word</Application>
  <DocSecurity>0</DocSecurity>
  <Lines>579</Lines>
  <Paragraphs>159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79504</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Németh Pál Dr.</cp:lastModifiedBy>
  <cp:revision>3</cp:revision>
  <cp:lastPrinted>2019-07-10T07:01:00Z</cp:lastPrinted>
  <dcterms:created xsi:type="dcterms:W3CDTF">2024-07-17T06:49:00Z</dcterms:created>
  <dcterms:modified xsi:type="dcterms:W3CDTF">2024-07-25T08:27:00Z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