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129D" w14:textId="77777777" w:rsidR="00B15FE8" w:rsidRPr="00693977" w:rsidRDefault="00B15FE8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93977">
        <w:rPr>
          <w:rFonts w:ascii="Arial" w:hAnsi="Arial" w:cs="Arial"/>
          <w:b/>
          <w:bCs/>
        </w:rPr>
        <w:t xml:space="preserve">A Magyar Nemzeti Bank elnökének </w:t>
      </w:r>
    </w:p>
    <w:p w14:paraId="3156E8A1" w14:textId="33AB43B0" w:rsidR="00B15FE8" w:rsidRPr="00693977" w:rsidRDefault="00B15FE8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…/</w:t>
      </w:r>
      <w:r w:rsidRPr="00693977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24</w:t>
      </w:r>
      <w:r w:rsidRPr="00693977">
        <w:rPr>
          <w:rFonts w:ascii="Arial" w:hAnsi="Arial" w:cs="Arial"/>
          <w:b/>
          <w:bCs/>
        </w:rPr>
        <w:t>. (</w:t>
      </w:r>
      <w:r>
        <w:rPr>
          <w:rFonts w:ascii="Arial" w:hAnsi="Arial" w:cs="Arial"/>
          <w:b/>
          <w:bCs/>
        </w:rPr>
        <w:t>... ...</w:t>
      </w:r>
      <w:r w:rsidRPr="00693977">
        <w:rPr>
          <w:rFonts w:ascii="Arial" w:hAnsi="Arial" w:cs="Arial"/>
          <w:b/>
          <w:bCs/>
        </w:rPr>
        <w:t>) MNB rendelete</w:t>
      </w:r>
    </w:p>
    <w:p w14:paraId="6E2728ED" w14:textId="77777777" w:rsidR="00B15FE8" w:rsidRPr="00693977" w:rsidRDefault="00B15FE8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93977">
        <w:rPr>
          <w:rFonts w:ascii="Arial" w:hAnsi="Arial" w:cs="Arial"/>
          <w:b/>
          <w:bCs/>
        </w:rPr>
        <w:t>a tőkepiaci szervezetek által a jegybanki információs rendszerhez elsődlegesen a Magyar Nemzeti Bank felügyeleti feladatai ellátása érdekében teljesítendő adatszolgáltatási kötelezettségekről</w:t>
      </w:r>
    </w:p>
    <w:p w14:paraId="400CF7B5" w14:textId="3A2E9E6A" w:rsidR="00F53FBA" w:rsidRPr="002A00C8" w:rsidRDefault="00F53FBA" w:rsidP="00053919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7F19CD0A" w14:textId="77777777" w:rsidR="00053919" w:rsidRPr="002A00C8" w:rsidRDefault="00053919" w:rsidP="002A00C8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4C87B32B" w14:textId="788D0FE9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A Magyar Nemzeti Bankról szóló 2013. évi CXXXIX. törvény 171. § (1) bekezdés i) pontjában kapott felhatalmazás alapján, a Magyar Nemzeti Bankról szóló 2013. évi CXXXIX. törvény 4. § (6) és (9) bekezdésében meghatározott feladatkörömben eljárva a következőket rendelem el:</w:t>
      </w:r>
    </w:p>
    <w:p w14:paraId="6B876095" w14:textId="77777777" w:rsidR="00053919" w:rsidRDefault="0005391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0CF15F5A" w14:textId="56C8817F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1.</w:t>
      </w:r>
      <w:r w:rsidR="0005391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E rendelet hatálya a befektetési vállalkozásokról és az árutőzsdei szolgáltatókról, valamint az általuk végezhető tevékenységek szabályairól szóló </w:t>
      </w:r>
      <w:hyperlink r:id="rId8" w:history="1">
        <w:r w:rsidRPr="00F53FBA">
          <w:rPr>
            <w:rFonts w:ascii="Arial" w:eastAsia="Times New Roman" w:hAnsi="Arial" w:cs="Arial"/>
          </w:rPr>
          <w:t xml:space="preserve">2007. évi CXXXVIII. törvény (a továbbiakban: </w:t>
        </w:r>
        <w:proofErr w:type="spellStart"/>
        <w:r w:rsidRPr="00F53FBA">
          <w:rPr>
            <w:rFonts w:ascii="Arial" w:eastAsia="Times New Roman" w:hAnsi="Arial" w:cs="Arial"/>
          </w:rPr>
          <w:t>Bszt</w:t>
        </w:r>
        <w:proofErr w:type="spellEnd"/>
        <w:r w:rsidRPr="00F53FBA">
          <w:rPr>
            <w:rFonts w:ascii="Arial" w:eastAsia="Times New Roman" w:hAnsi="Arial" w:cs="Arial"/>
          </w:rPr>
          <w:t>.)</w:t>
        </w:r>
      </w:hyperlink>
      <w:r w:rsidRPr="00F53FBA">
        <w:rPr>
          <w:rFonts w:ascii="Arial" w:eastAsia="Times New Roman" w:hAnsi="Arial" w:cs="Arial"/>
        </w:rPr>
        <w:t xml:space="preserve"> hatálya alá tartozó szervezetre, a befektetési alapra és befektetési alapkezelőre, valamint a központi értéktári, központi szerződő fél és tőzsdei tevékenységet végző szervezetre (a továbbiakban együtt: adatszolgáltató) terjed ki.</w:t>
      </w:r>
    </w:p>
    <w:p w14:paraId="1F68CBD8" w14:textId="77777777" w:rsidR="00053919" w:rsidRDefault="0005391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2E3B44C" w14:textId="7ABEFD02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2.</w:t>
      </w:r>
      <w:r w:rsidR="0005391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az e rendeletben foglaltak szerint rendszeres és eseti adatszolgáltatást (a továbbiakban: felügyeleti jelentés) teljesít a Magyar Nemzeti Bank (a továbbiakban: MNB) részére.</w:t>
      </w:r>
    </w:p>
    <w:p w14:paraId="14888EB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felügyeleti jelentés elkészítésének alapját az adatszolgáltató által alkalmazott számviteli szabályozás szerint készített főkönyvi, analitikus és egyéb nyilvántartások képezik.</w:t>
      </w:r>
    </w:p>
    <w:p w14:paraId="55D7EAC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felügyeleti jelentés alapjául szolgáló dokumentumokat, a számviteli, nyilvántartási, informatikai rendszerekben tárolt információkat a felügyeleti jelentés esedékessége naptári évének utolsó napjától számított öt évig kell megőrizni.</w:t>
      </w:r>
    </w:p>
    <w:p w14:paraId="08F7CE22" w14:textId="77777777" w:rsidR="00E91378" w:rsidRDefault="00E9137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756CE80" w14:textId="068CC401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3.</w:t>
      </w:r>
      <w:r w:rsidR="00E91378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e rendelet szerinti felügyeleti jelentés teljesítésére vonatkozó kötelezettsége – a (2) bekezdésben foglalt kivétellel – az MNB által kiadott tevékenységi engedélyről szóló határozat véglegessé válása napjától a tevékenységi engedély visszavonásáról szóló határozat véglegessé válása napjáig áll fenn.</w:t>
      </w:r>
    </w:p>
    <w:p w14:paraId="383CE82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fióktelep az e rendelet szerinti felügyeleti jelentést a működése megkezdésének napjától a tevékenysége befejezésének napjáig teljesíti.</w:t>
      </w:r>
    </w:p>
    <w:p w14:paraId="74B2F8DD" w14:textId="77777777" w:rsidR="00E91378" w:rsidRDefault="00E9137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13A31057" w14:textId="6148084B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4.</w:t>
      </w:r>
      <w:r w:rsidR="00E91378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</w:t>
      </w:r>
      <w:proofErr w:type="spellStart"/>
      <w:r w:rsidRPr="00F53FBA">
        <w:rPr>
          <w:rFonts w:ascii="Arial" w:eastAsia="Times New Roman" w:hAnsi="Arial" w:cs="Arial"/>
        </w:rPr>
        <w:t>Bszt</w:t>
      </w:r>
      <w:proofErr w:type="spellEnd"/>
      <w:r w:rsidRPr="00F53FBA">
        <w:rPr>
          <w:rFonts w:ascii="Arial" w:eastAsia="Times New Roman" w:hAnsi="Arial" w:cs="Arial"/>
        </w:rPr>
        <w:t>. hatálya alá tartozó szervezet, valamint a központi értéktári tevékenységet végző szervezet – a (2) és (3) bekezdésben foglalt kivétellel – a 2. mellékletben foglaltaknak megfelelő tartalommal, formában, gyakorisággal és határidőre felügyeleti jelentést teljesít az MNB részére.</w:t>
      </w:r>
    </w:p>
    <w:p w14:paraId="71B689DB" w14:textId="2B302F56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(2) A </w:t>
      </w:r>
      <w:proofErr w:type="spellStart"/>
      <w:r w:rsidRPr="00F53FBA">
        <w:rPr>
          <w:rFonts w:ascii="Arial" w:eastAsia="Times New Roman" w:hAnsi="Arial" w:cs="Arial"/>
        </w:rPr>
        <w:t>Bszt</w:t>
      </w:r>
      <w:proofErr w:type="spellEnd"/>
      <w:r w:rsidRPr="00F53FBA">
        <w:rPr>
          <w:rFonts w:ascii="Arial" w:eastAsia="Times New Roman" w:hAnsi="Arial" w:cs="Arial"/>
        </w:rPr>
        <w:t>. 5. § (2) bekezdés a) és b) pontjában meghatározott befektetési szolgáltatási tevékenységet kiegészítő szolgáltatás végzésére nem jogosult adatszolgáltató adatszolgáltatási kötelezettsége a 2. melléklet „ÖSSZEFOGLALÓ TÁBLA” megnevezésű táblázat 2–9., 14., 22., 23. és 31. sorában meghatározott felügyeleti jelentésre nem terjed ki.</w:t>
      </w:r>
    </w:p>
    <w:p w14:paraId="02D395D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központi értéktári tevékenységet végző szervezet a központi értékpapír-nyilvántartás adatait – az értékpapír ISIN azonosítójának, fajtájának, egyéb jellemzőinek, valamint a kibocsátó adatainak megnevezésével – elektronikus formában, a tárgyidőszakot követő munkanap 10.00 óráig küldi meg az MNB részére.</w:t>
      </w:r>
    </w:p>
    <w:p w14:paraId="0A290A24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(4) Az (1) bekezdés szerinti felügyeleti jelentés kitöltésére vonatkozó általános előírásokat az 1. melléklet, a kitöltésre vonatkozó részletes előírásokat a 3. melléklet I. és II. pontja tartalmazza.</w:t>
      </w:r>
    </w:p>
    <w:p w14:paraId="6376CC2A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(5) A központi értéktári tevékenységet végző szervezet az (EU) 2018/1229 felhatalmazáson alapuló bizottsági rendelet 14. cikke szerinti jelentést a 3. melléklet III. pontjában foglalt kitöltési előírásokat is figyelembe véve teljesíti.</w:t>
      </w:r>
    </w:p>
    <w:p w14:paraId="2D3F855F" w14:textId="77777777" w:rsidR="0044615E" w:rsidRDefault="0044615E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F8343DC" w14:textId="23730C59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5.</w:t>
      </w:r>
      <w:r w:rsidR="0044615E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befektetési alap és a befektetési alapkezelő – a (2) és (3) bekezdésben foglalt kivétellel – a 4. mellékletben foglaltaknak megfelelő tartalommal, formában, gyakorisággal és határidőre felügyeleti jelentést teljesít az MNB részére.</w:t>
      </w:r>
    </w:p>
    <w:p w14:paraId="49CF2CF5" w14:textId="523904B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(2) A </w:t>
      </w:r>
      <w:proofErr w:type="spellStart"/>
      <w:r w:rsidRPr="00F53FBA">
        <w:rPr>
          <w:rFonts w:ascii="Arial" w:eastAsia="Times New Roman" w:hAnsi="Arial" w:cs="Arial"/>
        </w:rPr>
        <w:t>Bszt</w:t>
      </w:r>
      <w:proofErr w:type="spellEnd"/>
      <w:r w:rsidRPr="00F53FBA">
        <w:rPr>
          <w:rFonts w:ascii="Arial" w:eastAsia="Times New Roman" w:hAnsi="Arial" w:cs="Arial"/>
        </w:rPr>
        <w:t xml:space="preserve">. 5. § (2) bekezdés a) és </w:t>
      </w:r>
      <w:hyperlink r:id="rId9" w:history="1">
        <w:r w:rsidRPr="00F53FBA">
          <w:rPr>
            <w:rFonts w:ascii="Arial" w:eastAsia="Times New Roman" w:hAnsi="Arial" w:cs="Arial"/>
          </w:rPr>
          <w:t>b) pont</w:t>
        </w:r>
      </w:hyperlink>
      <w:r w:rsidRPr="00F53FBA">
        <w:rPr>
          <w:rFonts w:ascii="Arial" w:eastAsia="Times New Roman" w:hAnsi="Arial" w:cs="Arial"/>
        </w:rPr>
        <w:t>jában meghatározott befektetési szolgáltatási tevékenységet kiegészítő szolgáltatás végzésére nem jogosult adatszolgáltató adatszolgáltatási kötelezettsége a 4. melléklet „ÖSSZEFOGLALÓ TÁBLA” megnevezésű táblázat 1. és 2. sorában meghatározott felügyeleti jelentésre nem terjed ki.</w:t>
      </w:r>
    </w:p>
    <w:p w14:paraId="2BFC8B45" w14:textId="14F0B7CF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(3) A kollektív befektetési formákról és kezelőikről, valamint egyes pénzügyi tárgyú törvények módosításáról szóló 2014. évi XVI. törvény (a továbbiakban: </w:t>
      </w:r>
      <w:proofErr w:type="spellStart"/>
      <w:r w:rsidRPr="00F53FBA">
        <w:rPr>
          <w:rFonts w:ascii="Arial" w:eastAsia="Times New Roman" w:hAnsi="Arial" w:cs="Arial"/>
        </w:rPr>
        <w:t>Kbftv</w:t>
      </w:r>
      <w:proofErr w:type="spellEnd"/>
      <w:r w:rsidRPr="00F53FBA">
        <w:rPr>
          <w:rFonts w:ascii="Arial" w:eastAsia="Times New Roman" w:hAnsi="Arial" w:cs="Arial"/>
        </w:rPr>
        <w:t xml:space="preserve">.) 1. § a) pontjában meghatározott kockázati tőkealap-kezelő és </w:t>
      </w:r>
      <w:proofErr w:type="spellStart"/>
      <w:r w:rsidRPr="00F53FBA">
        <w:rPr>
          <w:rFonts w:ascii="Arial" w:eastAsia="Times New Roman" w:hAnsi="Arial" w:cs="Arial"/>
        </w:rPr>
        <w:t>ABAK</w:t>
      </w:r>
      <w:proofErr w:type="spellEnd"/>
      <w:r w:rsidRPr="00F53FBA">
        <w:rPr>
          <w:rFonts w:ascii="Arial" w:eastAsia="Times New Roman" w:hAnsi="Arial" w:cs="Arial"/>
        </w:rPr>
        <w:t xml:space="preserve"> adatszolgáltatási kötelezettsége a 4. melléklet „ÖSSZEFOGLALÓ TÁBLA” megnevezésű táblázat 24. sorában meghatározott felügyeleti jelentésre terjed ki.</w:t>
      </w:r>
    </w:p>
    <w:p w14:paraId="1277AEDC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(4) A kitöltésre vonatkozó általános előírásokat az 1. melléklet, a kitöltésre vonatkozó részletes előírásokat az 5. melléklet tartalmazza.</w:t>
      </w:r>
    </w:p>
    <w:p w14:paraId="1BFF00AC" w14:textId="77777777" w:rsidR="0044615E" w:rsidRDefault="0044615E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147BEAC4" w14:textId="0FAD89C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lastRenderedPageBreak/>
        <w:t>6.</w:t>
      </w:r>
      <w:r w:rsidR="0044615E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</w:t>
      </w:r>
      <w:proofErr w:type="spellStart"/>
      <w:r w:rsidRPr="00F53FBA">
        <w:rPr>
          <w:rFonts w:ascii="Arial" w:eastAsia="Times New Roman" w:hAnsi="Arial" w:cs="Arial"/>
        </w:rPr>
        <w:t>Bszt</w:t>
      </w:r>
      <w:proofErr w:type="spellEnd"/>
      <w:r w:rsidRPr="00F53FBA">
        <w:rPr>
          <w:rFonts w:ascii="Arial" w:eastAsia="Times New Roman" w:hAnsi="Arial" w:cs="Arial"/>
        </w:rPr>
        <w:t>. hatálya alá tartozó, magyarországi székhelyű befektetési vállalkozás a 6. mellékletben foglaltaknak megfelelő tartalommal, formában, gyakorisággal és határidőre felügyeleti jelentést teljesít a tárgyévi javadalmazási adatokról az MNB részére.</w:t>
      </w:r>
    </w:p>
    <w:p w14:paraId="70EA278F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7. melléklet tartalmazza.</w:t>
      </w:r>
    </w:p>
    <w:p w14:paraId="0B068D6F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61FC884A" w14:textId="0F8B49C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7.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</w:t>
      </w:r>
      <w:proofErr w:type="spellStart"/>
      <w:r w:rsidRPr="00F53FBA">
        <w:rPr>
          <w:rFonts w:ascii="Arial" w:eastAsia="Times New Roman" w:hAnsi="Arial" w:cs="Arial"/>
        </w:rPr>
        <w:t>Bszt</w:t>
      </w:r>
      <w:proofErr w:type="spellEnd"/>
      <w:r w:rsidRPr="00F53FBA">
        <w:rPr>
          <w:rFonts w:ascii="Arial" w:eastAsia="Times New Roman" w:hAnsi="Arial" w:cs="Arial"/>
        </w:rPr>
        <w:t xml:space="preserve">. hatálya alá tartozó, értékpapírszámla vezetésére engedéllyel rendelkező szervezet, valamint a </w:t>
      </w:r>
      <w:proofErr w:type="spellStart"/>
      <w:r w:rsidRPr="00F53FBA">
        <w:rPr>
          <w:rFonts w:ascii="Arial" w:eastAsia="Times New Roman" w:hAnsi="Arial" w:cs="Arial"/>
        </w:rPr>
        <w:t>Kbftv</w:t>
      </w:r>
      <w:proofErr w:type="spellEnd"/>
      <w:r w:rsidRPr="00F53FBA">
        <w:rPr>
          <w:rFonts w:ascii="Arial" w:eastAsia="Times New Roman" w:hAnsi="Arial" w:cs="Arial"/>
        </w:rPr>
        <w:t>. hatálya alá tartozó, értékpapírszámla vezetésére engedéllyel rendelkező befektetési alapkezelő a 8. mellékletben foglaltaknak megfelelő tartalommal, formában, gyakorisággal és határidőre felügyeleti jelentést teljesít az értékpapírszámla-jóváírások, értékpapírszámla-terhelések adatairól az MNB részére.</w:t>
      </w:r>
    </w:p>
    <w:p w14:paraId="30057C17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9. melléklet tartalmazza.</w:t>
      </w:r>
    </w:p>
    <w:p w14:paraId="43C4B1D1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D7645D6" w14:textId="6D9ADAEB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8.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tőzsdei tevékenységet végző szervezet a 10. mellékletben foglaltaknak megfelelő tartalommal, formában, gyakorisággal és határidőre felügyeleti jelentést teljesít az MNB részére.</w:t>
      </w:r>
    </w:p>
    <w:p w14:paraId="1D620786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11. melléklet tartalmazza.</w:t>
      </w:r>
    </w:p>
    <w:p w14:paraId="6B29BA10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4C75EEB" w14:textId="68CD51F8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9.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</w:t>
      </w:r>
      <w:proofErr w:type="spellStart"/>
      <w:r w:rsidRPr="00F53FBA">
        <w:rPr>
          <w:rFonts w:ascii="Arial" w:eastAsia="Times New Roman" w:hAnsi="Arial" w:cs="Arial"/>
        </w:rPr>
        <w:t>ÁÉKBV</w:t>
      </w:r>
      <w:proofErr w:type="spellEnd"/>
      <w:r w:rsidRPr="00F53FBA">
        <w:rPr>
          <w:rFonts w:ascii="Arial" w:eastAsia="Times New Roman" w:hAnsi="Arial" w:cs="Arial"/>
        </w:rPr>
        <w:t xml:space="preserve">-alapkezelő, az </w:t>
      </w:r>
      <w:proofErr w:type="spellStart"/>
      <w:r w:rsidRPr="00F53FBA">
        <w:rPr>
          <w:rFonts w:ascii="Arial" w:eastAsia="Times New Roman" w:hAnsi="Arial" w:cs="Arial"/>
        </w:rPr>
        <w:t>ABAK</w:t>
      </w:r>
      <w:proofErr w:type="spellEnd"/>
      <w:r w:rsidRPr="00F53FBA">
        <w:rPr>
          <w:rFonts w:ascii="Arial" w:eastAsia="Times New Roman" w:hAnsi="Arial" w:cs="Arial"/>
        </w:rPr>
        <w:t xml:space="preserve"> és a befektetési vállalkozás az (EU) 2021/897 bizottsági végrehajtási rendelet 3. cikke szerinti éves adatszolgáltatást a tárgyévi mérleg fordulónapját követő 16. héten belül teljesíti az MNB részére.</w:t>
      </w:r>
    </w:p>
    <w:p w14:paraId="7F9142E5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(2) Az </w:t>
      </w:r>
      <w:proofErr w:type="spellStart"/>
      <w:r w:rsidRPr="00F53FBA">
        <w:rPr>
          <w:rFonts w:ascii="Arial" w:eastAsia="Times New Roman" w:hAnsi="Arial" w:cs="Arial"/>
        </w:rPr>
        <w:t>ÁÉKBV</w:t>
      </w:r>
      <w:proofErr w:type="spellEnd"/>
      <w:r w:rsidRPr="00F53FBA">
        <w:rPr>
          <w:rFonts w:ascii="Arial" w:eastAsia="Times New Roman" w:hAnsi="Arial" w:cs="Arial"/>
        </w:rPr>
        <w:t xml:space="preserve">-alapkezelő, az </w:t>
      </w:r>
      <w:proofErr w:type="spellStart"/>
      <w:r w:rsidRPr="00F53FBA">
        <w:rPr>
          <w:rFonts w:ascii="Arial" w:eastAsia="Times New Roman" w:hAnsi="Arial" w:cs="Arial"/>
        </w:rPr>
        <w:t>ABAK</w:t>
      </w:r>
      <w:proofErr w:type="spellEnd"/>
      <w:r w:rsidRPr="00F53FBA">
        <w:rPr>
          <w:rFonts w:ascii="Arial" w:eastAsia="Times New Roman" w:hAnsi="Arial" w:cs="Arial"/>
        </w:rPr>
        <w:t xml:space="preserve"> és a befektetési vállalkozás az (EU) 2019/1238 európai parlamenti és tanácsi rendelet 40. cikk (1) bekezdése szerinti felügyelet ellátása céljából szükséges információkat tartalmazó szöveges jelentést (a továbbiakban: </w:t>
      </w:r>
      <w:proofErr w:type="spellStart"/>
      <w:r w:rsidRPr="00F53FBA">
        <w:rPr>
          <w:rFonts w:ascii="Arial" w:eastAsia="Times New Roman" w:hAnsi="Arial" w:cs="Arial"/>
        </w:rPr>
        <w:t>PEPP</w:t>
      </w:r>
      <w:proofErr w:type="spellEnd"/>
      <w:r w:rsidRPr="00F53FBA">
        <w:rPr>
          <w:rFonts w:ascii="Arial" w:eastAsia="Times New Roman" w:hAnsi="Arial" w:cs="Arial"/>
        </w:rPr>
        <w:t xml:space="preserve"> szöveges jelentés) a 12. mellékletben foglaltaknak megfelelő tartalommal</w:t>
      </w:r>
    </w:p>
    <w:p w14:paraId="02C0501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a) évente, a tárgyévi mérleg fordulónapját követő 18. héten belül, valamint</w:t>
      </w:r>
    </w:p>
    <w:p w14:paraId="26CE4B5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b) a páneurópai egyéni nyugdíjtermék üzletágban (a továbbiakban: </w:t>
      </w:r>
      <w:proofErr w:type="spellStart"/>
      <w:r w:rsidRPr="00F53FBA">
        <w:rPr>
          <w:rFonts w:ascii="Arial" w:eastAsia="Times New Roman" w:hAnsi="Arial" w:cs="Arial"/>
        </w:rPr>
        <w:t>PEPP</w:t>
      </w:r>
      <w:proofErr w:type="spellEnd"/>
      <w:r w:rsidRPr="00F53FBA">
        <w:rPr>
          <w:rFonts w:ascii="Arial" w:eastAsia="Times New Roman" w:hAnsi="Arial" w:cs="Arial"/>
        </w:rPr>
        <w:t>-üzletág) bekövetkezett jelentős változás esetén, a változást követő 6 héten belül</w:t>
      </w:r>
    </w:p>
    <w:p w14:paraId="532E1F07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teljesíti az MNB részére.</w:t>
      </w:r>
    </w:p>
    <w:p w14:paraId="42D1A111" w14:textId="77777777" w:rsidR="005364B4" w:rsidRDefault="005364B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B694422" w14:textId="27CE86D0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10.</w:t>
      </w:r>
      <w:r w:rsidR="005364B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– a (2) bekezdésben foglaltak kivételével – a felügyeleti jelentést, a 231/2013/EU felhatalmazáson alapuló bizottsági rendelet 110. cikke, az (EU) 2017/393 bizottsági végrehajtási rendelet, az (EU) 2018/708 bizottsági végrehajtási rendelet, az (EU) 2018/1229 felhatalmazáson alapuló bizottsági rendelet 14. cikke, az (EU) 2021/451 bizottsági végrehajtási rendelet, illetve az (EU) 2021/897 bizottsági végrehajtási rendelet szerinti adatszolgáltatásokat, valamint a </w:t>
      </w:r>
      <w:proofErr w:type="spellStart"/>
      <w:r w:rsidRPr="00F53FBA">
        <w:rPr>
          <w:rFonts w:ascii="Arial" w:eastAsia="Times New Roman" w:hAnsi="Arial" w:cs="Arial"/>
        </w:rPr>
        <w:t>PEPP</w:t>
      </w:r>
      <w:proofErr w:type="spellEnd"/>
      <w:r w:rsidRPr="00F53FBA">
        <w:rPr>
          <w:rFonts w:ascii="Arial" w:eastAsia="Times New Roman" w:hAnsi="Arial" w:cs="Arial"/>
        </w:rPr>
        <w:t xml:space="preserve"> szöveges jelentést az MNB által meghatározott elektronikus formában, fokozott biztonságú vagy minősített elektronikus aláírással ellátva az MNB „Elektronikus Rendszer Hitelesített Adatok Fogadásához” megnevezésű rendszerén (a továbbiakban: </w:t>
      </w:r>
      <w:proofErr w:type="spellStart"/>
      <w:r w:rsidRPr="00F53FBA">
        <w:rPr>
          <w:rFonts w:ascii="Arial" w:eastAsia="Times New Roman" w:hAnsi="Arial" w:cs="Arial"/>
        </w:rPr>
        <w:t>ERA</w:t>
      </w:r>
      <w:proofErr w:type="spellEnd"/>
      <w:r w:rsidRPr="00F53FBA">
        <w:rPr>
          <w:rFonts w:ascii="Arial" w:eastAsia="Times New Roman" w:hAnsi="Arial" w:cs="Arial"/>
        </w:rPr>
        <w:t xml:space="preserve"> rendszer) keresztül teljesíti.</w:t>
      </w:r>
    </w:p>
    <w:p w14:paraId="0067981C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(2) Az adatszolgáltató a 8. § (1) bekezdése szerinti felügyeleti jelentést, valamint a 600/2014/EU európai parlamenti és tanácsi rendelet 26. cikke alapján fennálló adatszolgáltatási kötelezettségét az </w:t>
      </w:r>
      <w:proofErr w:type="spellStart"/>
      <w:r w:rsidRPr="00F53FBA">
        <w:rPr>
          <w:rFonts w:ascii="Arial" w:eastAsia="Times New Roman" w:hAnsi="Arial" w:cs="Arial"/>
        </w:rPr>
        <w:t>ERA</w:t>
      </w:r>
      <w:proofErr w:type="spellEnd"/>
      <w:r w:rsidRPr="00F53FBA">
        <w:rPr>
          <w:rFonts w:ascii="Arial" w:eastAsia="Times New Roman" w:hAnsi="Arial" w:cs="Arial"/>
        </w:rPr>
        <w:t xml:space="preserve"> rendszerben az MNB által erre a célra kiépített elektronikus csatornán (a továbbiakban: webes szolgáltatás) keresztül, az adatszolgáltatást fokozott biztonságú vagy minősített elektronikus aláírással ellátva teljesíti.</w:t>
      </w:r>
    </w:p>
    <w:p w14:paraId="21430FCA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(3) Az adatszolgáltató a felügyeleti jelentés, adatszolgáltatás teljesítésében való akadályoztatásával kapcsolatos bejelentését elektronikus formában, az </w:t>
      </w:r>
      <w:proofErr w:type="spellStart"/>
      <w:r w:rsidRPr="00F53FBA">
        <w:rPr>
          <w:rFonts w:ascii="Arial" w:eastAsia="Times New Roman" w:hAnsi="Arial" w:cs="Arial"/>
        </w:rPr>
        <w:t>ERA</w:t>
      </w:r>
      <w:proofErr w:type="spellEnd"/>
      <w:r w:rsidRPr="00F53FBA">
        <w:rPr>
          <w:rFonts w:ascii="Arial" w:eastAsia="Times New Roman" w:hAnsi="Arial" w:cs="Arial"/>
        </w:rPr>
        <w:t xml:space="preserve"> rendszeren keresztül nyújtja be az MNB részére.</w:t>
      </w:r>
    </w:p>
    <w:p w14:paraId="24C172E8" w14:textId="252DDDF9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(4) Az </w:t>
      </w:r>
      <w:proofErr w:type="spellStart"/>
      <w:r w:rsidRPr="00F53FBA">
        <w:rPr>
          <w:rFonts w:ascii="Arial" w:eastAsia="Times New Roman" w:hAnsi="Arial" w:cs="Arial"/>
        </w:rPr>
        <w:t>ERA</w:t>
      </w:r>
      <w:proofErr w:type="spellEnd"/>
      <w:r w:rsidRPr="00F53FBA">
        <w:rPr>
          <w:rFonts w:ascii="Arial" w:eastAsia="Times New Roman" w:hAnsi="Arial" w:cs="Arial"/>
        </w:rPr>
        <w:t xml:space="preserve"> rendszer használatára, valamint a felügyeleti jelentés, adatszolgáltatás teljesítésében való akadályoztatás bejelentésére vonatkozó szabályokat a jegybanki információs rendszerhez elsődlegesen a Magyar Nemzeti Bank alapvető feladatai ellátása érdekében teljesítendő adatszolgáltatási kötelezettségekről </w:t>
      </w:r>
      <w:r w:rsidRPr="007610D9">
        <w:rPr>
          <w:rFonts w:ascii="Arial" w:eastAsia="Times New Roman" w:hAnsi="Arial" w:cs="Arial"/>
        </w:rPr>
        <w:t xml:space="preserve">szóló </w:t>
      </w:r>
      <w:hyperlink r:id="rId10" w:history="1">
        <w:r w:rsidR="007610D9" w:rsidRPr="007610D9">
          <w:rPr>
            <w:rFonts w:ascii="Arial" w:eastAsia="Times New Roman" w:hAnsi="Arial" w:cs="Arial"/>
          </w:rPr>
          <w:t>…</w:t>
        </w:r>
        <w:r w:rsidRPr="007610D9">
          <w:rPr>
            <w:rFonts w:ascii="Arial" w:eastAsia="Times New Roman" w:hAnsi="Arial" w:cs="Arial"/>
          </w:rPr>
          <w:t>/202</w:t>
        </w:r>
        <w:r w:rsidR="007610D9" w:rsidRPr="007610D9">
          <w:rPr>
            <w:rFonts w:ascii="Arial" w:eastAsia="Times New Roman" w:hAnsi="Arial" w:cs="Arial"/>
          </w:rPr>
          <w:t>4</w:t>
        </w:r>
        <w:r w:rsidRPr="007610D9">
          <w:rPr>
            <w:rFonts w:ascii="Arial" w:eastAsia="Times New Roman" w:hAnsi="Arial" w:cs="Arial"/>
          </w:rPr>
          <w:t>. (</w:t>
        </w:r>
        <w:r w:rsidR="007610D9" w:rsidRPr="007610D9">
          <w:rPr>
            <w:rFonts w:ascii="Arial" w:eastAsia="Times New Roman" w:hAnsi="Arial" w:cs="Arial"/>
          </w:rPr>
          <w:t>..</w:t>
        </w:r>
        <w:r w:rsidRPr="007610D9">
          <w:rPr>
            <w:rFonts w:ascii="Arial" w:eastAsia="Times New Roman" w:hAnsi="Arial" w:cs="Arial"/>
          </w:rPr>
          <w:t xml:space="preserve">. </w:t>
        </w:r>
        <w:r w:rsidR="007610D9" w:rsidRPr="007610D9">
          <w:rPr>
            <w:rFonts w:ascii="Arial" w:eastAsia="Times New Roman" w:hAnsi="Arial" w:cs="Arial"/>
          </w:rPr>
          <w:t>..</w:t>
        </w:r>
        <w:r w:rsidRPr="007610D9">
          <w:rPr>
            <w:rFonts w:ascii="Arial" w:eastAsia="Times New Roman" w:hAnsi="Arial" w:cs="Arial"/>
          </w:rPr>
          <w:t xml:space="preserve">.) MNB rendelet (a továbbiakban: alapvető feladatokhoz kapcsolódó adatszolgáltatási </w:t>
        </w:r>
        <w:proofErr w:type="spellStart"/>
        <w:r w:rsidRPr="007610D9">
          <w:rPr>
            <w:rFonts w:ascii="Arial" w:eastAsia="Times New Roman" w:hAnsi="Arial" w:cs="Arial"/>
          </w:rPr>
          <w:t>MNBr</w:t>
        </w:r>
        <w:proofErr w:type="spellEnd"/>
        <w:r w:rsidRPr="007610D9">
          <w:rPr>
            <w:rFonts w:ascii="Arial" w:eastAsia="Times New Roman" w:hAnsi="Arial" w:cs="Arial"/>
          </w:rPr>
          <w:t>.) 2. melléklet</w:t>
        </w:r>
      </w:hyperlink>
      <w:r w:rsidRPr="00F53FBA">
        <w:rPr>
          <w:rFonts w:ascii="Arial" w:eastAsia="Times New Roman" w:hAnsi="Arial" w:cs="Arial"/>
        </w:rPr>
        <w:t xml:space="preserve"> I. B. 1. pontja, az </w:t>
      </w:r>
      <w:proofErr w:type="spellStart"/>
      <w:r w:rsidRPr="00F53FBA">
        <w:rPr>
          <w:rFonts w:ascii="Arial" w:eastAsia="Times New Roman" w:hAnsi="Arial" w:cs="Arial"/>
        </w:rPr>
        <w:t>ERA</w:t>
      </w:r>
      <w:proofErr w:type="spellEnd"/>
      <w:r w:rsidRPr="00F53FBA">
        <w:rPr>
          <w:rFonts w:ascii="Arial" w:eastAsia="Times New Roman" w:hAnsi="Arial" w:cs="Arial"/>
        </w:rPr>
        <w:t xml:space="preserve"> rendszer használatát segítő részletes útmutatást az </w:t>
      </w:r>
      <w:r w:rsidRPr="007610D9">
        <w:rPr>
          <w:rFonts w:ascii="Arial" w:eastAsia="Times New Roman" w:hAnsi="Arial" w:cs="Arial"/>
        </w:rPr>
        <w:t xml:space="preserve">alapvető feladatokhoz kapcsolódó adatszolgáltatási </w:t>
      </w:r>
      <w:proofErr w:type="spellStart"/>
      <w:r w:rsidRPr="007610D9">
        <w:rPr>
          <w:rFonts w:ascii="Arial" w:eastAsia="Times New Roman" w:hAnsi="Arial" w:cs="Arial"/>
        </w:rPr>
        <w:t>MNBr</w:t>
      </w:r>
      <w:proofErr w:type="spellEnd"/>
      <w:r w:rsidRPr="007610D9">
        <w:rPr>
          <w:rFonts w:ascii="Arial" w:eastAsia="Times New Roman" w:hAnsi="Arial" w:cs="Arial"/>
        </w:rPr>
        <w:t>. 3. melléklet 3. pont</w:t>
      </w:r>
      <w:r w:rsidRPr="00F53FBA">
        <w:rPr>
          <w:rFonts w:ascii="Arial" w:eastAsia="Times New Roman" w:hAnsi="Arial" w:cs="Arial"/>
        </w:rPr>
        <w:t>ja szerinti, az MNB honlapján közzétett technikai segédletek tartalmazzák. A webes szolgáltatás használatát segítő útmutatást a 600/2014/EU európai parlamenti és tanácsi rendelet 26. cikke alapján fennálló adatszolgáltatási kötelezettség webes szolgáltatás útján való teljesítéséről szóló, az MNB honlapján közzétett tájékoztató tartalmazza.</w:t>
      </w:r>
    </w:p>
    <w:p w14:paraId="05F62E74" w14:textId="77777777" w:rsidR="00225F45" w:rsidRDefault="00225F45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C61EAD3" w14:textId="3916ACB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11.</w:t>
      </w:r>
      <w:r w:rsidR="00225F45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Ha az MNB megállapítja, hogy a felügyeleti jelentés javítást igényel, az adatszolgáltató a javított felügyeleti jelentést az MNB javításra vonatkozó felszólítása kézhezvételétől számított 2 munkanapon belül küldi meg az MNB részére.</w:t>
      </w:r>
    </w:p>
    <w:p w14:paraId="437A7180" w14:textId="486F49E4" w:rsidR="00F53FBA" w:rsidRDefault="00F53FBA" w:rsidP="00053919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Ha az adatszolgáltató a felügyeleti jelentés teljesítését követően olyan, az adatszolgáltató által – számviteli politikájában vagy egyéb módon – meghatározott jelentős mértékű eltérést tár fel, amely a 2. § (2) bekezdése szerinti, a felügyeleti jelentés alapjául szolgáló nyilvántartások javítását teszi szükségessé, akkor a felügyeleti jelentést visszamenőleg is, az eltéréssel érintett teljes időszakra vonatkozóan módosítja. A jelen bekezdés szerint módosított felügyeleti jelentést az eltérés feltárásától számított 15 munkanapon belül küldi meg az adat</w:t>
      </w:r>
      <w:r w:rsidR="007610D9">
        <w:rPr>
          <w:rFonts w:ascii="Arial" w:eastAsia="Times New Roman" w:hAnsi="Arial" w:cs="Arial"/>
        </w:rPr>
        <w:t xml:space="preserve"> </w:t>
      </w:r>
      <w:r w:rsidRPr="00F53FBA">
        <w:rPr>
          <w:rFonts w:ascii="Arial" w:eastAsia="Times New Roman" w:hAnsi="Arial" w:cs="Arial"/>
        </w:rPr>
        <w:t>szolgáltató az MNB részére.</w:t>
      </w:r>
    </w:p>
    <w:p w14:paraId="2B396E70" w14:textId="77777777" w:rsidR="00B77D59" w:rsidRPr="00F53FBA" w:rsidRDefault="00B77D59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</w:p>
    <w:p w14:paraId="5A1C1186" w14:textId="6BA95A7E" w:rsidR="007610D9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12.</w:t>
      </w:r>
      <w:r w:rsidR="00B77D5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</w:t>
      </w:r>
      <w:r w:rsidR="007610D9">
        <w:rPr>
          <w:rFonts w:ascii="Arial" w:eastAsia="Times New Roman" w:hAnsi="Arial" w:cs="Arial"/>
        </w:rPr>
        <w:t xml:space="preserve">(1) </w:t>
      </w:r>
      <w:r w:rsidRPr="00F53FBA">
        <w:rPr>
          <w:rFonts w:ascii="Arial" w:eastAsia="Times New Roman" w:hAnsi="Arial" w:cs="Arial"/>
        </w:rPr>
        <w:t xml:space="preserve">Ez a rendelet </w:t>
      </w:r>
      <w:r w:rsidR="007610D9">
        <w:rPr>
          <w:rFonts w:ascii="Arial" w:hAnsi="Arial" w:cs="Arial"/>
        </w:rPr>
        <w:t xml:space="preserve">– </w:t>
      </w:r>
      <w:r w:rsidR="007610D9" w:rsidRPr="005966A6">
        <w:rPr>
          <w:rFonts w:ascii="Arial" w:hAnsi="Arial" w:cs="Arial"/>
        </w:rPr>
        <w:t xml:space="preserve">a </w:t>
      </w:r>
      <w:r w:rsidR="007610D9" w:rsidRPr="00E56548">
        <w:rPr>
          <w:rFonts w:ascii="Arial" w:hAnsi="Arial" w:cs="Arial"/>
        </w:rPr>
        <w:t>(2)</w:t>
      </w:r>
      <w:r w:rsidR="007610D9">
        <w:rPr>
          <w:rFonts w:ascii="Arial" w:hAnsi="Arial" w:cs="Arial"/>
        </w:rPr>
        <w:t xml:space="preserve"> </w:t>
      </w:r>
      <w:r w:rsidR="007610D9" w:rsidRPr="005966A6">
        <w:rPr>
          <w:rFonts w:ascii="Arial" w:hAnsi="Arial" w:cs="Arial"/>
        </w:rPr>
        <w:t>bekezdésben</w:t>
      </w:r>
      <w:r w:rsidR="007610D9">
        <w:rPr>
          <w:rFonts w:ascii="Arial" w:hAnsi="Arial" w:cs="Arial"/>
        </w:rPr>
        <w:t xml:space="preserve"> foglaltak kivételével – 2025. január 1-jén</w:t>
      </w:r>
      <w:r w:rsidR="007610D9" w:rsidRPr="00503DC1">
        <w:rPr>
          <w:rFonts w:ascii="Arial" w:hAnsi="Arial" w:cs="Arial"/>
        </w:rPr>
        <w:t xml:space="preserve"> lép hatályba</w:t>
      </w:r>
      <w:r w:rsidRPr="00F53FBA">
        <w:rPr>
          <w:rFonts w:ascii="Arial" w:eastAsia="Times New Roman" w:hAnsi="Arial" w:cs="Arial"/>
        </w:rPr>
        <w:t>.</w:t>
      </w:r>
    </w:p>
    <w:p w14:paraId="23D951B7" w14:textId="5B018716" w:rsidR="007610D9" w:rsidRPr="00F53FBA" w:rsidRDefault="007610D9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(2) A </w:t>
      </w:r>
      <w:r w:rsidR="002A0538" w:rsidRPr="002A0538">
        <w:rPr>
          <w:rFonts w:ascii="Arial" w:hAnsi="Arial"/>
        </w:rPr>
        <w:t>16</w:t>
      </w:r>
      <w:r w:rsidRPr="002A0538">
        <w:rPr>
          <w:rFonts w:ascii="Arial" w:hAnsi="Arial"/>
        </w:rPr>
        <w:t xml:space="preserve">. §, valamint </w:t>
      </w:r>
      <w:r w:rsidRPr="00E04069">
        <w:rPr>
          <w:rFonts w:ascii="Arial" w:hAnsi="Arial"/>
        </w:rPr>
        <w:t xml:space="preserve">a </w:t>
      </w:r>
      <w:r w:rsidR="00B06F4E" w:rsidRPr="00E04069">
        <w:rPr>
          <w:rFonts w:ascii="Arial" w:hAnsi="Arial"/>
        </w:rPr>
        <w:t>13</w:t>
      </w:r>
      <w:r w:rsidR="00E6208F">
        <w:rPr>
          <w:rFonts w:ascii="Arial" w:hAnsi="Arial"/>
        </w:rPr>
        <w:t xml:space="preserve">. és </w:t>
      </w:r>
      <w:r w:rsidR="00B06F4E" w:rsidRPr="00E04069">
        <w:rPr>
          <w:rFonts w:ascii="Arial" w:hAnsi="Arial"/>
        </w:rPr>
        <w:t>14</w:t>
      </w:r>
      <w:r w:rsidRPr="00E04069">
        <w:rPr>
          <w:rFonts w:ascii="Arial" w:hAnsi="Arial"/>
        </w:rPr>
        <w:t>. melléklet</w:t>
      </w:r>
      <w:r>
        <w:rPr>
          <w:rFonts w:ascii="Arial" w:hAnsi="Arial"/>
        </w:rPr>
        <w:t xml:space="preserve"> </w:t>
      </w:r>
      <w:r>
        <w:rPr>
          <w:rFonts w:ascii="Arial" w:hAnsi="Arial" w:cs="Arial"/>
          <w:bCs/>
          <w:color w:val="000000"/>
        </w:rPr>
        <w:t>2025. április 1-jén lép hatályba.</w:t>
      </w:r>
    </w:p>
    <w:p w14:paraId="7A1EC5E0" w14:textId="77777777" w:rsidR="00B77D59" w:rsidRDefault="00B77D5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666E1CEC" w14:textId="4E17CC4C" w:rsid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13.</w:t>
      </w:r>
      <w:r w:rsidR="00B77D5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a tőkepiaci szervezetek által a jegybanki információs rendszerhez elsődlegesen a Magyar Nemzeti Bank felügyeleti feladatai ellátása érdekében teljesítendő adatszolgáltatási kötelezettségekről szóló </w:t>
      </w:r>
      <w:r w:rsidRPr="00E04069">
        <w:rPr>
          <w:rFonts w:ascii="Arial" w:eastAsia="Times New Roman" w:hAnsi="Arial" w:cs="Arial"/>
        </w:rPr>
        <w:t>5</w:t>
      </w:r>
      <w:r w:rsidR="00592EF7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592EF7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592EF7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>.) MNB rendelet [a továbbiakban: 5</w:t>
      </w:r>
      <w:r w:rsidR="00592EF7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592EF7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592EF7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 xml:space="preserve">.) MNB rendelet] </w:t>
      </w:r>
      <w:r w:rsidRPr="00F53FBA">
        <w:rPr>
          <w:rFonts w:ascii="Arial" w:eastAsia="Times New Roman" w:hAnsi="Arial" w:cs="Arial"/>
        </w:rPr>
        <w:t>szerinti, 202</w:t>
      </w:r>
      <w:r w:rsidR="00592EF7">
        <w:rPr>
          <w:rFonts w:ascii="Arial" w:eastAsia="Times New Roman" w:hAnsi="Arial" w:cs="Arial"/>
        </w:rPr>
        <w:t>5</w:t>
      </w:r>
      <w:r w:rsidRPr="00F53FBA">
        <w:rPr>
          <w:rFonts w:ascii="Arial" w:eastAsia="Times New Roman" w:hAnsi="Arial" w:cs="Arial"/>
        </w:rPr>
        <w:t>. január 1-jét megelőző tárgyidőszakra vonatkozó felügyeleti jelentés, adatszolgáltatás teljesítése során –</w:t>
      </w:r>
      <w:r w:rsidR="00E306FD" w:rsidRPr="00E306FD">
        <w:rPr>
          <w:rFonts w:ascii="Arial" w:eastAsia="Times New Roman" w:hAnsi="Arial" w:cs="Arial"/>
        </w:rPr>
        <w:t xml:space="preserve"> </w:t>
      </w:r>
      <w:r w:rsidR="00E306FD" w:rsidRPr="00F53FBA">
        <w:rPr>
          <w:rFonts w:ascii="Arial" w:eastAsia="Times New Roman" w:hAnsi="Arial" w:cs="Arial"/>
        </w:rPr>
        <w:t>az 5</w:t>
      </w:r>
      <w:r w:rsidR="00E306FD">
        <w:rPr>
          <w:rFonts w:ascii="Arial" w:eastAsia="Times New Roman" w:hAnsi="Arial" w:cs="Arial"/>
        </w:rPr>
        <w:t>8</w:t>
      </w:r>
      <w:r w:rsidR="00E306FD" w:rsidRPr="00F53FBA">
        <w:rPr>
          <w:rFonts w:ascii="Arial" w:eastAsia="Times New Roman" w:hAnsi="Arial" w:cs="Arial"/>
        </w:rPr>
        <w:t>/202</w:t>
      </w:r>
      <w:r w:rsidR="00E306FD">
        <w:rPr>
          <w:rFonts w:ascii="Arial" w:eastAsia="Times New Roman" w:hAnsi="Arial" w:cs="Arial"/>
        </w:rPr>
        <w:t>3</w:t>
      </w:r>
      <w:r w:rsidR="00E306FD" w:rsidRPr="00F53FBA">
        <w:rPr>
          <w:rFonts w:ascii="Arial" w:eastAsia="Times New Roman" w:hAnsi="Arial" w:cs="Arial"/>
        </w:rPr>
        <w:t>. (XI. 2</w:t>
      </w:r>
      <w:r w:rsidR="00E306FD">
        <w:rPr>
          <w:rFonts w:ascii="Arial" w:eastAsia="Times New Roman" w:hAnsi="Arial" w:cs="Arial"/>
        </w:rPr>
        <w:t>4</w:t>
      </w:r>
      <w:r w:rsidR="00E306FD" w:rsidRPr="00F53FBA">
        <w:rPr>
          <w:rFonts w:ascii="Arial" w:eastAsia="Times New Roman" w:hAnsi="Arial" w:cs="Arial"/>
        </w:rPr>
        <w:t>.)</w:t>
      </w:r>
      <w:r w:rsidR="00E306FD">
        <w:rPr>
          <w:rFonts w:ascii="Arial" w:eastAsia="Times New Roman" w:hAnsi="Arial" w:cs="Arial"/>
        </w:rPr>
        <w:t xml:space="preserve"> </w:t>
      </w:r>
      <w:r w:rsidR="00E306FD" w:rsidRPr="00F53FBA">
        <w:rPr>
          <w:rFonts w:ascii="Arial" w:eastAsia="Times New Roman" w:hAnsi="Arial" w:cs="Arial"/>
        </w:rPr>
        <w:t xml:space="preserve">MNB </w:t>
      </w:r>
      <w:r w:rsidR="00E306FD" w:rsidRPr="00E04069">
        <w:rPr>
          <w:rFonts w:ascii="Arial" w:eastAsia="Times New Roman" w:hAnsi="Arial" w:cs="Arial"/>
        </w:rPr>
        <w:t xml:space="preserve">rendelet </w:t>
      </w:r>
      <w:r w:rsidR="00E306FD">
        <w:rPr>
          <w:rFonts w:ascii="Arial" w:eastAsia="Times New Roman" w:hAnsi="Arial" w:cs="Arial"/>
        </w:rPr>
        <w:t>2</w:t>
      </w:r>
      <w:r w:rsidR="00E306FD" w:rsidRPr="00E04069">
        <w:rPr>
          <w:rFonts w:ascii="Arial" w:eastAsia="Times New Roman" w:hAnsi="Arial" w:cs="Arial"/>
        </w:rPr>
        <w:t>. melléklet</w:t>
      </w:r>
      <w:r w:rsidR="00E306FD" w:rsidRPr="00F53FBA">
        <w:rPr>
          <w:rFonts w:ascii="Arial" w:eastAsia="Times New Roman" w:hAnsi="Arial" w:cs="Arial"/>
        </w:rPr>
        <w:t xml:space="preserve"> „ÖSSZEFOGLALÓ TÁBLA” megnevezésű táblázat </w:t>
      </w:r>
      <w:r w:rsidR="00E306FD">
        <w:rPr>
          <w:rFonts w:ascii="Arial" w:eastAsia="Times New Roman" w:hAnsi="Arial" w:cs="Arial"/>
        </w:rPr>
        <w:t>27</w:t>
      </w:r>
      <w:r w:rsidR="00E306FD" w:rsidRPr="00F53FBA">
        <w:rPr>
          <w:rFonts w:ascii="Arial" w:eastAsia="Times New Roman" w:hAnsi="Arial" w:cs="Arial"/>
        </w:rPr>
        <w:t>. sorában</w:t>
      </w:r>
      <w:r w:rsidR="00C17F0D">
        <w:rPr>
          <w:rFonts w:ascii="Arial" w:eastAsia="Times New Roman" w:hAnsi="Arial" w:cs="Arial"/>
        </w:rPr>
        <w:t xml:space="preserve"> </w:t>
      </w:r>
      <w:r w:rsidR="00E306FD">
        <w:rPr>
          <w:rFonts w:ascii="Arial" w:eastAsia="Times New Roman" w:hAnsi="Arial" w:cs="Arial"/>
        </w:rPr>
        <w:t xml:space="preserve">és </w:t>
      </w:r>
      <w:r w:rsidR="00A0176E" w:rsidRPr="00F53FBA">
        <w:rPr>
          <w:rFonts w:ascii="Arial" w:eastAsia="Times New Roman" w:hAnsi="Arial" w:cs="Arial"/>
        </w:rPr>
        <w:t>az 5</w:t>
      </w:r>
      <w:r w:rsidR="00A0176E">
        <w:rPr>
          <w:rFonts w:ascii="Arial" w:eastAsia="Times New Roman" w:hAnsi="Arial" w:cs="Arial"/>
        </w:rPr>
        <w:t>8</w:t>
      </w:r>
      <w:r w:rsidR="00A0176E" w:rsidRPr="00F53FBA">
        <w:rPr>
          <w:rFonts w:ascii="Arial" w:eastAsia="Times New Roman" w:hAnsi="Arial" w:cs="Arial"/>
        </w:rPr>
        <w:t>/202</w:t>
      </w:r>
      <w:r w:rsidR="00A0176E">
        <w:rPr>
          <w:rFonts w:ascii="Arial" w:eastAsia="Times New Roman" w:hAnsi="Arial" w:cs="Arial"/>
        </w:rPr>
        <w:t>3</w:t>
      </w:r>
      <w:r w:rsidR="00A0176E" w:rsidRPr="00F53FBA">
        <w:rPr>
          <w:rFonts w:ascii="Arial" w:eastAsia="Times New Roman" w:hAnsi="Arial" w:cs="Arial"/>
        </w:rPr>
        <w:t>. (XI. 2</w:t>
      </w:r>
      <w:r w:rsidR="00A0176E">
        <w:rPr>
          <w:rFonts w:ascii="Arial" w:eastAsia="Times New Roman" w:hAnsi="Arial" w:cs="Arial"/>
        </w:rPr>
        <w:t>4</w:t>
      </w:r>
      <w:r w:rsidR="00A0176E" w:rsidRPr="00F53FBA">
        <w:rPr>
          <w:rFonts w:ascii="Arial" w:eastAsia="Times New Roman" w:hAnsi="Arial" w:cs="Arial"/>
        </w:rPr>
        <w:t>.)</w:t>
      </w:r>
      <w:r w:rsidR="00A0176E">
        <w:rPr>
          <w:rFonts w:ascii="Arial" w:eastAsia="Times New Roman" w:hAnsi="Arial" w:cs="Arial"/>
        </w:rPr>
        <w:t xml:space="preserve"> </w:t>
      </w:r>
      <w:r w:rsidR="00A0176E" w:rsidRPr="00F53FBA">
        <w:rPr>
          <w:rFonts w:ascii="Arial" w:eastAsia="Times New Roman" w:hAnsi="Arial" w:cs="Arial"/>
        </w:rPr>
        <w:t xml:space="preserve">MNB </w:t>
      </w:r>
      <w:r w:rsidR="00A0176E" w:rsidRPr="00E04069">
        <w:rPr>
          <w:rFonts w:ascii="Arial" w:eastAsia="Times New Roman" w:hAnsi="Arial" w:cs="Arial"/>
        </w:rPr>
        <w:t xml:space="preserve">rendelet </w:t>
      </w:r>
      <w:r w:rsidR="00A0176E">
        <w:rPr>
          <w:rFonts w:ascii="Arial" w:eastAsia="Times New Roman" w:hAnsi="Arial" w:cs="Arial"/>
        </w:rPr>
        <w:t>4</w:t>
      </w:r>
      <w:r w:rsidR="00A0176E" w:rsidRPr="00E04069">
        <w:rPr>
          <w:rFonts w:ascii="Arial" w:eastAsia="Times New Roman" w:hAnsi="Arial" w:cs="Arial"/>
        </w:rPr>
        <w:t>. melléklet</w:t>
      </w:r>
      <w:r w:rsidR="00A0176E" w:rsidRPr="00F53FBA">
        <w:rPr>
          <w:rFonts w:ascii="Arial" w:eastAsia="Times New Roman" w:hAnsi="Arial" w:cs="Arial"/>
        </w:rPr>
        <w:t xml:space="preserve"> „ÖSSZEFOGLALÓ TÁBLA” megnevezésű táblázat </w:t>
      </w:r>
      <w:r w:rsidR="00A0176E">
        <w:rPr>
          <w:rFonts w:ascii="Arial" w:eastAsia="Times New Roman" w:hAnsi="Arial" w:cs="Arial"/>
        </w:rPr>
        <w:t>12</w:t>
      </w:r>
      <w:r w:rsidR="00A0176E" w:rsidRPr="00F53FBA">
        <w:rPr>
          <w:rFonts w:ascii="Arial" w:eastAsia="Times New Roman" w:hAnsi="Arial" w:cs="Arial"/>
        </w:rPr>
        <w:t xml:space="preserve">. sorában </w:t>
      </w:r>
      <w:r w:rsidRPr="00F53FBA">
        <w:rPr>
          <w:rFonts w:ascii="Arial" w:eastAsia="Times New Roman" w:hAnsi="Arial" w:cs="Arial"/>
        </w:rPr>
        <w:t xml:space="preserve">meghatározott felügyeleti jelentés kivételével – az </w:t>
      </w:r>
      <w:r w:rsidRPr="00E04069">
        <w:rPr>
          <w:rFonts w:ascii="Arial" w:eastAsia="Times New Roman" w:hAnsi="Arial" w:cs="Arial"/>
        </w:rPr>
        <w:t>5</w:t>
      </w:r>
      <w:r w:rsidR="00E04069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E04069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E04069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>.) MNB rendelet</w:t>
      </w:r>
      <w:r w:rsidRPr="00F53FBA">
        <w:rPr>
          <w:rFonts w:ascii="Arial" w:eastAsia="Times New Roman" w:hAnsi="Arial" w:cs="Arial"/>
        </w:rPr>
        <w:t xml:space="preserve"> szabályait alkalmazza.</w:t>
      </w:r>
    </w:p>
    <w:p w14:paraId="225767EC" w14:textId="0C6A1390" w:rsidR="00B34ED2" w:rsidRPr="00F53FBA" w:rsidRDefault="00B34ED2" w:rsidP="005E0909">
      <w:pPr>
        <w:autoSpaceDE w:val="0"/>
        <w:autoSpaceDN w:val="0"/>
        <w:adjustRightInd w:val="0"/>
        <w:spacing w:after="0"/>
        <w:ind w:firstLine="142"/>
        <w:rPr>
          <w:rFonts w:ascii="Arial" w:eastAsia="Times New Roman" w:hAnsi="Arial" w:cs="Arial"/>
        </w:rPr>
      </w:pPr>
      <w:r>
        <w:rPr>
          <w:rFonts w:ascii="Arial" w:hAnsi="Arial" w:cs="Arial"/>
          <w:bCs/>
          <w:kern w:val="36"/>
        </w:rPr>
        <w:t xml:space="preserve">(2) </w:t>
      </w:r>
      <w:r w:rsidRPr="007B7116">
        <w:rPr>
          <w:rFonts w:ascii="Arial" w:hAnsi="Arial" w:cs="Arial"/>
          <w:bCs/>
          <w:kern w:val="36"/>
        </w:rPr>
        <w:t xml:space="preserve">Az adatszolgáltató a 2. melléklet „ÖSSZEFOGLALÓ TÁBLA” megnevezésű táblázat </w:t>
      </w:r>
      <w:r>
        <w:rPr>
          <w:rFonts w:ascii="Arial" w:hAnsi="Arial" w:cs="Arial"/>
          <w:bCs/>
          <w:kern w:val="36"/>
        </w:rPr>
        <w:t xml:space="preserve">27. </w:t>
      </w:r>
      <w:r w:rsidRPr="007B7116">
        <w:rPr>
          <w:rFonts w:ascii="Arial" w:hAnsi="Arial" w:cs="Arial"/>
          <w:bCs/>
          <w:kern w:val="36"/>
        </w:rPr>
        <w:t>sor</w:t>
      </w:r>
      <w:r>
        <w:rPr>
          <w:rFonts w:ascii="Arial" w:hAnsi="Arial" w:cs="Arial"/>
          <w:bCs/>
          <w:kern w:val="36"/>
        </w:rPr>
        <w:t>ában meg</w:t>
      </w:r>
      <w:r>
        <w:rPr>
          <w:rFonts w:ascii="Arial" w:hAnsi="Arial" w:cs="Arial"/>
          <w:bCs/>
        </w:rPr>
        <w:t>határozott</w:t>
      </w:r>
      <w:r w:rsidRPr="007B7116">
        <w:rPr>
          <w:rFonts w:ascii="Arial" w:hAnsi="Arial" w:cs="Arial"/>
          <w:bCs/>
          <w:kern w:val="36"/>
        </w:rPr>
        <w:t xml:space="preserve"> felügyeleti jelentést első alkalommal </w:t>
      </w:r>
      <w:r>
        <w:rPr>
          <w:rFonts w:ascii="Arial" w:hAnsi="Arial" w:cs="Arial"/>
          <w:bCs/>
          <w:kern w:val="36"/>
        </w:rPr>
        <w:t>2024</w:t>
      </w:r>
      <w:r w:rsidRPr="007B7116">
        <w:rPr>
          <w:rFonts w:ascii="Arial" w:hAnsi="Arial" w:cs="Arial"/>
          <w:bCs/>
          <w:kern w:val="36"/>
        </w:rPr>
        <w:t xml:space="preserve">. </w:t>
      </w:r>
      <w:r>
        <w:rPr>
          <w:rFonts w:ascii="Arial" w:hAnsi="Arial" w:cs="Arial"/>
          <w:bCs/>
          <w:kern w:val="36"/>
        </w:rPr>
        <w:t xml:space="preserve">IV. </w:t>
      </w:r>
      <w:proofErr w:type="gramStart"/>
      <w:r>
        <w:rPr>
          <w:rFonts w:ascii="Arial" w:hAnsi="Arial" w:cs="Arial"/>
          <w:bCs/>
          <w:kern w:val="36"/>
        </w:rPr>
        <w:t>negyedévre</w:t>
      </w:r>
      <w:proofErr w:type="gramEnd"/>
      <w:r w:rsidRPr="007B7116">
        <w:rPr>
          <w:rFonts w:ascii="Arial" w:hAnsi="Arial" w:cs="Arial"/>
          <w:bCs/>
          <w:kern w:val="36"/>
        </w:rPr>
        <w:t xml:space="preserve"> mint tárgyidőszakra vonatkozóan teljesíti.</w:t>
      </w:r>
    </w:p>
    <w:p w14:paraId="75A44D61" w14:textId="31E2452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</w:t>
      </w:r>
      <w:r w:rsidR="00E306FD">
        <w:rPr>
          <w:rFonts w:ascii="Arial" w:eastAsia="Times New Roman" w:hAnsi="Arial" w:cs="Arial"/>
        </w:rPr>
        <w:t>3</w:t>
      </w:r>
      <w:r w:rsidRPr="00F53FBA">
        <w:rPr>
          <w:rFonts w:ascii="Arial" w:eastAsia="Times New Roman" w:hAnsi="Arial" w:cs="Arial"/>
        </w:rPr>
        <w:t xml:space="preserve">) Az adatszolgáltató a </w:t>
      </w:r>
      <w:r w:rsidR="00696611">
        <w:rPr>
          <w:rFonts w:ascii="Arial" w:eastAsia="Times New Roman" w:hAnsi="Arial" w:cs="Arial"/>
        </w:rPr>
        <w:t>4</w:t>
      </w:r>
      <w:r w:rsidRPr="00F53FBA">
        <w:rPr>
          <w:rFonts w:ascii="Arial" w:eastAsia="Times New Roman" w:hAnsi="Arial" w:cs="Arial"/>
        </w:rPr>
        <w:t xml:space="preserve">. melléklet „ÖSSZEFOGLALÓ TÁBLA” megnevezésű táblázat </w:t>
      </w:r>
      <w:r w:rsidR="00C65B92">
        <w:rPr>
          <w:rFonts w:ascii="Arial" w:eastAsia="Times New Roman" w:hAnsi="Arial" w:cs="Arial"/>
        </w:rPr>
        <w:t>12</w:t>
      </w:r>
      <w:r w:rsidRPr="00F53FBA">
        <w:rPr>
          <w:rFonts w:ascii="Arial" w:eastAsia="Times New Roman" w:hAnsi="Arial" w:cs="Arial"/>
        </w:rPr>
        <w:t>. sorában meghatározott felügyeleti jelentést első alkalommal 202</w:t>
      </w:r>
      <w:r w:rsidR="00D52479">
        <w:rPr>
          <w:rFonts w:ascii="Arial" w:eastAsia="Times New Roman" w:hAnsi="Arial" w:cs="Arial"/>
        </w:rPr>
        <w:t>4</w:t>
      </w:r>
      <w:r w:rsidRPr="00F53FBA">
        <w:rPr>
          <w:rFonts w:ascii="Arial" w:eastAsia="Times New Roman" w:hAnsi="Arial" w:cs="Arial"/>
        </w:rPr>
        <w:t xml:space="preserve">. </w:t>
      </w:r>
      <w:proofErr w:type="gramStart"/>
      <w:r w:rsidRPr="00F53FBA">
        <w:rPr>
          <w:rFonts w:ascii="Arial" w:eastAsia="Times New Roman" w:hAnsi="Arial" w:cs="Arial"/>
        </w:rPr>
        <w:t>évre</w:t>
      </w:r>
      <w:proofErr w:type="gramEnd"/>
      <w:r w:rsidRPr="00F53FBA">
        <w:rPr>
          <w:rFonts w:ascii="Arial" w:eastAsia="Times New Roman" w:hAnsi="Arial" w:cs="Arial"/>
        </w:rPr>
        <w:t xml:space="preserve"> mint tárgyidőszakra vonatkozóan teljesíti.</w:t>
      </w:r>
    </w:p>
    <w:p w14:paraId="55921099" w14:textId="508464ED" w:rsidR="00696611" w:rsidRDefault="003F2AC8" w:rsidP="002A00C8">
      <w:pPr>
        <w:autoSpaceDE w:val="0"/>
        <w:autoSpaceDN w:val="0"/>
        <w:adjustRightInd w:val="0"/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  <w:r>
        <w:rPr>
          <w:rFonts w:ascii="Arial" w:hAnsi="Arial" w:cs="Arial"/>
          <w:bCs/>
          <w:kern w:val="36"/>
        </w:rPr>
        <w:t>(</w:t>
      </w:r>
      <w:r w:rsidR="00E306FD">
        <w:rPr>
          <w:rFonts w:ascii="Arial" w:hAnsi="Arial" w:cs="Arial"/>
          <w:bCs/>
          <w:kern w:val="36"/>
        </w:rPr>
        <w:t>4</w:t>
      </w:r>
      <w:r>
        <w:rPr>
          <w:rFonts w:ascii="Arial" w:hAnsi="Arial" w:cs="Arial"/>
          <w:bCs/>
          <w:kern w:val="36"/>
        </w:rPr>
        <w:t xml:space="preserve">) </w:t>
      </w:r>
      <w:r w:rsidRPr="00301097">
        <w:rPr>
          <w:rFonts w:ascii="Arial" w:hAnsi="Arial" w:cs="Arial"/>
        </w:rPr>
        <w:t xml:space="preserve">Az adatszolgáltató a </w:t>
      </w:r>
      <w:proofErr w:type="spellStart"/>
      <w:r>
        <w:rPr>
          <w:rFonts w:ascii="Arial" w:hAnsi="Arial" w:cs="Arial"/>
        </w:rPr>
        <w:t>PEPP</w:t>
      </w:r>
      <w:proofErr w:type="spellEnd"/>
      <w:r>
        <w:rPr>
          <w:rFonts w:ascii="Arial" w:hAnsi="Arial" w:cs="Arial"/>
        </w:rPr>
        <w:t xml:space="preserve"> </w:t>
      </w:r>
      <w:r w:rsidRPr="00301097">
        <w:rPr>
          <w:rFonts w:ascii="Arial" w:hAnsi="Arial" w:cs="Arial"/>
        </w:rPr>
        <w:t xml:space="preserve">szöveges jelentést első alkalommal a </w:t>
      </w:r>
      <w:proofErr w:type="spellStart"/>
      <w:r w:rsidRPr="00301097">
        <w:rPr>
          <w:rFonts w:ascii="Arial" w:hAnsi="Arial" w:cs="Arial"/>
        </w:rPr>
        <w:t>PEPP</w:t>
      </w:r>
      <w:proofErr w:type="spellEnd"/>
      <w:r w:rsidRPr="00301097">
        <w:rPr>
          <w:rFonts w:ascii="Arial" w:hAnsi="Arial" w:cs="Arial"/>
        </w:rPr>
        <w:t xml:space="preserve"> regisztrációja </w:t>
      </w:r>
      <w:proofErr w:type="gramStart"/>
      <w:r w:rsidRPr="00301097">
        <w:rPr>
          <w:rFonts w:ascii="Arial" w:hAnsi="Arial" w:cs="Arial"/>
        </w:rPr>
        <w:t>évére</w:t>
      </w:r>
      <w:proofErr w:type="gramEnd"/>
      <w:r w:rsidRPr="00301097">
        <w:rPr>
          <w:rFonts w:ascii="Arial" w:hAnsi="Arial" w:cs="Arial"/>
        </w:rPr>
        <w:t xml:space="preserve"> mint tárgyidőszakra vonatkozóan teljesíti.</w:t>
      </w:r>
    </w:p>
    <w:p w14:paraId="30BEAB64" w14:textId="77777777" w:rsidR="003F2AC8" w:rsidRDefault="003F2AC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3B5647FC" w14:textId="1C1DA055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14.</w:t>
      </w:r>
      <w:r w:rsidR="00696611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E rendelet</w:t>
      </w:r>
    </w:p>
    <w:p w14:paraId="78145C9F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1. 9. § (1) bekezdésében az (EU) 2019/1238 európai parlamenti és tanácsi rendeletnek az illetékes hatóságoknak történő felügyeleti adatszolgáltatás formátuma, valamint az illetékes hatóságok közötti és az Európai Biztosítás- és </w:t>
      </w:r>
      <w:proofErr w:type="spellStart"/>
      <w:r w:rsidRPr="00F53FBA">
        <w:rPr>
          <w:rFonts w:ascii="Arial" w:eastAsia="Times New Roman" w:hAnsi="Arial" w:cs="Arial"/>
        </w:rPr>
        <w:t>Foglalkoztatóinyugdíj</w:t>
      </w:r>
      <w:proofErr w:type="spellEnd"/>
      <w:r w:rsidRPr="00F53FBA">
        <w:rPr>
          <w:rFonts w:ascii="Arial" w:eastAsia="Times New Roman" w:hAnsi="Arial" w:cs="Arial"/>
        </w:rPr>
        <w:t>-hatósággal folytatott együttműködés és információcsere tekintetében történő alkalmazására vonatkozó, 2021. március 4-i (EU) 2021/897 bizottsági végrehajtási rendelet 3. cikke,</w:t>
      </w:r>
    </w:p>
    <w:p w14:paraId="403231C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2. 9. § (2) bekezdésében, valamint 12. mellékletében a páneurópai egyéni nyugdíjtermékről (</w:t>
      </w:r>
      <w:proofErr w:type="spellStart"/>
      <w:r w:rsidRPr="00F53FBA">
        <w:rPr>
          <w:rFonts w:ascii="Arial" w:eastAsia="Times New Roman" w:hAnsi="Arial" w:cs="Arial"/>
        </w:rPr>
        <w:t>PEPP</w:t>
      </w:r>
      <w:proofErr w:type="spellEnd"/>
      <w:r w:rsidRPr="00F53FBA">
        <w:rPr>
          <w:rFonts w:ascii="Arial" w:eastAsia="Times New Roman" w:hAnsi="Arial" w:cs="Arial"/>
        </w:rPr>
        <w:t>) szóló, 2019. június 20-i (EU) 2019/1238 európai parlamenti és tanácsi rendelet 40. cikk (2) bekezdés a) pontja,</w:t>
      </w:r>
    </w:p>
    <w:p w14:paraId="60AD70F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3. 10. § (1), (3) és (4) bekezdésében, valamint 1. melléklet 4.10. pontjában a 2011/61/EU európai parlamenti és tanácsi irányelvnek a mentességek, az általános működési feltételek, a letétkezelők, a tőkeáttétel, az átláthatóság és a felügyelet tekintetében történő kiegészítéséről szóló, 2012. december 19-i 231/2013/EU felhatalmazáson alapuló bizottsági rendelet 110. cikke, az </w:t>
      </w:r>
      <w:proofErr w:type="spellStart"/>
      <w:r w:rsidRPr="00F53FBA">
        <w:rPr>
          <w:rFonts w:ascii="Arial" w:eastAsia="Times New Roman" w:hAnsi="Arial" w:cs="Arial"/>
        </w:rPr>
        <w:t>internalizált</w:t>
      </w:r>
      <w:proofErr w:type="spellEnd"/>
      <w:r w:rsidRPr="00F53FBA">
        <w:rPr>
          <w:rFonts w:ascii="Arial" w:eastAsia="Times New Roman" w:hAnsi="Arial" w:cs="Arial"/>
        </w:rPr>
        <w:t xml:space="preserve"> kiegyenlítésről szóló információk bejelentéséhez és továbbításához alkalmazandó táblákra és eljárásokra vonatkozó végrehajtás-technikai standardoknak a 909/2014/EU európai parlamenti és tanácsi rendelettel összhangban történő megállapításáról szóló, 2016. november 11-i (EU) 2017/393 bizottsági végrehajtási rendelet, az (EU) 2017/1131 európai parlamenti és tanácsi rendelet 37. cikkében előírt, illetékes hatóságoknak történő jelentéstételkor a pénzpiaci alapok kezelői által használandó űrlapra vonatkozó végrehajtás-technikai standardok megállapításáról szóló, 2018. április 17-i (EU) 2018/708 bizottsági végrehajtási rendelet, a 909/2014/EU európai parlamenti és tanácsi rendeletnek a kiegyenlítési fegyelemre vonatkozó szabályozástechnikai standardok tekintetében történő kiegészítéséről szóló, 2018. május 25-i (EU) 2018/1229 felhatalmazáson alapuló bizottsági rendelet 14. cikke, a páneurópai egyéni nyugdíjtermékről (</w:t>
      </w:r>
      <w:proofErr w:type="spellStart"/>
      <w:r w:rsidRPr="00F53FBA">
        <w:rPr>
          <w:rFonts w:ascii="Arial" w:eastAsia="Times New Roman" w:hAnsi="Arial" w:cs="Arial"/>
        </w:rPr>
        <w:t>PEPP</w:t>
      </w:r>
      <w:proofErr w:type="spellEnd"/>
      <w:r w:rsidRPr="00F53FBA">
        <w:rPr>
          <w:rFonts w:ascii="Arial" w:eastAsia="Times New Roman" w:hAnsi="Arial" w:cs="Arial"/>
        </w:rPr>
        <w:t xml:space="preserve">) szóló, 2019. június 20-i (EU) 2019/1238 európai parlamenti és tanácsi rendelet 40. cikk (2) bekezdés a) pontja, az 575/2013/EU európai parlamenti és tanácsi rendeletnek az intézmények felügyeleti adatszolgáltatása tekintetében történő alkalmazására vonatkozó végrehajtás-technikai standardok megállapításáról és a 680/2014/EU végrehajtási rendelet hatályon kívül helyezéséről szóló, 2020. december 17-i (EU) 2021/451 bizottsági végrehajtási rendelet 21. cikk (1) bekezdése, valamint az (EU) 2019/1238 európai parlamenti és tanácsi rendeletnek az illetékes hatóságoknak történő felügyeleti adatszolgáltatás formátuma, valamint az illetékes hatóságok közötti és az Európai Biztosítás- és </w:t>
      </w:r>
      <w:proofErr w:type="spellStart"/>
      <w:r w:rsidRPr="00F53FBA">
        <w:rPr>
          <w:rFonts w:ascii="Arial" w:eastAsia="Times New Roman" w:hAnsi="Arial" w:cs="Arial"/>
        </w:rPr>
        <w:t>Foglalkoztatóinyugdíj</w:t>
      </w:r>
      <w:proofErr w:type="spellEnd"/>
      <w:r w:rsidRPr="00F53FBA">
        <w:rPr>
          <w:rFonts w:ascii="Arial" w:eastAsia="Times New Roman" w:hAnsi="Arial" w:cs="Arial"/>
        </w:rPr>
        <w:t>-hatósággal folytatott együttműködés és információcsere tekintetében történő alkalmazására vonatkozó, 2021. március 4-i (EU) 2021/897 bizottsági végrehajtási rendelet 3. cikke,</w:t>
      </w:r>
    </w:p>
    <w:p w14:paraId="78D4B336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4. 10. § (</w:t>
      </w:r>
      <w:proofErr w:type="gramStart"/>
      <w:r w:rsidRPr="00F53FBA">
        <w:rPr>
          <w:rFonts w:ascii="Arial" w:eastAsia="Times New Roman" w:hAnsi="Arial" w:cs="Arial"/>
        </w:rPr>
        <w:t>2)–</w:t>
      </w:r>
      <w:proofErr w:type="gramEnd"/>
      <w:r w:rsidRPr="00F53FBA">
        <w:rPr>
          <w:rFonts w:ascii="Arial" w:eastAsia="Times New Roman" w:hAnsi="Arial" w:cs="Arial"/>
        </w:rPr>
        <w:t>(4) bekezdésében a pénzügyi eszközök piacairól és a 648/2012/EU rendelet módosításáról szóló, 2014. május 15-i 600/2014/EU európai parlamenti és tanácsi rendelet 26. cikke</w:t>
      </w:r>
    </w:p>
    <w:p w14:paraId="12EC10E3" w14:textId="77777777" w:rsidR="00F53FBA" w:rsidRPr="00F53FBA" w:rsidRDefault="00F53FBA" w:rsidP="002A00C8">
      <w:pPr>
        <w:spacing w:after="0" w:line="240" w:lineRule="auto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végrehajtásához szükséges rendelkezéseket állapít meg.</w:t>
      </w:r>
    </w:p>
    <w:p w14:paraId="75BD866A" w14:textId="77777777" w:rsidR="002F042B" w:rsidRDefault="002F042B" w:rsidP="00053919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  <w:b/>
        </w:rPr>
      </w:pPr>
    </w:p>
    <w:p w14:paraId="6A5D00E4" w14:textId="69838621" w:rsidR="00F53FBA" w:rsidRDefault="00F53FBA" w:rsidP="002A00C8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  <w:r w:rsidRPr="00B15FE8">
        <w:rPr>
          <w:rFonts w:ascii="Arial" w:hAnsi="Arial" w:cs="Arial"/>
          <w:b/>
        </w:rPr>
        <w:t xml:space="preserve">15. § </w:t>
      </w:r>
      <w:r w:rsidRPr="00B15FE8">
        <w:rPr>
          <w:rFonts w:ascii="Arial" w:hAnsi="Arial" w:cs="Arial"/>
        </w:rPr>
        <w:t>Hatályát veszti az 5</w:t>
      </w:r>
      <w:r w:rsidR="00C42C21">
        <w:rPr>
          <w:rFonts w:ascii="Arial" w:hAnsi="Arial" w:cs="Arial"/>
        </w:rPr>
        <w:t>8</w:t>
      </w:r>
      <w:r w:rsidRPr="00B15FE8">
        <w:rPr>
          <w:rFonts w:ascii="Arial" w:hAnsi="Arial" w:cs="Arial"/>
        </w:rPr>
        <w:t>/202</w:t>
      </w:r>
      <w:r w:rsidR="00C42C21">
        <w:rPr>
          <w:rFonts w:ascii="Arial" w:hAnsi="Arial" w:cs="Arial"/>
        </w:rPr>
        <w:t>3</w:t>
      </w:r>
      <w:r w:rsidRPr="00B15FE8">
        <w:rPr>
          <w:rFonts w:ascii="Arial" w:hAnsi="Arial" w:cs="Arial"/>
        </w:rPr>
        <w:t>. (XI. 2</w:t>
      </w:r>
      <w:r w:rsidR="00C42C21">
        <w:rPr>
          <w:rFonts w:ascii="Arial" w:hAnsi="Arial" w:cs="Arial"/>
        </w:rPr>
        <w:t>4</w:t>
      </w:r>
      <w:r w:rsidRPr="00B15FE8">
        <w:rPr>
          <w:rFonts w:ascii="Arial" w:hAnsi="Arial" w:cs="Arial"/>
        </w:rPr>
        <w:t>.) MNB rendelet.</w:t>
      </w:r>
    </w:p>
    <w:p w14:paraId="17387735" w14:textId="77777777" w:rsidR="002A0538" w:rsidRDefault="002A0538" w:rsidP="002A00C8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5D69B0CD" w14:textId="0CCADFB1" w:rsidR="002A0538" w:rsidRDefault="002A0538" w:rsidP="002A00C8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  <w:bCs/>
        </w:rPr>
      </w:pPr>
      <w:r w:rsidRPr="002A0538">
        <w:rPr>
          <w:rFonts w:ascii="Arial" w:hAnsi="Arial" w:cs="Arial"/>
          <w:b/>
          <w:bCs/>
        </w:rPr>
        <w:t>16. §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A 2</w:t>
      </w:r>
      <w:r w:rsidR="002F042B">
        <w:rPr>
          <w:rFonts w:ascii="Arial" w:hAnsi="Arial" w:cs="Arial"/>
          <w:bCs/>
        </w:rPr>
        <w:t xml:space="preserve">. és </w:t>
      </w:r>
      <w:r>
        <w:rPr>
          <w:rFonts w:ascii="Arial" w:hAnsi="Arial" w:cs="Arial"/>
          <w:bCs/>
        </w:rPr>
        <w:t>3. melléklet a 13</w:t>
      </w:r>
      <w:r w:rsidR="002F042B">
        <w:rPr>
          <w:rFonts w:ascii="Arial" w:hAnsi="Arial" w:cs="Arial"/>
          <w:bCs/>
        </w:rPr>
        <w:t xml:space="preserve">. és </w:t>
      </w:r>
      <w:r>
        <w:rPr>
          <w:rFonts w:ascii="Arial" w:hAnsi="Arial" w:cs="Arial"/>
          <w:bCs/>
        </w:rPr>
        <w:t>14. melléklet szerint módosul.</w:t>
      </w:r>
    </w:p>
    <w:p w14:paraId="359E4134" w14:textId="3AB08E00" w:rsidR="002A0538" w:rsidRPr="00B15FE8" w:rsidRDefault="002A0538" w:rsidP="002A00C8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2DD0C9CA" w14:textId="77777777" w:rsidR="00B944EB" w:rsidRPr="00B944EB" w:rsidRDefault="00B944EB" w:rsidP="002A00C8">
      <w:pPr>
        <w:spacing w:after="0"/>
      </w:pPr>
    </w:p>
    <w:sectPr w:rsidR="00B944EB" w:rsidRPr="00B944EB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33CED" w14:textId="77777777" w:rsidR="00F53FBA" w:rsidRDefault="00F53FBA">
      <w:r>
        <w:separator/>
      </w:r>
    </w:p>
  </w:endnote>
  <w:endnote w:type="continuationSeparator" w:id="0">
    <w:p w14:paraId="3503F980" w14:textId="77777777" w:rsidR="00F53FBA" w:rsidRDefault="00F5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2425B" w14:textId="489B9562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10AA" w14:textId="77777777" w:rsidR="00F53FBA" w:rsidRDefault="00F53FBA">
      <w:r>
        <w:separator/>
      </w:r>
    </w:p>
  </w:footnote>
  <w:footnote w:type="continuationSeparator" w:id="0">
    <w:p w14:paraId="28961D2B" w14:textId="77777777" w:rsidR="00F53FBA" w:rsidRDefault="00F53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5B0B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739840">
    <w:abstractNumId w:val="4"/>
  </w:num>
  <w:num w:numId="2" w16cid:durableId="892083767">
    <w:abstractNumId w:val="2"/>
  </w:num>
  <w:num w:numId="3" w16cid:durableId="2104840917">
    <w:abstractNumId w:val="5"/>
  </w:num>
  <w:num w:numId="4" w16cid:durableId="324744906">
    <w:abstractNumId w:val="0"/>
  </w:num>
  <w:num w:numId="5" w16cid:durableId="335772198">
    <w:abstractNumId w:val="1"/>
  </w:num>
  <w:num w:numId="6" w16cid:durableId="235209475">
    <w:abstractNumId w:val="7"/>
  </w:num>
  <w:num w:numId="7" w16cid:durableId="1290824123">
    <w:abstractNumId w:val="3"/>
  </w:num>
  <w:num w:numId="8" w16cid:durableId="462239000">
    <w:abstractNumId w:val="9"/>
  </w:num>
  <w:num w:numId="9" w16cid:durableId="1810659922">
    <w:abstractNumId w:val="7"/>
    <w:lvlOverride w:ilvl="0">
      <w:startOverride w:val="1"/>
    </w:lvlOverride>
  </w:num>
  <w:num w:numId="10" w16cid:durableId="245504066">
    <w:abstractNumId w:val="10"/>
  </w:num>
  <w:num w:numId="11" w16cid:durableId="1211646508">
    <w:abstractNumId w:val="8"/>
  </w:num>
  <w:num w:numId="12" w16cid:durableId="173082913">
    <w:abstractNumId w:val="6"/>
  </w:num>
  <w:num w:numId="13" w16cid:durableId="132453087">
    <w:abstractNumId w:val="5"/>
  </w:num>
  <w:num w:numId="14" w16cid:durableId="64450343">
    <w:abstractNumId w:val="5"/>
  </w:num>
  <w:num w:numId="15" w16cid:durableId="1528955452">
    <w:abstractNumId w:val="5"/>
  </w:num>
  <w:num w:numId="16" w16cid:durableId="733085953">
    <w:abstractNumId w:val="5"/>
  </w:num>
  <w:num w:numId="17" w16cid:durableId="1062098231">
    <w:abstractNumId w:val="5"/>
  </w:num>
  <w:num w:numId="18" w16cid:durableId="70490722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FBA"/>
    <w:rsid w:val="0000273C"/>
    <w:rsid w:val="00017B1B"/>
    <w:rsid w:val="0002498B"/>
    <w:rsid w:val="000250E6"/>
    <w:rsid w:val="00027695"/>
    <w:rsid w:val="00027B62"/>
    <w:rsid w:val="00033357"/>
    <w:rsid w:val="00035697"/>
    <w:rsid w:val="00053919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30B8"/>
    <w:rsid w:val="000F3B2D"/>
    <w:rsid w:val="000F68FE"/>
    <w:rsid w:val="00101654"/>
    <w:rsid w:val="0010447E"/>
    <w:rsid w:val="0010496C"/>
    <w:rsid w:val="00110868"/>
    <w:rsid w:val="00113C88"/>
    <w:rsid w:val="001255A4"/>
    <w:rsid w:val="00127163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6F6C"/>
    <w:rsid w:val="001747F6"/>
    <w:rsid w:val="0018359E"/>
    <w:rsid w:val="0018619A"/>
    <w:rsid w:val="001870A7"/>
    <w:rsid w:val="00197350"/>
    <w:rsid w:val="001A2BAA"/>
    <w:rsid w:val="001B3486"/>
    <w:rsid w:val="001B7914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4230"/>
    <w:rsid w:val="0021484C"/>
    <w:rsid w:val="0022056B"/>
    <w:rsid w:val="00225F45"/>
    <w:rsid w:val="0022764E"/>
    <w:rsid w:val="00240124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66DE"/>
    <w:rsid w:val="00287D15"/>
    <w:rsid w:val="00290D47"/>
    <w:rsid w:val="00292177"/>
    <w:rsid w:val="002A00C8"/>
    <w:rsid w:val="002A0538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E55"/>
    <w:rsid w:val="002F042B"/>
    <w:rsid w:val="002F34ED"/>
    <w:rsid w:val="002F602F"/>
    <w:rsid w:val="00300EE3"/>
    <w:rsid w:val="00302136"/>
    <w:rsid w:val="00313246"/>
    <w:rsid w:val="003231ED"/>
    <w:rsid w:val="00323596"/>
    <w:rsid w:val="00327A74"/>
    <w:rsid w:val="00341BB5"/>
    <w:rsid w:val="00343614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3F2AC8"/>
    <w:rsid w:val="0041484F"/>
    <w:rsid w:val="00423D50"/>
    <w:rsid w:val="0043276D"/>
    <w:rsid w:val="004330EA"/>
    <w:rsid w:val="00434DC6"/>
    <w:rsid w:val="004413FF"/>
    <w:rsid w:val="00442ABF"/>
    <w:rsid w:val="004451FE"/>
    <w:rsid w:val="0044615E"/>
    <w:rsid w:val="00453087"/>
    <w:rsid w:val="00455A38"/>
    <w:rsid w:val="00465939"/>
    <w:rsid w:val="0047029F"/>
    <w:rsid w:val="004729CE"/>
    <w:rsid w:val="00474131"/>
    <w:rsid w:val="00480021"/>
    <w:rsid w:val="0048183A"/>
    <w:rsid w:val="00491483"/>
    <w:rsid w:val="004919C2"/>
    <w:rsid w:val="004924CA"/>
    <w:rsid w:val="00494C89"/>
    <w:rsid w:val="004A534C"/>
    <w:rsid w:val="004A58E3"/>
    <w:rsid w:val="004A5F09"/>
    <w:rsid w:val="004B1A68"/>
    <w:rsid w:val="004C2BCD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12FD"/>
    <w:rsid w:val="005364B4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92EF7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E0909"/>
    <w:rsid w:val="005F3818"/>
    <w:rsid w:val="005F3E3D"/>
    <w:rsid w:val="00602F0C"/>
    <w:rsid w:val="00603723"/>
    <w:rsid w:val="00610E45"/>
    <w:rsid w:val="0062171A"/>
    <w:rsid w:val="00627BFA"/>
    <w:rsid w:val="00642A07"/>
    <w:rsid w:val="00643529"/>
    <w:rsid w:val="00643CB4"/>
    <w:rsid w:val="00644BE4"/>
    <w:rsid w:val="0067570F"/>
    <w:rsid w:val="00681108"/>
    <w:rsid w:val="00690C97"/>
    <w:rsid w:val="0069441B"/>
    <w:rsid w:val="00696611"/>
    <w:rsid w:val="006A1E15"/>
    <w:rsid w:val="006A54BA"/>
    <w:rsid w:val="006A66EB"/>
    <w:rsid w:val="006B0392"/>
    <w:rsid w:val="006B2726"/>
    <w:rsid w:val="006B4271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10D9"/>
    <w:rsid w:val="00767D3F"/>
    <w:rsid w:val="00774306"/>
    <w:rsid w:val="00782B80"/>
    <w:rsid w:val="00786EF4"/>
    <w:rsid w:val="00791092"/>
    <w:rsid w:val="007913EE"/>
    <w:rsid w:val="00792C7B"/>
    <w:rsid w:val="007A2BE7"/>
    <w:rsid w:val="007B0117"/>
    <w:rsid w:val="007B1174"/>
    <w:rsid w:val="007B39B9"/>
    <w:rsid w:val="007B7FC8"/>
    <w:rsid w:val="007D67A3"/>
    <w:rsid w:val="007D7E92"/>
    <w:rsid w:val="007E0286"/>
    <w:rsid w:val="007F197C"/>
    <w:rsid w:val="007F1D57"/>
    <w:rsid w:val="007F7E59"/>
    <w:rsid w:val="00823B7E"/>
    <w:rsid w:val="0083252A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935BD"/>
    <w:rsid w:val="008936DF"/>
    <w:rsid w:val="008A1C40"/>
    <w:rsid w:val="008B61E3"/>
    <w:rsid w:val="008C474C"/>
    <w:rsid w:val="008C56D8"/>
    <w:rsid w:val="008D6221"/>
    <w:rsid w:val="008E26F2"/>
    <w:rsid w:val="008E3579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70FF4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176E"/>
    <w:rsid w:val="00A03212"/>
    <w:rsid w:val="00A12BD5"/>
    <w:rsid w:val="00A16867"/>
    <w:rsid w:val="00A17909"/>
    <w:rsid w:val="00A2173F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6F4E"/>
    <w:rsid w:val="00B06F8B"/>
    <w:rsid w:val="00B15880"/>
    <w:rsid w:val="00B15FE8"/>
    <w:rsid w:val="00B1673D"/>
    <w:rsid w:val="00B250ED"/>
    <w:rsid w:val="00B25C26"/>
    <w:rsid w:val="00B261BA"/>
    <w:rsid w:val="00B3064A"/>
    <w:rsid w:val="00B3473A"/>
    <w:rsid w:val="00B34ED2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7D59"/>
    <w:rsid w:val="00B800CB"/>
    <w:rsid w:val="00B8074B"/>
    <w:rsid w:val="00B8101A"/>
    <w:rsid w:val="00B83463"/>
    <w:rsid w:val="00B861AB"/>
    <w:rsid w:val="00B944EB"/>
    <w:rsid w:val="00BA2A4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17F0D"/>
    <w:rsid w:val="00C20799"/>
    <w:rsid w:val="00C22FB8"/>
    <w:rsid w:val="00C31F64"/>
    <w:rsid w:val="00C42C21"/>
    <w:rsid w:val="00C43AC5"/>
    <w:rsid w:val="00C522BD"/>
    <w:rsid w:val="00C63F2A"/>
    <w:rsid w:val="00C64F11"/>
    <w:rsid w:val="00C65B92"/>
    <w:rsid w:val="00C72FB8"/>
    <w:rsid w:val="00C80D10"/>
    <w:rsid w:val="00C907C0"/>
    <w:rsid w:val="00C93837"/>
    <w:rsid w:val="00CA398B"/>
    <w:rsid w:val="00CC4CB1"/>
    <w:rsid w:val="00CD36BC"/>
    <w:rsid w:val="00CD6E8D"/>
    <w:rsid w:val="00CD724F"/>
    <w:rsid w:val="00CE188C"/>
    <w:rsid w:val="00CF148C"/>
    <w:rsid w:val="00D00D53"/>
    <w:rsid w:val="00D02170"/>
    <w:rsid w:val="00D03058"/>
    <w:rsid w:val="00D04AEF"/>
    <w:rsid w:val="00D0775C"/>
    <w:rsid w:val="00D11D8B"/>
    <w:rsid w:val="00D144FA"/>
    <w:rsid w:val="00D21043"/>
    <w:rsid w:val="00D265EF"/>
    <w:rsid w:val="00D2761D"/>
    <w:rsid w:val="00D463F1"/>
    <w:rsid w:val="00D52479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F4F58"/>
    <w:rsid w:val="00E04069"/>
    <w:rsid w:val="00E11F2F"/>
    <w:rsid w:val="00E13A3A"/>
    <w:rsid w:val="00E14CD2"/>
    <w:rsid w:val="00E301AE"/>
    <w:rsid w:val="00E306FD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208F"/>
    <w:rsid w:val="00E653E3"/>
    <w:rsid w:val="00E66AEE"/>
    <w:rsid w:val="00E70FF5"/>
    <w:rsid w:val="00E736A7"/>
    <w:rsid w:val="00E87C26"/>
    <w:rsid w:val="00E91378"/>
    <w:rsid w:val="00EA2361"/>
    <w:rsid w:val="00EB11D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4867"/>
    <w:rsid w:val="00F04E3E"/>
    <w:rsid w:val="00F10771"/>
    <w:rsid w:val="00F205E5"/>
    <w:rsid w:val="00F512A3"/>
    <w:rsid w:val="00F51AB4"/>
    <w:rsid w:val="00F523A8"/>
    <w:rsid w:val="00F53FBA"/>
    <w:rsid w:val="00F54723"/>
    <w:rsid w:val="00F57359"/>
    <w:rsid w:val="00F57AF5"/>
    <w:rsid w:val="00F60A86"/>
    <w:rsid w:val="00F62B87"/>
    <w:rsid w:val="00F65208"/>
    <w:rsid w:val="00F67BE6"/>
    <w:rsid w:val="00F702E1"/>
    <w:rsid w:val="00F744F2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0F1E4"/>
  <w15:chartTrackingRefBased/>
  <w15:docId w15:val="{CE1E08B7-D94E-485E-A074-C55B0DAD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80D10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C80D10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C80D10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C80D10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C80D10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C80D10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C80D10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80D10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80D10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80D10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C80D10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C80D10"/>
  </w:style>
  <w:style w:type="table" w:customStyle="1" w:styleId="tblzat-mtrix">
    <w:name w:val="táblázat - mátrix"/>
    <w:basedOn w:val="Normltblzat"/>
    <w:uiPriority w:val="2"/>
    <w:qFormat/>
    <w:rsid w:val="00C80D10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C80D10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C80D10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C80D10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C80D10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C80D1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0D10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C80D10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0D1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80D1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80D10"/>
  </w:style>
  <w:style w:type="paragraph" w:styleId="llb">
    <w:name w:val="footer"/>
    <w:basedOn w:val="Norml"/>
    <w:link w:val="llbChar"/>
    <w:uiPriority w:val="99"/>
    <w:unhideWhenUsed/>
    <w:rsid w:val="00C80D1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80D10"/>
  </w:style>
  <w:style w:type="paragraph" w:customStyle="1" w:styleId="Szmozs">
    <w:name w:val="Számozás"/>
    <w:basedOn w:val="Norml"/>
    <w:uiPriority w:val="4"/>
    <w:qFormat/>
    <w:rsid w:val="00C80D10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C80D10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C80D10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C80D10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C80D10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C80D10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C80D10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C80D10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C80D10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C80D10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80D10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80D10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80D10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C80D10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C80D10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C80D10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C80D10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C80D10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C80D10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C80D10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C80D10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C80D10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C80D10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C80D10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C80D10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C80D10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C80D10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C80D10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C80D10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C80D10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C80D10"/>
  </w:style>
  <w:style w:type="character" w:styleId="Finomhivatkozs">
    <w:name w:val="Subtle Reference"/>
    <w:basedOn w:val="Bekezdsalapbettpusa"/>
    <w:uiPriority w:val="31"/>
    <w:rsid w:val="00C80D10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C80D10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C80D10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C80D10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C80D10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C80D10"/>
  </w:style>
  <w:style w:type="paragraph" w:styleId="Alcm">
    <w:name w:val="Subtitle"/>
    <w:basedOn w:val="Norml"/>
    <w:next w:val="Norml"/>
    <w:link w:val="AlcmChar"/>
    <w:uiPriority w:val="11"/>
    <w:rsid w:val="00C80D10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C80D10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C80D10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C80D10"/>
  </w:style>
  <w:style w:type="paragraph" w:customStyle="1" w:styleId="Erskiemels1">
    <w:name w:val="Erős kiemelés1"/>
    <w:basedOn w:val="Norml"/>
    <w:link w:val="ErskiemelsChar"/>
    <w:uiPriority w:val="5"/>
    <w:qFormat/>
    <w:rsid w:val="00C80D10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C80D10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C80D10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C80D10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C80D10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80D10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C80D10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C80D10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C80D10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C80D10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C80D10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C80D10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C80D10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C80D10"/>
  </w:style>
  <w:style w:type="character" w:styleId="Kiemels2">
    <w:name w:val="Strong"/>
    <w:basedOn w:val="Bekezdsalapbettpusa"/>
    <w:uiPriority w:val="22"/>
    <w:rsid w:val="00C80D10"/>
    <w:rPr>
      <w:b/>
      <w:bCs/>
    </w:rPr>
  </w:style>
  <w:style w:type="character" w:styleId="Kiemels">
    <w:name w:val="Emphasis"/>
    <w:basedOn w:val="Bekezdsalapbettpusa"/>
    <w:uiPriority w:val="6"/>
    <w:qFormat/>
    <w:rsid w:val="00C80D10"/>
    <w:rPr>
      <w:i/>
      <w:iCs/>
    </w:rPr>
  </w:style>
  <w:style w:type="paragraph" w:styleId="Nincstrkz">
    <w:name w:val="No Spacing"/>
    <w:basedOn w:val="Norml"/>
    <w:uiPriority w:val="1"/>
    <w:rsid w:val="00C80D10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C80D10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C80D10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C80D10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80D10"/>
    <w:rPr>
      <w:b/>
      <w:i/>
    </w:rPr>
  </w:style>
  <w:style w:type="character" w:styleId="Erskiemels">
    <w:name w:val="Intense Emphasis"/>
    <w:basedOn w:val="Bekezdsalapbettpusa"/>
    <w:uiPriority w:val="21"/>
    <w:rsid w:val="00C80D10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C80D10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C80D10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C80D10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C80D10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C80D10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C80D10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C80D10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C80D10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C80D10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C80D10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C80D10"/>
  </w:style>
  <w:style w:type="paragraph" w:customStyle="1" w:styleId="ENNormalBox">
    <w:name w:val="EN_Normal_Box"/>
    <w:basedOn w:val="Norml"/>
    <w:uiPriority w:val="1"/>
    <w:qFormat/>
    <w:rsid w:val="00C80D10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C80D10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C80D10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C80D10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C80D10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C80D10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C80D10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C80D10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C80D10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C80D10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C80D10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C80D10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C80D10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C80D10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C80D10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C80D10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C80D10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C80D10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C80D10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C80D10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C80D10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C80D10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C80D10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C80D10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C80D10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6A1E15"/>
    <w:rPr>
      <w:b/>
      <w:i/>
    </w:rPr>
  </w:style>
  <w:style w:type="paragraph" w:styleId="Vltozat">
    <w:name w:val="Revision"/>
    <w:hidden/>
    <w:uiPriority w:val="99"/>
    <w:semiHidden/>
    <w:rsid w:val="006A1E15"/>
  </w:style>
  <w:style w:type="character" w:styleId="Jegyzethivatkozs">
    <w:name w:val="annotation reference"/>
    <w:basedOn w:val="Bekezdsalapbettpusa"/>
    <w:uiPriority w:val="99"/>
    <w:semiHidden/>
    <w:unhideWhenUsed/>
    <w:rsid w:val="0012716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27163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127163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71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7163"/>
    <w:rPr>
      <w:b/>
      <w:bCs/>
    </w:rPr>
  </w:style>
  <w:style w:type="paragraph" w:customStyle="1" w:styleId="Erskiemels3">
    <w:name w:val="Erős kiemelés3"/>
    <w:basedOn w:val="Norml"/>
    <w:uiPriority w:val="5"/>
    <w:qFormat/>
    <w:rsid w:val="004C2BCD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07-138-00-0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njt.hu/jogszabaly/2021-54-20-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07-138-00-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1764</Words>
  <Characters>12716</Characters>
  <Application>Microsoft Office Word</Application>
  <DocSecurity>0</DocSecurity>
  <Lines>105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Pál Dr.</dc:creator>
  <cp:keywords/>
  <dc:description/>
  <cp:lastModifiedBy>Németh Pál Dr.</cp:lastModifiedBy>
  <cp:revision>6</cp:revision>
  <cp:lastPrinted>2024-07-23T12:05:00Z</cp:lastPrinted>
  <dcterms:created xsi:type="dcterms:W3CDTF">2024-07-30T10:59:00Z</dcterms:created>
  <dcterms:modified xsi:type="dcterms:W3CDTF">2024-08-05T06:24:00Z</dcterms:modified>
</cp:coreProperties>
</file>